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ascii="Times New Roman"/>
          <w:sz w:val="20"/>
          <w:lang w:eastAsia="zh-CN"/>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黑体" w:hAnsi="黑体" w:eastAsia="黑体"/>
          <w:b/>
          <w:sz w:val="36"/>
          <w:szCs w:val="36"/>
          <w:u w:val="single"/>
          <w:lang w:eastAsia="zh-CN"/>
        </w:rPr>
        <w:t>储运储罐清理、清洗服务年约</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pStyle w:val="13"/>
        <w:rPr>
          <w:rFonts w:ascii="微软雅黑"/>
          <w:b/>
          <w:sz w:val="68"/>
          <w:lang w:eastAsia="zh-CN"/>
        </w:rPr>
      </w:pPr>
    </w:p>
    <w:p>
      <w:pPr>
        <w:pStyle w:val="13"/>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FHC-PTCG20210630002 </w:t>
      </w:r>
      <w:r>
        <w:rPr>
          <w:rFonts w:hint="eastAsia"/>
          <w:sz w:val="28"/>
          <w:szCs w:val="28"/>
        </w:rPr>
        <w:t>）</w:t>
      </w:r>
    </w:p>
    <w:p>
      <w:pPr>
        <w:pStyle w:val="13"/>
        <w:rPr>
          <w:rFonts w:ascii="微软雅黑"/>
          <w:b/>
          <w:sz w:val="94"/>
          <w:lang w:eastAsia="zh-CN"/>
        </w:rPr>
      </w:pPr>
    </w:p>
    <w:p>
      <w:pPr>
        <w:pStyle w:val="13"/>
        <w:rPr>
          <w:rFonts w:ascii="微软雅黑"/>
          <w:b/>
          <w:sz w:val="94"/>
          <w:lang w:eastAsia="zh-CN"/>
        </w:rPr>
      </w:pPr>
    </w:p>
    <w:p>
      <w:pPr>
        <w:pStyle w:val="13"/>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二〇二一年八月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3"/>
        <w:rPr>
          <w:rFonts w:ascii="黑体"/>
          <w:sz w:val="20"/>
          <w:lang w:eastAsia="zh-CN"/>
        </w:rPr>
      </w:pPr>
    </w:p>
    <w:p>
      <w:pPr>
        <w:pStyle w:val="13"/>
        <w:rPr>
          <w:rFonts w:ascii="黑体"/>
          <w:sz w:val="20"/>
          <w:lang w:eastAsia="zh-CN"/>
        </w:rPr>
      </w:pPr>
    </w:p>
    <w:p>
      <w:pPr>
        <w:pStyle w:val="13"/>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13"/>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2"/>
        <w:rPr>
          <w:sz w:val="28"/>
          <w:szCs w:val="28"/>
        </w:rPr>
      </w:pPr>
      <w:r>
        <w:rPr>
          <w:rFonts w:hint="eastAsia"/>
        </w:rPr>
        <w:t xml:space="preserve">  </w:t>
      </w:r>
      <w:r>
        <w:rPr>
          <w:rFonts w:hint="eastAsia"/>
          <w:sz w:val="28"/>
          <w:szCs w:val="28"/>
        </w:rPr>
        <w:t>第八章   技术方案</w:t>
      </w:r>
    </w:p>
    <w:p>
      <w:pPr>
        <w:pStyle w:val="13"/>
        <w:spacing w:before="10"/>
        <w:rPr>
          <w:sz w:val="35"/>
          <w:lang w:eastAsia="zh-CN"/>
        </w:rPr>
      </w:pP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pPr>
        <w:spacing w:line="360" w:lineRule="auto"/>
        <w:ind w:left="360" w:firstLine="560" w:firstLineChars="200"/>
        <w:rPr>
          <w:sz w:val="28"/>
          <w:szCs w:val="28"/>
          <w:lang w:eastAsia="zh-CN"/>
        </w:rPr>
      </w:pPr>
      <w:r>
        <w:rPr>
          <w:rFonts w:hint="eastAsia"/>
          <w:sz w:val="28"/>
          <w:szCs w:val="28"/>
          <w:lang w:eastAsia="zh-CN"/>
        </w:rPr>
        <w:t>附件1：参选单位企业概况</w:t>
      </w:r>
    </w:p>
    <w:p>
      <w:pPr>
        <w:spacing w:line="360" w:lineRule="auto"/>
        <w:ind w:left="360" w:firstLine="560" w:firstLineChars="200"/>
        <w:rPr>
          <w:color w:val="000000"/>
          <w:sz w:val="28"/>
          <w:szCs w:val="28"/>
          <w:lang w:eastAsia="zh-CN"/>
        </w:rPr>
      </w:pPr>
      <w:r>
        <w:rPr>
          <w:rFonts w:hint="eastAsia"/>
          <w:color w:val="000000"/>
          <w:sz w:val="28"/>
          <w:szCs w:val="28"/>
          <w:lang w:eastAsia="zh-CN"/>
        </w:rPr>
        <w:t>附件2：参选书</w:t>
      </w:r>
    </w:p>
    <w:p>
      <w:pPr>
        <w:spacing w:line="360" w:lineRule="auto"/>
        <w:ind w:left="360" w:firstLine="560" w:firstLineChars="200"/>
        <w:rPr>
          <w:sz w:val="28"/>
          <w:szCs w:val="28"/>
          <w:lang w:eastAsia="zh-CN"/>
        </w:rPr>
      </w:pPr>
      <w:r>
        <w:rPr>
          <w:rFonts w:hint="eastAsia"/>
          <w:color w:val="000000"/>
          <w:sz w:val="28"/>
          <w:szCs w:val="28"/>
          <w:lang w:eastAsia="zh-CN"/>
        </w:rPr>
        <w:t>附件3：法定代表人授权委托书</w:t>
      </w:r>
    </w:p>
    <w:p>
      <w:pPr>
        <w:spacing w:line="360" w:lineRule="auto"/>
        <w:ind w:left="360" w:firstLine="560" w:firstLineChars="20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firstLine="980" w:firstLineChars="350"/>
        <w:rPr>
          <w:sz w:val="28"/>
          <w:szCs w:val="28"/>
          <w:lang w:eastAsia="zh-CN"/>
        </w:rPr>
      </w:pPr>
      <w:r>
        <w:rPr>
          <w:rFonts w:hint="eastAsia"/>
          <w:color w:val="000000"/>
          <w:sz w:val="28"/>
          <w:szCs w:val="28"/>
          <w:lang w:eastAsia="zh-CN"/>
        </w:rPr>
        <w:t>附件5：报价单</w:t>
      </w:r>
    </w:p>
    <w:p>
      <w:pPr>
        <w:pStyle w:val="2"/>
        <w:sectPr>
          <w:footerReference r:id="rId3" w:type="default"/>
          <w:pgSz w:w="11910" w:h="16840"/>
          <w:pgMar w:top="1480" w:right="1340" w:bottom="740" w:left="1680" w:header="0" w:footer="551" w:gutter="0"/>
          <w:pgNumType w:start="1"/>
          <w:cols w:space="720" w:num="1"/>
        </w:sectPr>
      </w:pPr>
    </w:p>
    <w:p>
      <w:pPr>
        <w:tabs>
          <w:tab w:val="left" w:pos="1272"/>
        </w:tabs>
        <w:spacing w:line="360" w:lineRule="auto"/>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13"/>
        <w:spacing w:line="360" w:lineRule="auto"/>
        <w:ind w:firstLine="511"/>
        <w:jc w:val="both"/>
        <w:rPr>
          <w:rFonts w:asciiTheme="majorEastAsia" w:hAnsiTheme="majorEastAsia" w:eastAsiaTheme="majorEastAsia"/>
          <w:lang w:eastAsia="zh-CN"/>
        </w:rPr>
      </w:pPr>
      <w:r>
        <w:rPr>
          <w:rFonts w:hint="eastAsia" w:asciiTheme="majorEastAsia" w:hAnsiTheme="majorEastAsia" w:eastAsiaTheme="majorEastAsia"/>
          <w:bCs/>
          <w:lang w:eastAsia="zh-CN"/>
        </w:rPr>
        <w:t>福建福海创石油化工有限公司就</w:t>
      </w:r>
      <w:r>
        <w:rPr>
          <w:rFonts w:hint="eastAsia" w:asciiTheme="majorEastAsia" w:hAnsiTheme="majorEastAsia" w:eastAsiaTheme="majorEastAsia"/>
          <w:bCs/>
          <w:u w:val="single"/>
          <w:lang w:eastAsia="zh-CN"/>
        </w:rPr>
        <w:t>“储运储罐清理清洗服务年约项目（项目编号：</w:t>
      </w:r>
      <w:r>
        <w:rPr>
          <w:rFonts w:hint="eastAsia" w:asciiTheme="majorEastAsia" w:hAnsiTheme="majorEastAsia" w:eastAsiaTheme="majorEastAsia"/>
          <w:u w:val="single"/>
          <w:lang w:eastAsia="zh-CN"/>
        </w:rPr>
        <w:t>FHC-PTCG20210630002</w:t>
      </w:r>
      <w:r>
        <w:rPr>
          <w:rFonts w:hint="eastAsia" w:asciiTheme="majorEastAsia" w:hAnsiTheme="majorEastAsia" w:eastAsiaTheme="majorEastAsia"/>
          <w:bCs/>
          <w:u w:val="single"/>
          <w:lang w:eastAsia="zh-CN"/>
        </w:rPr>
        <w:t>）”</w:t>
      </w:r>
      <w:r>
        <w:rPr>
          <w:rFonts w:hint="eastAsia" w:asciiTheme="majorEastAsia" w:hAnsiTheme="majorEastAsia" w:eastAsiaTheme="majorEastAsia"/>
          <w:bCs/>
          <w:lang w:eastAsia="zh-CN"/>
        </w:rPr>
        <w:t>进行国内公开比选，</w:t>
      </w:r>
      <w:r>
        <w:rPr>
          <w:rFonts w:hint="eastAsia" w:asciiTheme="majorEastAsia" w:hAnsiTheme="majorEastAsia" w:eastAsiaTheme="majorEastAsia"/>
          <w:bCs/>
          <w:spacing w:val="-2"/>
          <w:lang w:eastAsia="zh-CN"/>
        </w:rPr>
        <w:t>欢迎国内符合条件的供应商积极参选。</w:t>
      </w:r>
    </w:p>
    <w:p>
      <w:pPr>
        <w:autoSpaceDE/>
        <w:autoSpaceDN/>
        <w:spacing w:line="360" w:lineRule="auto"/>
        <w:ind w:firstLine="472" w:firstLineChars="19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一、项目概况</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w:t>
      </w:r>
      <w:r>
        <w:rPr>
          <w:rFonts w:hint="eastAsia" w:asciiTheme="majorEastAsia" w:hAnsiTheme="majorEastAsia" w:eastAsiaTheme="majorEastAsia"/>
          <w:bCs/>
          <w:sz w:val="24"/>
          <w:szCs w:val="24"/>
          <w:u w:val="single"/>
          <w:lang w:eastAsia="zh-CN"/>
        </w:rPr>
        <w:t xml:space="preserve"> 储运储罐清理清洗服务年约 </w:t>
      </w:r>
    </w:p>
    <w:p>
      <w:pPr>
        <w:autoSpaceDE/>
        <w:autoSpaceDN/>
        <w:spacing w:line="360" w:lineRule="auto"/>
        <w:ind w:left="363" w:leftChars="165"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比选项目简要说明：</w:t>
      </w:r>
      <w:r>
        <w:rPr>
          <w:rFonts w:hint="eastAsia"/>
          <w:sz w:val="24"/>
          <w:szCs w:val="24"/>
          <w:shd w:val="clear" w:color="auto" w:fill="FFFFFF"/>
          <w:lang w:eastAsia="zh-CN"/>
        </w:rPr>
        <w:t>储运装置中部分储罐在运行期间存在浮盘密封损坏、浮盘检尺口盖无法打开、罐顶劳动保护及上罐踏步腐蚀严重、罐内杂物较多等问题，对安全生产、物料质量、计量及能耗等有影响。为保证正常生产，具体清罐安排需结合生产计划能腾出罐容的条件下实施。</w:t>
      </w:r>
      <w:r>
        <w:rPr>
          <w:rFonts w:hint="eastAsia"/>
          <w:sz w:val="24"/>
          <w:szCs w:val="24"/>
          <w:lang w:eastAsia="zh-CN"/>
        </w:rPr>
        <w:t>，长约期限2年。</w:t>
      </w:r>
    </w:p>
    <w:p>
      <w:pPr>
        <w:pStyle w:val="4"/>
        <w:spacing w:line="360" w:lineRule="auto"/>
        <w:ind w:left="0" w:firstLine="477" w:firstLineChars="198"/>
        <w:rPr>
          <w:rFonts w:asciiTheme="majorEastAsia" w:hAnsiTheme="majorEastAsia" w:eastAsiaTheme="majorEastAsia"/>
          <w:lang w:eastAsia="zh-CN"/>
        </w:rPr>
      </w:pPr>
      <w:r>
        <w:rPr>
          <w:rFonts w:hint="eastAsia" w:asciiTheme="majorEastAsia" w:hAnsiTheme="majorEastAsia" w:eastAsiaTheme="majorEastAsia"/>
          <w:lang w:eastAsia="zh-CN"/>
        </w:rPr>
        <w:t>二、</w:t>
      </w:r>
      <w:r>
        <w:rPr>
          <w:rFonts w:asciiTheme="majorEastAsia" w:hAnsiTheme="majorEastAsia" w:eastAsiaTheme="majorEastAsia"/>
          <w:lang w:eastAsia="zh-CN"/>
        </w:rPr>
        <w:t>参选人资格要求：</w:t>
      </w:r>
    </w:p>
    <w:p>
      <w:pPr>
        <w:spacing w:line="360" w:lineRule="auto"/>
        <w:ind w:left="363" w:leftChars="165" w:firstLine="600" w:firstLineChars="250"/>
        <w:textAlignment w:val="bottom"/>
        <w:rPr>
          <w:rFonts w:cs="Arial" w:asciiTheme="majorEastAsia" w:hAnsiTheme="majorEastAsia" w:eastAsiaTheme="majorEastAsia"/>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 参选人</w:t>
      </w:r>
      <w:r>
        <w:rPr>
          <w:rFonts w:asciiTheme="majorEastAsia" w:hAnsiTheme="majorEastAsia" w:eastAsiaTheme="majorEastAsia"/>
          <w:kern w:val="59"/>
          <w:sz w:val="24"/>
          <w:szCs w:val="24"/>
          <w:lang w:eastAsia="zh-CN"/>
        </w:rPr>
        <w:t>必须具有中华人民共和国独立法人资格</w:t>
      </w:r>
      <w:r>
        <w:rPr>
          <w:rFonts w:hint="eastAsia" w:asciiTheme="majorEastAsia" w:hAnsiTheme="majorEastAsia" w:eastAsiaTheme="majorEastAsia"/>
          <w:kern w:val="59"/>
          <w:sz w:val="24"/>
          <w:szCs w:val="24"/>
          <w:lang w:eastAsia="zh-CN"/>
        </w:rPr>
        <w:t>，营业执照年检合格</w:t>
      </w:r>
      <w:r>
        <w:rPr>
          <w:rFonts w:hint="eastAsia" w:asciiTheme="majorEastAsia" w:hAnsiTheme="majorEastAsia" w:eastAsiaTheme="majorEastAsia"/>
          <w:sz w:val="24"/>
          <w:szCs w:val="24"/>
          <w:lang w:eastAsia="zh-CN"/>
        </w:rPr>
        <w:t>。</w:t>
      </w:r>
    </w:p>
    <w:p>
      <w:pPr>
        <w:adjustRightInd w:val="0"/>
        <w:snapToGrid w:val="0"/>
        <w:spacing w:line="360" w:lineRule="auto"/>
        <w:ind w:left="363" w:leftChars="165" w:firstLine="600" w:firstLineChars="250"/>
        <w:rPr>
          <w:rFonts w:asciiTheme="majorEastAsia" w:hAnsiTheme="majorEastAsia" w:eastAsiaTheme="majorEastAsia"/>
          <w:sz w:val="24"/>
          <w:szCs w:val="24"/>
          <w:lang w:eastAsia="zh-CN"/>
        </w:rPr>
      </w:pPr>
      <w:r>
        <w:rPr>
          <w:rFonts w:hint="eastAsia" w:cs="Arial" w:asciiTheme="majorEastAsia" w:hAnsiTheme="majorEastAsia" w:eastAsiaTheme="majorEastAsia"/>
          <w:sz w:val="24"/>
          <w:szCs w:val="24"/>
          <w:lang w:eastAsia="zh-CN"/>
        </w:rPr>
        <w:t xml:space="preserve">2. </w:t>
      </w:r>
      <w:r>
        <w:rPr>
          <w:rFonts w:hint="eastAsia"/>
          <w:sz w:val="24"/>
          <w:szCs w:val="24"/>
          <w:lang w:eastAsia="zh-CN"/>
        </w:rPr>
        <w:t>储罐清洗公司成立需3年以上；</w:t>
      </w:r>
    </w:p>
    <w:p>
      <w:pPr>
        <w:adjustRightInd w:val="0"/>
        <w:snapToGrid w:val="0"/>
        <w:spacing w:line="360" w:lineRule="auto"/>
        <w:ind w:left="363" w:leftChars="165" w:firstLine="600" w:firstLineChars="250"/>
        <w:rPr>
          <w:rFonts w:asciiTheme="majorEastAsia" w:hAnsiTheme="majorEastAsia" w:eastAsiaTheme="majorEastAsia" w:cstheme="minorEastAsia"/>
          <w:kern w:val="59"/>
          <w:sz w:val="24"/>
          <w:szCs w:val="24"/>
          <w:lang w:eastAsia="zh-CN"/>
        </w:rPr>
      </w:pPr>
      <w:r>
        <w:rPr>
          <w:rFonts w:hint="eastAsia" w:asciiTheme="majorEastAsia" w:hAnsiTheme="majorEastAsia" w:eastAsiaTheme="majorEastAsia" w:cstheme="minorEastAsia"/>
          <w:kern w:val="59"/>
          <w:sz w:val="24"/>
          <w:szCs w:val="24"/>
          <w:lang w:eastAsia="zh-CN"/>
        </w:rPr>
        <w:t xml:space="preserve">3. </w:t>
      </w:r>
      <w:r>
        <w:rPr>
          <w:rFonts w:hint="eastAsia"/>
          <w:sz w:val="24"/>
          <w:szCs w:val="24"/>
          <w:lang w:eastAsia="zh-CN"/>
        </w:rPr>
        <w:t>具备清洗重质油储罐、轻质油储罐及球罐的资质；</w:t>
      </w:r>
    </w:p>
    <w:p>
      <w:pPr>
        <w:adjustRightInd w:val="0"/>
        <w:snapToGrid w:val="0"/>
        <w:spacing w:line="360" w:lineRule="auto"/>
        <w:ind w:left="363" w:leftChars="165" w:firstLine="600" w:firstLineChars="250"/>
        <w:rPr>
          <w:sz w:val="24"/>
          <w:szCs w:val="24"/>
          <w:lang w:eastAsia="zh-CN"/>
        </w:rPr>
      </w:pPr>
      <w:r>
        <w:rPr>
          <w:rFonts w:hint="eastAsia" w:asciiTheme="majorEastAsia" w:hAnsiTheme="majorEastAsia" w:eastAsiaTheme="majorEastAsia" w:cstheme="minorEastAsia"/>
          <w:kern w:val="59"/>
          <w:sz w:val="24"/>
          <w:szCs w:val="24"/>
          <w:lang w:eastAsia="zh-CN"/>
        </w:rPr>
        <w:t xml:space="preserve">4. </w:t>
      </w:r>
      <w:r>
        <w:rPr>
          <w:rFonts w:hint="eastAsia"/>
          <w:sz w:val="24"/>
          <w:szCs w:val="24"/>
          <w:lang w:eastAsia="zh-CN"/>
        </w:rPr>
        <w:t>清罐公司需同时具备以下业绩：</w:t>
      </w:r>
    </w:p>
    <w:p>
      <w:pPr>
        <w:pStyle w:val="2"/>
        <w:spacing w:line="360" w:lineRule="auto"/>
        <w:rPr>
          <w:rFonts w:ascii="Arial" w:hAnsi="Arial" w:cs="Arial"/>
          <w:sz w:val="24"/>
          <w:szCs w:val="24"/>
        </w:rPr>
      </w:pPr>
      <w:r>
        <w:rPr>
          <w:rFonts w:hint="eastAsia"/>
          <w:sz w:val="24"/>
          <w:szCs w:val="24"/>
        </w:rPr>
        <w:t xml:space="preserve">        1）</w:t>
      </w:r>
      <w:r>
        <w:rPr>
          <w:rFonts w:hint="eastAsia" w:ascii="Arial" w:hAnsi="Arial" w:cs="Arial"/>
          <w:sz w:val="24"/>
          <w:szCs w:val="24"/>
        </w:rPr>
        <w:t>具有大型拱顶储罐、内浮顶储罐、外浮顶储罐、醋酸罐、烧碱罐的清洗经验；</w:t>
      </w:r>
    </w:p>
    <w:p>
      <w:pPr>
        <w:pStyle w:val="2"/>
        <w:spacing w:line="360" w:lineRule="auto"/>
        <w:rPr>
          <w:rFonts w:cs="Arial" w:asciiTheme="majorEastAsia" w:hAnsiTheme="majorEastAsia" w:eastAsiaTheme="majorEastAsia"/>
          <w:sz w:val="24"/>
          <w:szCs w:val="24"/>
        </w:rPr>
      </w:pPr>
      <w:r>
        <w:rPr>
          <w:rFonts w:hint="eastAsia" w:ascii="Arial" w:hAnsi="Arial" w:cs="Arial"/>
          <w:sz w:val="24"/>
          <w:szCs w:val="24"/>
        </w:rPr>
        <w:t xml:space="preserve">              </w:t>
      </w:r>
      <w:r>
        <w:rPr>
          <w:rFonts w:hint="eastAsia" w:cs="Arial" w:asciiTheme="majorEastAsia" w:hAnsiTheme="majorEastAsia" w:eastAsiaTheme="majorEastAsia"/>
          <w:sz w:val="24"/>
          <w:szCs w:val="24"/>
        </w:rPr>
        <w:t>2）2万m³重质油品储罐清理、清洗，且不少于3台；</w:t>
      </w:r>
    </w:p>
    <w:p>
      <w:pPr>
        <w:pStyle w:val="2"/>
        <w:spacing w:line="360" w:lineRule="auto"/>
        <w:rPr>
          <w:rFonts w:cs="Arial" w:asciiTheme="majorEastAsia" w:hAnsiTheme="majorEastAsia" w:eastAsiaTheme="majorEastAsia"/>
          <w:sz w:val="24"/>
          <w:szCs w:val="24"/>
        </w:rPr>
      </w:pPr>
      <w:r>
        <w:rPr>
          <w:rFonts w:hint="eastAsia" w:cs="Arial" w:asciiTheme="majorEastAsia" w:hAnsiTheme="majorEastAsia" w:eastAsiaTheme="majorEastAsia"/>
          <w:sz w:val="24"/>
          <w:szCs w:val="24"/>
        </w:rPr>
        <w:t xml:space="preserve">        3）2万m³轻质油品储罐清理、清洗，且不少于3台；</w:t>
      </w:r>
    </w:p>
    <w:p>
      <w:pPr>
        <w:pStyle w:val="2"/>
        <w:spacing w:line="360" w:lineRule="auto"/>
        <w:rPr>
          <w:rFonts w:asciiTheme="majorEastAsia" w:hAnsiTheme="majorEastAsia" w:eastAsiaTheme="majorEastAsia"/>
          <w:sz w:val="24"/>
          <w:szCs w:val="24"/>
        </w:rPr>
      </w:pPr>
      <w:r>
        <w:rPr>
          <w:rFonts w:hint="eastAsia" w:cs="Arial" w:asciiTheme="majorEastAsia" w:hAnsiTheme="majorEastAsia" w:eastAsiaTheme="majorEastAsia"/>
          <w:sz w:val="24"/>
          <w:szCs w:val="24"/>
        </w:rPr>
        <w:t xml:space="preserve">        4）2万m³以上储罐清洗，且不少于3台；</w:t>
      </w:r>
    </w:p>
    <w:p>
      <w:pPr>
        <w:adjustRightInd w:val="0"/>
        <w:snapToGrid w:val="0"/>
        <w:spacing w:line="360" w:lineRule="auto"/>
        <w:ind w:left="363" w:leftChars="165" w:firstLine="600" w:firstLineChars="250"/>
        <w:rPr>
          <w:rFonts w:asciiTheme="majorEastAsia" w:hAnsiTheme="majorEastAsia" w:eastAsiaTheme="majorEastAsia"/>
          <w:sz w:val="24"/>
          <w:szCs w:val="24"/>
          <w:lang w:eastAsia="zh-CN"/>
        </w:rPr>
      </w:pPr>
      <w:r>
        <w:rPr>
          <w:rFonts w:hint="eastAsia" w:asciiTheme="majorEastAsia" w:hAnsiTheme="majorEastAsia" w:eastAsiaTheme="majorEastAsia" w:cstheme="minorEastAsia"/>
          <w:kern w:val="59"/>
          <w:sz w:val="24"/>
          <w:szCs w:val="24"/>
          <w:lang w:eastAsia="zh-CN"/>
        </w:rPr>
        <w:t xml:space="preserve">5. </w:t>
      </w:r>
      <w:r>
        <w:rPr>
          <w:rFonts w:asciiTheme="majorEastAsia" w:hAnsiTheme="majorEastAsia" w:eastAsiaTheme="majorEastAsia"/>
          <w:sz w:val="24"/>
          <w:szCs w:val="24"/>
          <w:lang w:eastAsia="zh-CN"/>
        </w:rPr>
        <w:t>没有失信黑名单记录（以最高院失信被执行人系统发布信息为准）；</w:t>
      </w:r>
    </w:p>
    <w:p>
      <w:pPr>
        <w:pStyle w:val="2"/>
        <w:spacing w:line="360" w:lineRule="auto"/>
        <w:ind w:left="1200" w:hanging="1200" w:hangingChars="500"/>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w:t>
      </w:r>
      <w:r>
        <w:rPr>
          <w:rFonts w:hint="eastAsia" w:asciiTheme="majorEastAsia" w:hAnsiTheme="majorEastAsia" w:eastAsiaTheme="majorEastAsia" w:cstheme="minorEastAsia"/>
          <w:kern w:val="59"/>
          <w:sz w:val="24"/>
          <w:szCs w:val="24"/>
        </w:rPr>
        <w:t xml:space="preserve">6. </w:t>
      </w:r>
      <w:r>
        <w:rPr>
          <w:rFonts w:asciiTheme="majorEastAsia" w:hAnsiTheme="majorEastAsia" w:eastAsiaTheme="majorEastAsia"/>
          <w:sz w:val="24"/>
          <w:szCs w:val="24"/>
        </w:rPr>
        <w:t>与</w:t>
      </w:r>
      <w:r>
        <w:rPr>
          <w:rFonts w:hint="eastAsia" w:asciiTheme="majorEastAsia" w:hAnsiTheme="majorEastAsia" w:eastAsiaTheme="majorEastAsia"/>
          <w:sz w:val="24"/>
          <w:szCs w:val="24"/>
        </w:rPr>
        <w:t>比选人</w:t>
      </w:r>
      <w:r>
        <w:rPr>
          <w:rFonts w:asciiTheme="majorEastAsia" w:hAnsiTheme="majorEastAsia" w:eastAsiaTheme="majorEastAsia"/>
          <w:sz w:val="24"/>
          <w:szCs w:val="24"/>
        </w:rPr>
        <w:t>无诉讼纠纷</w:t>
      </w:r>
      <w:r>
        <w:rPr>
          <w:rFonts w:hint="eastAsia" w:asciiTheme="majorEastAsia" w:hAnsiTheme="majorEastAsia" w:eastAsiaTheme="majorEastAsia"/>
          <w:sz w:val="24"/>
          <w:szCs w:val="24"/>
        </w:rPr>
        <w:t>；</w:t>
      </w:r>
    </w:p>
    <w:p>
      <w:pPr>
        <w:spacing w:line="360" w:lineRule="auto"/>
        <w:ind w:left="363" w:leftChars="165" w:firstLine="600" w:firstLineChars="250"/>
        <w:rPr>
          <w:rFonts w:asciiTheme="majorEastAsia" w:hAnsiTheme="majorEastAsia" w:eastAsiaTheme="majorEastAsia"/>
          <w:bCs/>
          <w:sz w:val="24"/>
          <w:szCs w:val="24"/>
          <w:lang w:eastAsia="zh-CN"/>
        </w:rPr>
      </w:pPr>
      <w:r>
        <w:rPr>
          <w:rFonts w:hint="eastAsia" w:asciiTheme="majorEastAsia" w:hAnsiTheme="majorEastAsia" w:eastAsiaTheme="majorEastAsia" w:cstheme="minorEastAsia"/>
          <w:kern w:val="59"/>
          <w:sz w:val="24"/>
          <w:szCs w:val="24"/>
          <w:lang w:eastAsia="zh-CN"/>
        </w:rPr>
        <w:t xml:space="preserve">7. </w:t>
      </w:r>
      <w:r>
        <w:rPr>
          <w:rFonts w:hint="eastAsia" w:asciiTheme="majorEastAsia" w:hAnsiTheme="majorEastAsia" w:eastAsiaTheme="majorEastAsia"/>
          <w:sz w:val="24"/>
          <w:szCs w:val="24"/>
          <w:lang w:eastAsia="zh-CN"/>
        </w:rPr>
        <w:t>本项目不接受联合体参选。</w:t>
      </w:r>
    </w:p>
    <w:p>
      <w:pPr>
        <w:pStyle w:val="47"/>
        <w:autoSpaceDE/>
        <w:autoSpaceDN/>
        <w:spacing w:before="0" w:line="360" w:lineRule="auto"/>
        <w:ind w:left="119" w:leftChars="54" w:firstLine="354" w:firstLineChars="147"/>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三、报名要求</w:t>
      </w:r>
    </w:p>
    <w:p>
      <w:pPr>
        <w:autoSpaceDE/>
        <w:autoSpaceDN/>
        <w:spacing w:line="360" w:lineRule="auto"/>
        <w:ind w:firstLine="960" w:firstLineChars="4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2021年8月</w:t>
      </w:r>
      <w:r>
        <w:rPr>
          <w:rFonts w:hint="eastAsia" w:asciiTheme="majorEastAsia" w:hAnsiTheme="majorEastAsia" w:eastAsiaTheme="majorEastAsia"/>
          <w:sz w:val="24"/>
          <w:szCs w:val="24"/>
          <w:lang w:val="en-US" w:eastAsia="zh-CN"/>
        </w:rPr>
        <w:t>18</w:t>
      </w:r>
      <w:r>
        <w:rPr>
          <w:rFonts w:hint="eastAsia" w:asciiTheme="majorEastAsia" w:hAnsiTheme="majorEastAsia" w:eastAsiaTheme="majorEastAsia"/>
          <w:sz w:val="24"/>
          <w:szCs w:val="24"/>
          <w:lang w:eastAsia="zh-CN"/>
        </w:rPr>
        <w:t>日至</w:t>
      </w:r>
      <w:r>
        <w:rPr>
          <w:rFonts w:hint="eastAsia" w:asciiTheme="majorEastAsia" w:hAnsiTheme="majorEastAsia" w:eastAsiaTheme="majorEastAsia"/>
          <w:sz w:val="24"/>
          <w:szCs w:val="24"/>
          <w:lang w:val="en-US" w:eastAsia="zh-CN"/>
        </w:rPr>
        <w:t>27</w:t>
      </w:r>
      <w:bookmarkStart w:id="34" w:name="_GoBack"/>
      <w:bookmarkEnd w:id="34"/>
      <w:r>
        <w:rPr>
          <w:rFonts w:hint="eastAsia" w:asciiTheme="majorEastAsia" w:hAnsiTheme="majorEastAsia" w:eastAsiaTheme="majorEastAsia"/>
          <w:sz w:val="24"/>
          <w:szCs w:val="24"/>
          <w:lang w:eastAsia="zh-CN"/>
        </w:rPr>
        <w:t>日14:30时（共10天）</w:t>
      </w:r>
    </w:p>
    <w:p>
      <w:pPr>
        <w:autoSpaceDE/>
        <w:autoSpaceDN/>
        <w:spacing w:line="360" w:lineRule="auto"/>
        <w:ind w:firstLine="960" w:firstLineChars="4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报名方式：</w:t>
      </w:r>
    </w:p>
    <w:p>
      <w:pPr>
        <w:autoSpaceDE/>
        <w:autoSpaceDN/>
        <w:spacing w:line="360" w:lineRule="auto"/>
        <w:ind w:left="484" w:leftChars="220"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邮件报名（须同时提交盖公章的法定代表人授权书及营业执照扫描件），邮件 发至：</w:t>
      </w:r>
      <w:r>
        <w:fldChar w:fldCharType="begin"/>
      </w:r>
      <w:r>
        <w:instrText xml:space="preserve"> HYPERLINK "mailto:hzji@fhcpec.com.cn" </w:instrText>
      </w:r>
      <w:r>
        <w:fldChar w:fldCharType="separate"/>
      </w:r>
      <w:r>
        <w:rPr>
          <w:rStyle w:val="36"/>
          <w:rFonts w:hint="eastAsia" w:asciiTheme="majorEastAsia" w:hAnsiTheme="majorEastAsia" w:eastAsiaTheme="majorEastAsia"/>
          <w:sz w:val="24"/>
          <w:szCs w:val="24"/>
          <w:lang w:eastAsia="zh-CN"/>
        </w:rPr>
        <w:t>hzji@fhcpec.com.cn</w:t>
      </w:r>
      <w:r>
        <w:rPr>
          <w:rStyle w:val="36"/>
          <w:rFonts w:hint="eastAsia" w:asciiTheme="majorEastAsia" w:hAnsiTheme="majorEastAsia" w:eastAsiaTheme="majorEastAsia"/>
          <w:sz w:val="24"/>
          <w:szCs w:val="24"/>
          <w:lang w:eastAsia="zh-CN"/>
        </w:rPr>
        <w:fldChar w:fldCharType="end"/>
      </w:r>
      <w:r>
        <w:rPr>
          <w:rFonts w:hint="eastAsia" w:asciiTheme="majorEastAsia" w:hAnsiTheme="majorEastAsia" w:eastAsiaTheme="majorEastAsia"/>
          <w:bCs/>
          <w:sz w:val="24"/>
          <w:szCs w:val="24"/>
          <w:lang w:eastAsia="zh-CN"/>
        </w:rPr>
        <w:t>。未报名的参选人不能参加本项目比选。</w:t>
      </w:r>
    </w:p>
    <w:p>
      <w:pPr>
        <w:pStyle w:val="47"/>
        <w:autoSpaceDE/>
        <w:autoSpaceDN/>
        <w:spacing w:before="0" w:line="360" w:lineRule="auto"/>
        <w:ind w:left="1193" w:leftChars="433" w:hanging="240" w:hangingChars="100"/>
        <w:jc w:val="both"/>
        <w:rPr>
          <w:rFonts w:asciiTheme="majorEastAsia" w:hAnsiTheme="majorEastAsia" w:eastAsiaTheme="majorEastAsia"/>
          <w:b/>
          <w:bCs/>
          <w:sz w:val="24"/>
          <w:szCs w:val="24"/>
          <w:lang w:eastAsia="zh-CN"/>
        </w:rPr>
      </w:pPr>
      <w:r>
        <w:rPr>
          <w:rFonts w:hint="eastAsia" w:asciiTheme="majorEastAsia" w:hAnsiTheme="majorEastAsia" w:eastAsiaTheme="majorEastAsia"/>
          <w:bCs/>
          <w:sz w:val="24"/>
          <w:szCs w:val="24"/>
          <w:lang w:eastAsia="zh-CN"/>
        </w:rPr>
        <w:t>2) 需到达现场进行技术交流并勘察现场，签订技术协议书。</w:t>
      </w:r>
    </w:p>
    <w:p>
      <w:pPr>
        <w:pStyle w:val="47"/>
        <w:numPr>
          <w:ilvl w:val="0"/>
          <w:numId w:val="3"/>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autoSpaceDE/>
        <w:autoSpaceDN/>
        <w:spacing w:line="360" w:lineRule="auto"/>
        <w:ind w:firstLine="960" w:firstLineChars="4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spacing w:line="360" w:lineRule="auto"/>
        <w:ind w:firstLine="960" w:firstLineChars="4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递交截止时间：报名截止时间延后2工作日</w:t>
      </w:r>
    </w:p>
    <w:p>
      <w:pPr>
        <w:pStyle w:val="47"/>
        <w:numPr>
          <w:ilvl w:val="0"/>
          <w:numId w:val="3"/>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联系方式</w:t>
      </w:r>
    </w:p>
    <w:p>
      <w:pPr>
        <w:pStyle w:val="8"/>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商务联系人：纪先生  电话：0596-6311823  邮箱：hzji@fhcpec.com.cn</w:t>
      </w:r>
    </w:p>
    <w:p>
      <w:pPr>
        <w:pStyle w:val="8"/>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 xml:space="preserve">纪检监察室电话：0596-6311774  </w:t>
      </w:r>
    </w:p>
    <w:p>
      <w:pPr>
        <w:pStyle w:val="8"/>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tabs>
          <w:tab w:val="left" w:pos="1272"/>
        </w:tabs>
        <w:spacing w:line="360" w:lineRule="auto"/>
        <w:ind w:left="9"/>
        <w:jc w:val="center"/>
        <w:rPr>
          <w:sz w:val="24"/>
          <w:szCs w:val="24"/>
          <w:lang w:eastAsia="zh-CN"/>
        </w:rPr>
      </w:pPr>
      <w:r>
        <w:rPr>
          <w:rFonts w:hint="eastAsia"/>
          <w:sz w:val="24"/>
          <w:szCs w:val="24"/>
          <w:lang w:eastAsia="zh-CN"/>
        </w:rPr>
        <w:t>福建福海创石油化工有限公司</w:t>
      </w:r>
    </w:p>
    <w:p>
      <w:pPr>
        <w:pStyle w:val="47"/>
        <w:spacing w:before="0" w:line="360" w:lineRule="auto"/>
        <w:ind w:left="361" w:leftChars="164" w:firstLine="4680" w:firstLineChars="1950"/>
        <w:rPr>
          <w:rFonts w:asciiTheme="majorEastAsia" w:hAnsiTheme="majorEastAsia" w:eastAsiaTheme="majorEastAsia"/>
          <w:bCs/>
          <w:sz w:val="24"/>
          <w:szCs w:val="24"/>
          <w:lang w:eastAsia="zh-CN"/>
        </w:rPr>
      </w:pPr>
      <w:r>
        <w:rPr>
          <w:rFonts w:hint="eastAsia"/>
          <w:sz w:val="24"/>
          <w:szCs w:val="24"/>
          <w:lang w:eastAsia="zh-CN"/>
        </w:rPr>
        <w:t>2021.08.18</w:t>
      </w:r>
    </w:p>
    <w:p>
      <w:pPr>
        <w:spacing w:line="360" w:lineRule="auto"/>
        <w:ind w:left="444" w:leftChars="202"/>
        <w:rPr>
          <w:rFonts w:asciiTheme="majorEastAsia" w:hAnsiTheme="majorEastAsia" w:eastAsiaTheme="majorEastAsia"/>
          <w:bCs/>
          <w:sz w:val="24"/>
          <w:szCs w:val="24"/>
          <w:lang w:eastAsia="zh-CN"/>
        </w:r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line="360" w:lineRule="auto"/>
        <w:ind w:firstLine="458" w:firstLineChars="200"/>
        <w:rPr>
          <w:b/>
          <w:sz w:val="24"/>
          <w:szCs w:val="24"/>
          <w:lang w:eastAsia="zh-CN"/>
        </w:rPr>
      </w:pPr>
      <w:r>
        <w:rPr>
          <w:b/>
          <w:w w:val="95"/>
          <w:sz w:val="24"/>
          <w:szCs w:val="24"/>
          <w:lang w:eastAsia="zh-CN"/>
        </w:rPr>
        <w:t>一、比选内容</w:t>
      </w:r>
    </w:p>
    <w:p>
      <w:pPr>
        <w:pStyle w:val="13"/>
        <w:spacing w:line="360" w:lineRule="auto"/>
        <w:ind w:firstLine="480" w:firstLineChars="200"/>
        <w:rPr>
          <w:lang w:eastAsia="zh-CN"/>
        </w:rPr>
      </w:pPr>
      <w:r>
        <w:rPr>
          <w:lang w:eastAsia="zh-CN"/>
        </w:rPr>
        <w:t>(一)</w:t>
      </w:r>
      <w:r>
        <w:rPr>
          <w:rFonts w:hint="eastAsia"/>
          <w:lang w:eastAsia="zh-CN"/>
        </w:rPr>
        <w:t>项目</w:t>
      </w:r>
      <w:r>
        <w:rPr>
          <w:lang w:eastAsia="zh-CN"/>
        </w:rPr>
        <w:t>名称：</w:t>
      </w:r>
      <w:r>
        <w:rPr>
          <w:rFonts w:hint="eastAsia"/>
          <w:u w:val="single"/>
          <w:lang w:eastAsia="zh-CN"/>
        </w:rPr>
        <w:t xml:space="preserve">  </w:t>
      </w:r>
      <w:r>
        <w:rPr>
          <w:rFonts w:hint="eastAsia" w:asciiTheme="majorEastAsia" w:hAnsiTheme="majorEastAsia" w:eastAsiaTheme="majorEastAsia"/>
          <w:bCs/>
          <w:u w:val="single"/>
          <w:lang w:eastAsia="zh-CN"/>
        </w:rPr>
        <w:t>储运储罐清理、清洗服务年约</w:t>
      </w:r>
      <w:r>
        <w:rPr>
          <w:rFonts w:hint="eastAsia" w:asciiTheme="majorEastAsia" w:hAnsiTheme="majorEastAsia" w:eastAsiaTheme="majorEastAsia"/>
          <w:u w:val="single"/>
          <w:lang w:eastAsia="zh-CN"/>
        </w:rPr>
        <w:t>项目</w:t>
      </w:r>
      <w:r>
        <w:rPr>
          <w:rFonts w:hint="eastAsia"/>
          <w:u w:val="single"/>
          <w:lang w:eastAsia="zh-CN"/>
        </w:rPr>
        <w:t xml:space="preserve">  </w:t>
      </w:r>
    </w:p>
    <w:p>
      <w:pPr>
        <w:pStyle w:val="13"/>
        <w:spacing w:line="360" w:lineRule="auto"/>
        <w:ind w:firstLine="480" w:firstLineChars="200"/>
        <w:rPr>
          <w:lang w:eastAsia="zh-CN"/>
        </w:rPr>
      </w:pPr>
      <w:r>
        <w:rPr>
          <w:lang w:eastAsia="zh-CN"/>
        </w:rPr>
        <w:t>(二)</w:t>
      </w:r>
      <w:r>
        <w:rPr>
          <w:rFonts w:hint="eastAsia"/>
          <w:lang w:eastAsia="zh-CN"/>
        </w:rPr>
        <w:t>项目</w:t>
      </w:r>
      <w:r>
        <w:rPr>
          <w:lang w:eastAsia="zh-CN"/>
        </w:rPr>
        <w:t>地点：</w:t>
      </w:r>
      <w:r>
        <w:rPr>
          <w:rFonts w:hint="eastAsia"/>
          <w:lang w:eastAsia="zh-CN"/>
        </w:rPr>
        <w:t>漳州市漳浦县古雷开发区腾龙路84号</w:t>
      </w:r>
    </w:p>
    <w:p>
      <w:pPr>
        <w:pStyle w:val="13"/>
        <w:spacing w:line="360" w:lineRule="auto"/>
        <w:ind w:left="2164" w:leftChars="220" w:hanging="1680" w:hangingChars="700"/>
        <w:rPr>
          <w:lang w:eastAsia="zh-CN"/>
        </w:rPr>
      </w:pPr>
      <w:r>
        <w:rPr>
          <w:lang w:eastAsia="zh-CN"/>
        </w:rPr>
        <w:t>(三)</w:t>
      </w:r>
      <w:r>
        <w:rPr>
          <w:rFonts w:hint="eastAsia"/>
          <w:lang w:eastAsia="zh-CN"/>
        </w:rPr>
        <w:t>承包方式：</w:t>
      </w:r>
      <w:r>
        <w:rPr>
          <w:rFonts w:hint="eastAsia"/>
          <w:bCs/>
          <w:snapToGrid w:val="0"/>
          <w:spacing w:val="8"/>
          <w:lang w:eastAsia="zh-CN"/>
        </w:rPr>
        <w:t>维修年约（24个月），包工包料，按实结算的</w:t>
      </w:r>
      <w:r>
        <w:rPr>
          <w:rFonts w:hint="eastAsia"/>
          <w:lang w:eastAsia="zh-CN"/>
        </w:rPr>
        <w:t>方式。</w:t>
      </w:r>
    </w:p>
    <w:p>
      <w:pPr>
        <w:pStyle w:val="13"/>
        <w:spacing w:line="360" w:lineRule="auto"/>
        <w:ind w:firstLine="480" w:firstLineChars="200"/>
        <w:rPr>
          <w:lang w:eastAsia="zh-CN"/>
        </w:rPr>
      </w:pPr>
      <w:r>
        <w:rPr>
          <w:lang w:eastAsia="zh-CN"/>
        </w:rPr>
        <w:t>(</w:t>
      </w:r>
      <w:r>
        <w:rPr>
          <w:rFonts w:hint="eastAsia"/>
          <w:lang w:eastAsia="zh-CN"/>
        </w:rPr>
        <w:t>四</w:t>
      </w:r>
      <w:r>
        <w:rPr>
          <w:lang w:eastAsia="zh-CN"/>
        </w:rPr>
        <w:t>)比选范围：</w:t>
      </w:r>
    </w:p>
    <w:p>
      <w:pPr>
        <w:spacing w:line="360" w:lineRule="auto"/>
        <w:ind w:firstLine="480" w:firstLineChars="200"/>
        <w:rPr>
          <w:sz w:val="24"/>
          <w:szCs w:val="28"/>
          <w:lang w:eastAsia="zh-CN"/>
        </w:rPr>
      </w:pPr>
      <w:r>
        <w:rPr>
          <w:rFonts w:hint="eastAsia"/>
          <w:sz w:val="24"/>
          <w:szCs w:val="28"/>
          <w:lang w:eastAsia="zh-CN"/>
        </w:rPr>
        <w:t>1.项目概况：</w:t>
      </w:r>
      <w:r>
        <w:rPr>
          <w:rFonts w:hint="eastAsia"/>
          <w:snapToGrid w:val="0"/>
          <w:spacing w:val="8"/>
          <w:sz w:val="24"/>
          <w:u w:val="single"/>
          <w:lang w:eastAsia="zh-CN"/>
        </w:rPr>
        <w:t xml:space="preserve">  见“技术要求” </w:t>
      </w:r>
    </w:p>
    <w:p>
      <w:pPr>
        <w:spacing w:line="360" w:lineRule="auto"/>
        <w:ind w:firstLine="480" w:firstLineChars="200"/>
        <w:rPr>
          <w:sz w:val="24"/>
          <w:szCs w:val="28"/>
          <w:lang w:eastAsia="zh-CN"/>
        </w:rPr>
      </w:pPr>
      <w:r>
        <w:rPr>
          <w:rFonts w:hint="eastAsia"/>
          <w:sz w:val="24"/>
          <w:szCs w:val="28"/>
          <w:lang w:eastAsia="zh-CN"/>
        </w:rPr>
        <w:t>2.项目范围及内容：</w:t>
      </w:r>
      <w:r>
        <w:rPr>
          <w:rFonts w:hint="eastAsia" w:asciiTheme="majorEastAsia" w:hAnsiTheme="majorEastAsia" w:eastAsiaTheme="majorEastAsia"/>
          <w:sz w:val="24"/>
          <w:szCs w:val="24"/>
          <w:u w:val="single"/>
          <w:lang w:eastAsia="zh-CN"/>
        </w:rPr>
        <w:t xml:space="preserve">  </w:t>
      </w:r>
      <w:r>
        <w:rPr>
          <w:rFonts w:cs="Arial" w:asciiTheme="majorEastAsia" w:hAnsiTheme="majorEastAsia" w:eastAsiaTheme="majorEastAsia"/>
          <w:color w:val="111111"/>
          <w:sz w:val="24"/>
          <w:szCs w:val="24"/>
          <w:u w:val="single"/>
          <w:shd w:val="clear" w:color="auto" w:fill="FFFFFF"/>
          <w:lang w:eastAsia="zh-CN"/>
        </w:rPr>
        <w:t>储运团队</w:t>
      </w:r>
      <w:r>
        <w:rPr>
          <w:rFonts w:hint="eastAsia" w:cs="Arial" w:asciiTheme="majorEastAsia" w:hAnsiTheme="majorEastAsia" w:eastAsiaTheme="majorEastAsia"/>
          <w:color w:val="111111"/>
          <w:sz w:val="24"/>
          <w:szCs w:val="24"/>
          <w:u w:val="single"/>
          <w:shd w:val="clear" w:color="auto" w:fill="FFFFFF"/>
          <w:lang w:eastAsia="zh-CN"/>
        </w:rPr>
        <w:t>45台</w:t>
      </w:r>
      <w:r>
        <w:rPr>
          <w:rFonts w:cs="Arial" w:asciiTheme="majorEastAsia" w:hAnsiTheme="majorEastAsia" w:eastAsiaTheme="majorEastAsia"/>
          <w:color w:val="111111"/>
          <w:sz w:val="24"/>
          <w:szCs w:val="24"/>
          <w:u w:val="single"/>
          <w:shd w:val="clear" w:color="auto" w:fill="FFFFFF"/>
          <w:lang w:eastAsia="zh-CN"/>
        </w:rPr>
        <w:t>储罐</w:t>
      </w:r>
      <w:r>
        <w:rPr>
          <w:rFonts w:hint="eastAsia" w:cs="Arial" w:asciiTheme="majorEastAsia" w:hAnsiTheme="majorEastAsia" w:eastAsiaTheme="majorEastAsia"/>
          <w:color w:val="111111"/>
          <w:sz w:val="24"/>
          <w:szCs w:val="24"/>
          <w:u w:val="single"/>
          <w:shd w:val="clear" w:color="auto" w:fill="FFFFFF"/>
          <w:lang w:eastAsia="zh-CN"/>
        </w:rPr>
        <w:t>清理、清洗，具体见“技术要求”内容。</w:t>
      </w:r>
    </w:p>
    <w:p>
      <w:pPr>
        <w:spacing w:line="360" w:lineRule="auto"/>
        <w:ind w:firstLine="480" w:firstLineChars="200"/>
        <w:rPr>
          <w:sz w:val="24"/>
          <w:szCs w:val="28"/>
          <w:lang w:eastAsia="zh-CN"/>
        </w:rPr>
      </w:pPr>
      <w:r>
        <w:rPr>
          <w:rFonts w:hint="eastAsia"/>
          <w:sz w:val="24"/>
          <w:szCs w:val="28"/>
          <w:lang w:eastAsia="zh-CN"/>
        </w:rPr>
        <w:t>3.相关要求标准、规范及规定：本项目采用的技术标准按现行国家标准（GB）、行业标准要求的规范、规程等执行。</w:t>
      </w:r>
    </w:p>
    <w:p>
      <w:pPr>
        <w:autoSpaceDE/>
        <w:autoSpaceDN/>
        <w:spacing w:line="360" w:lineRule="auto"/>
        <w:ind w:left="851"/>
        <w:rPr>
          <w:sz w:val="24"/>
          <w:szCs w:val="24"/>
          <w:lang w:eastAsia="zh-CN"/>
        </w:rPr>
      </w:pPr>
      <w:r>
        <w:rPr>
          <w:rFonts w:hint="eastAsia"/>
          <w:sz w:val="24"/>
          <w:szCs w:val="24"/>
          <w:lang w:eastAsia="zh-CN"/>
        </w:rPr>
        <w:t>《成品油罐清洗安全技术规程》Q/SH0519-2013；</w:t>
      </w:r>
    </w:p>
    <w:p>
      <w:pPr>
        <w:autoSpaceDE/>
        <w:autoSpaceDN/>
        <w:spacing w:line="360" w:lineRule="auto"/>
        <w:ind w:left="851"/>
        <w:rPr>
          <w:sz w:val="24"/>
          <w:szCs w:val="24"/>
          <w:lang w:eastAsia="zh-CN"/>
        </w:rPr>
      </w:pPr>
      <w:r>
        <w:rPr>
          <w:rFonts w:hint="eastAsia"/>
          <w:sz w:val="24"/>
          <w:szCs w:val="24"/>
          <w:lang w:eastAsia="zh-CN"/>
        </w:rPr>
        <w:t>《安全、环境与健康（</w:t>
      </w:r>
      <w:r>
        <w:rPr>
          <w:sz w:val="24"/>
          <w:szCs w:val="24"/>
          <w:lang w:eastAsia="zh-CN"/>
        </w:rPr>
        <w:t>QHSE</w:t>
      </w:r>
      <w:r>
        <w:rPr>
          <w:rFonts w:hint="eastAsia"/>
          <w:sz w:val="24"/>
          <w:szCs w:val="24"/>
          <w:lang w:eastAsia="zh-CN"/>
        </w:rPr>
        <w:t>）管理体系》</w:t>
      </w:r>
      <w:r>
        <w:rPr>
          <w:sz w:val="24"/>
          <w:szCs w:val="24"/>
          <w:lang w:eastAsia="zh-CN"/>
        </w:rPr>
        <w:t>Q/SHS 0001.1——2001</w:t>
      </w:r>
    </w:p>
    <w:p>
      <w:pPr>
        <w:spacing w:line="360" w:lineRule="auto"/>
        <w:ind w:firstLine="480" w:firstLineChars="200"/>
        <w:rPr>
          <w:sz w:val="24"/>
          <w:szCs w:val="28"/>
          <w:lang w:eastAsia="zh-CN"/>
        </w:rPr>
      </w:pPr>
      <w:r>
        <w:rPr>
          <w:rFonts w:hint="eastAsia"/>
          <w:sz w:val="24"/>
          <w:szCs w:val="28"/>
          <w:lang w:eastAsia="zh-CN"/>
        </w:rPr>
        <w:t>(五)服务质量：</w:t>
      </w:r>
      <w:r>
        <w:rPr>
          <w:rFonts w:hint="eastAsia" w:asciiTheme="minorEastAsia" w:hAnsiTheme="minorEastAsia" w:eastAsiaTheme="minorEastAsia" w:cstheme="minorEastAsia"/>
          <w:kern w:val="59"/>
          <w:sz w:val="24"/>
          <w:szCs w:val="24"/>
          <w:lang w:eastAsia="zh-CN"/>
        </w:rPr>
        <w:t>全优，见“技术要求”。</w:t>
      </w:r>
    </w:p>
    <w:p>
      <w:pPr>
        <w:pStyle w:val="13"/>
        <w:spacing w:line="360" w:lineRule="auto"/>
        <w:ind w:right="222" w:firstLine="480" w:firstLineChars="200"/>
        <w:rPr>
          <w:lang w:eastAsia="zh-CN"/>
        </w:rPr>
      </w:pPr>
      <w:r>
        <w:rPr>
          <w:rFonts w:ascii="Times New Roman" w:eastAsia="Times New Roman"/>
          <w:lang w:eastAsia="zh-CN"/>
        </w:rPr>
        <w:t>(</w:t>
      </w:r>
      <w:r>
        <w:rPr>
          <w:rFonts w:hint="eastAsia" w:ascii="Times New Roman"/>
          <w:lang w:eastAsia="zh-CN"/>
        </w:rPr>
        <w:t>六</w:t>
      </w:r>
      <w:r>
        <w:rPr>
          <w:rFonts w:ascii="Times New Roman" w:eastAsia="Times New Roman"/>
          <w:lang w:eastAsia="zh-CN"/>
        </w:rPr>
        <w:t>)</w:t>
      </w:r>
      <w:r>
        <w:rPr>
          <w:rFonts w:hint="eastAsia" w:ascii="Times New Roman" w:eastAsiaTheme="minorEastAsia"/>
          <w:lang w:eastAsia="zh-CN"/>
        </w:rPr>
        <w:t xml:space="preserve"> </w:t>
      </w:r>
      <w:r>
        <w:rPr>
          <w:rFonts w:hint="eastAsia"/>
          <w:lang w:eastAsia="zh-CN"/>
        </w:rPr>
        <w:t>服务期限</w:t>
      </w:r>
      <w:r>
        <w:rPr>
          <w:lang w:eastAsia="zh-CN"/>
        </w:rPr>
        <w:t>：</w:t>
      </w:r>
      <w:r>
        <w:rPr>
          <w:rFonts w:hint="eastAsia" w:asciiTheme="minorEastAsia" w:hAnsiTheme="minorEastAsia" w:eastAsiaTheme="minorEastAsia" w:cstheme="minorEastAsia"/>
          <w:kern w:val="59"/>
          <w:lang w:eastAsia="zh-CN"/>
        </w:rPr>
        <w:t>24个月，</w:t>
      </w:r>
      <w:r>
        <w:rPr>
          <w:rFonts w:hint="eastAsia"/>
          <w:lang w:eastAsia="zh-CN"/>
        </w:rPr>
        <w:t>具体时间以合同签订的为准。</w:t>
      </w:r>
    </w:p>
    <w:p>
      <w:pPr>
        <w:pStyle w:val="13"/>
        <w:spacing w:line="360" w:lineRule="auto"/>
        <w:ind w:right="222" w:firstLine="482" w:firstLineChars="200"/>
        <w:rPr>
          <w:lang w:eastAsia="zh-CN"/>
        </w:rPr>
      </w:pPr>
      <w:r>
        <w:rPr>
          <w:rFonts w:hint="eastAsia"/>
          <w:b/>
          <w:bCs/>
          <w:lang w:eastAsia="zh-CN"/>
        </w:rPr>
        <w:t>备注：参选人必须对同一个合同包中的全部货物与服务进行投标，不得仅对合同包中的部分货物或服务进行投标，否则其投标文件将被拒绝。</w:t>
      </w:r>
    </w:p>
    <w:p>
      <w:pPr>
        <w:pStyle w:val="3"/>
        <w:spacing w:line="360" w:lineRule="auto"/>
        <w:rPr>
          <w:sz w:val="24"/>
          <w:szCs w:val="24"/>
          <w:lang w:eastAsia="zh-CN"/>
        </w:rPr>
      </w:pPr>
      <w:r>
        <w:rPr>
          <w:w w:val="95"/>
          <w:sz w:val="24"/>
          <w:szCs w:val="24"/>
          <w:lang w:eastAsia="zh-CN"/>
        </w:rPr>
        <w:t>二、定义和解释</w:t>
      </w:r>
    </w:p>
    <w:p>
      <w:pPr>
        <w:pStyle w:val="13"/>
        <w:spacing w:line="360" w:lineRule="auto"/>
        <w:ind w:left="598"/>
        <w:rPr>
          <w:lang w:eastAsia="zh-CN"/>
        </w:rPr>
      </w:pPr>
      <w:r>
        <w:rPr>
          <w:lang w:eastAsia="zh-CN"/>
        </w:rPr>
        <w:t>1.“比选人”系</w:t>
      </w:r>
      <w:r>
        <w:rPr>
          <w:rFonts w:hint="eastAsia"/>
          <w:lang w:eastAsia="zh-CN"/>
        </w:rPr>
        <w:t>福建福海创石油化工</w:t>
      </w:r>
      <w:r>
        <w:rPr>
          <w:lang w:eastAsia="zh-CN"/>
        </w:rPr>
        <w:t>有限公司，即业主方。</w:t>
      </w:r>
    </w:p>
    <w:p>
      <w:pPr>
        <w:pStyle w:val="13"/>
        <w:spacing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pPr>
        <w:pStyle w:val="13"/>
        <w:spacing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Pr>
          <w:rFonts w:hint="eastAsia"/>
          <w:spacing w:val="-10"/>
          <w:lang w:eastAsia="zh-CN"/>
        </w:rPr>
        <w:t>二</w:t>
      </w:r>
      <w:r>
        <w:rPr>
          <w:spacing w:val="-10"/>
          <w:lang w:eastAsia="zh-CN"/>
        </w:rPr>
        <w:t>。</w:t>
      </w:r>
    </w:p>
    <w:p>
      <w:pPr>
        <w:pStyle w:val="3"/>
        <w:spacing w:line="360" w:lineRule="auto"/>
        <w:rPr>
          <w:sz w:val="24"/>
          <w:szCs w:val="24"/>
          <w:lang w:eastAsia="zh-CN"/>
        </w:rPr>
      </w:pPr>
      <w:r>
        <w:rPr>
          <w:w w:val="95"/>
          <w:sz w:val="24"/>
          <w:szCs w:val="24"/>
          <w:lang w:eastAsia="zh-CN"/>
        </w:rPr>
        <w:t>三、比选文件组成</w:t>
      </w:r>
    </w:p>
    <w:p>
      <w:pPr>
        <w:pStyle w:val="13"/>
        <w:spacing w:line="360" w:lineRule="auto"/>
        <w:ind w:left="598"/>
        <w:rPr>
          <w:lang w:eastAsia="zh-CN"/>
        </w:rPr>
      </w:pPr>
      <w:r>
        <w:rPr>
          <w:lang w:eastAsia="zh-CN"/>
        </w:rPr>
        <w:t>1.比选文件包括下列内容：</w:t>
      </w:r>
    </w:p>
    <w:p>
      <w:pPr>
        <w:pStyle w:val="13"/>
        <w:spacing w:before="105"/>
        <w:ind w:left="598"/>
        <w:rPr>
          <w:lang w:eastAsia="zh-CN"/>
        </w:rPr>
      </w:pPr>
      <w:r>
        <w:rPr>
          <w:lang w:eastAsia="zh-CN"/>
        </w:rPr>
        <w:t>比选公告、比选须知、项目内容、合同书格式、报价单、承诺函等。</w:t>
      </w:r>
    </w:p>
    <w:p>
      <w:pPr>
        <w:pStyle w:val="1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pPr>
        <w:pStyle w:val="1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pPr>
        <w:pStyle w:val="13"/>
        <w:spacing w:line="360" w:lineRule="auto"/>
        <w:ind w:left="118"/>
        <w:rPr>
          <w:lang w:eastAsia="zh-CN"/>
        </w:rPr>
      </w:pPr>
      <w:r>
        <w:rPr>
          <w:lang w:eastAsia="zh-CN"/>
        </w:rPr>
        <w:t>重要事项、格式、条款和技术规范、参数及要求等）。参选人没有按照比选文件要求提交</w:t>
      </w:r>
    </w:p>
    <w:p>
      <w:pPr>
        <w:pStyle w:val="1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pPr>
        <w:pStyle w:val="3"/>
        <w:spacing w:line="360" w:lineRule="auto"/>
        <w:ind w:left="680"/>
        <w:rPr>
          <w:sz w:val="24"/>
          <w:szCs w:val="24"/>
          <w:lang w:eastAsia="zh-CN"/>
        </w:rPr>
      </w:pPr>
      <w:r>
        <w:rPr>
          <w:w w:val="95"/>
          <w:sz w:val="24"/>
          <w:szCs w:val="24"/>
          <w:lang w:eastAsia="zh-CN"/>
        </w:rPr>
        <w:t>四、比选文件的澄清</w:t>
      </w:r>
    </w:p>
    <w:p>
      <w:pPr>
        <w:pStyle w:val="13"/>
        <w:spacing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Pr>
          <w:spacing w:val="-20"/>
          <w:u w:val="single"/>
          <w:lang w:eastAsia="zh-CN"/>
        </w:rPr>
        <w:t xml:space="preserve"> </w:t>
      </w:r>
      <w:r>
        <w:rPr>
          <w:u w:val="single"/>
          <w:lang w:eastAsia="zh-CN"/>
        </w:rPr>
        <w:t>3</w:t>
      </w:r>
      <w:r>
        <w:rPr>
          <w:spacing w:val="-13"/>
          <w:u w:val="single"/>
          <w:lang w:eastAsia="zh-CN"/>
        </w:rPr>
        <w:t xml:space="preserve"> </w:t>
      </w:r>
      <w:r>
        <w:rPr>
          <w:spacing w:val="-13"/>
          <w:lang w:eastAsia="zh-CN"/>
        </w:rPr>
        <w:t>日内向比选人提出。参选人若对比选文件有任何疑问，应在参选截止时间前</w:t>
      </w:r>
      <w:r>
        <w:rPr>
          <w:spacing w:val="-13"/>
          <w:u w:val="single"/>
          <w:lang w:eastAsia="zh-CN"/>
        </w:rPr>
        <w:t xml:space="preserve"> </w:t>
      </w:r>
      <w:r>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line="360" w:lineRule="auto"/>
        <w:ind w:left="0" w:firstLine="458" w:firstLineChars="200"/>
        <w:rPr>
          <w:sz w:val="24"/>
          <w:szCs w:val="24"/>
          <w:lang w:eastAsia="zh-CN"/>
        </w:rPr>
      </w:pPr>
      <w:r>
        <w:rPr>
          <w:w w:val="95"/>
          <w:sz w:val="24"/>
          <w:szCs w:val="24"/>
          <w:lang w:eastAsia="zh-CN"/>
        </w:rPr>
        <w:t>五、比选文件的修改、补充</w:t>
      </w:r>
    </w:p>
    <w:p>
      <w:pPr>
        <w:pStyle w:val="13"/>
        <w:spacing w:line="360"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13"/>
        <w:spacing w:line="360"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13"/>
        <w:spacing w:line="360" w:lineRule="auto"/>
        <w:ind w:firstLine="480" w:firstLineChars="200"/>
        <w:rPr>
          <w:lang w:eastAsia="zh-CN"/>
        </w:rPr>
      </w:pPr>
      <w:r>
        <w:rPr>
          <w:lang w:eastAsia="zh-CN"/>
        </w:rPr>
        <w:t>3.比选文件的修改书将构成比选文件的一部分，对参选人具有约束作用。</w:t>
      </w:r>
    </w:p>
    <w:p>
      <w:pPr>
        <w:pStyle w:val="13"/>
        <w:spacing w:before="27" w:line="360" w:lineRule="auto"/>
        <w:ind w:firstLine="480" w:firstLineChars="200"/>
        <w:rPr>
          <w:lang w:eastAsia="zh-CN"/>
        </w:rPr>
      </w:pPr>
      <w:r>
        <w:rPr>
          <w:rFonts w:hint="eastAsia"/>
          <w:lang w:eastAsia="zh-CN"/>
        </w:rPr>
        <w:t>4.比选人所作的一切有效补充、修改文件，均被视为比选文件不可分割的部分。</w:t>
      </w:r>
    </w:p>
    <w:p>
      <w:pPr>
        <w:pStyle w:val="3"/>
        <w:spacing w:line="360" w:lineRule="auto"/>
        <w:rPr>
          <w:sz w:val="24"/>
          <w:szCs w:val="24"/>
          <w:lang w:eastAsia="zh-CN"/>
        </w:rPr>
      </w:pPr>
      <w:r>
        <w:rPr>
          <w:w w:val="95"/>
          <w:sz w:val="24"/>
          <w:szCs w:val="24"/>
          <w:lang w:eastAsia="zh-CN"/>
        </w:rPr>
        <w:t>六、参选人资格</w:t>
      </w:r>
    </w:p>
    <w:p>
      <w:pPr>
        <w:spacing w:line="360" w:lineRule="auto"/>
        <w:ind w:firstLine="480" w:firstLineChars="200"/>
        <w:textAlignment w:val="bottom"/>
        <w:rPr>
          <w:rFonts w:cs="Arial" w:asciiTheme="majorEastAsia" w:hAnsiTheme="majorEastAsia" w:eastAsiaTheme="majorEastAsia"/>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 参选人</w:t>
      </w:r>
      <w:r>
        <w:rPr>
          <w:rFonts w:asciiTheme="majorEastAsia" w:hAnsiTheme="majorEastAsia" w:eastAsiaTheme="majorEastAsia"/>
          <w:kern w:val="59"/>
          <w:sz w:val="24"/>
          <w:szCs w:val="24"/>
          <w:lang w:eastAsia="zh-CN"/>
        </w:rPr>
        <w:t>必须具有中华人民共和国独立法人资格</w:t>
      </w:r>
      <w:r>
        <w:rPr>
          <w:rFonts w:hint="eastAsia" w:asciiTheme="majorEastAsia" w:hAnsiTheme="majorEastAsia" w:eastAsiaTheme="majorEastAsia"/>
          <w:kern w:val="59"/>
          <w:sz w:val="24"/>
          <w:szCs w:val="24"/>
          <w:lang w:eastAsia="zh-CN"/>
        </w:rPr>
        <w:t>，营业执照年检合格</w:t>
      </w:r>
      <w:r>
        <w:rPr>
          <w:rFonts w:hint="eastAsia" w:asciiTheme="majorEastAsia" w:hAnsiTheme="majorEastAsia" w:eastAsiaTheme="majorEastAsia"/>
          <w:sz w:val="24"/>
          <w:szCs w:val="24"/>
          <w:lang w:eastAsia="zh-CN"/>
        </w:rPr>
        <w:t>。</w:t>
      </w:r>
    </w:p>
    <w:p>
      <w:pPr>
        <w:adjustRightInd w:val="0"/>
        <w:snapToGrid w:val="0"/>
        <w:spacing w:line="360" w:lineRule="auto"/>
        <w:ind w:firstLine="480" w:firstLineChars="200"/>
        <w:rPr>
          <w:rFonts w:asciiTheme="majorEastAsia" w:hAnsiTheme="majorEastAsia" w:eastAsiaTheme="majorEastAsia"/>
          <w:sz w:val="24"/>
          <w:szCs w:val="24"/>
          <w:lang w:eastAsia="zh-CN"/>
        </w:rPr>
      </w:pPr>
      <w:r>
        <w:rPr>
          <w:rFonts w:hint="eastAsia" w:cs="Arial" w:asciiTheme="majorEastAsia" w:hAnsiTheme="majorEastAsia" w:eastAsiaTheme="majorEastAsia"/>
          <w:sz w:val="24"/>
          <w:szCs w:val="24"/>
          <w:lang w:eastAsia="zh-CN"/>
        </w:rPr>
        <w:t xml:space="preserve">2. </w:t>
      </w:r>
      <w:r>
        <w:rPr>
          <w:rFonts w:hint="eastAsia"/>
          <w:sz w:val="24"/>
          <w:szCs w:val="24"/>
          <w:lang w:eastAsia="zh-CN"/>
        </w:rPr>
        <w:t>储罐清洗公司成立需3年以上；</w:t>
      </w:r>
    </w:p>
    <w:p>
      <w:pPr>
        <w:adjustRightInd w:val="0"/>
        <w:snapToGrid w:val="0"/>
        <w:spacing w:line="360" w:lineRule="auto"/>
        <w:ind w:firstLine="480" w:firstLineChars="200"/>
        <w:rPr>
          <w:rFonts w:asciiTheme="majorEastAsia" w:hAnsiTheme="majorEastAsia" w:eastAsiaTheme="majorEastAsia" w:cstheme="minorEastAsia"/>
          <w:kern w:val="59"/>
          <w:sz w:val="24"/>
          <w:szCs w:val="24"/>
          <w:lang w:eastAsia="zh-CN"/>
        </w:rPr>
      </w:pPr>
      <w:r>
        <w:rPr>
          <w:rFonts w:hint="eastAsia" w:asciiTheme="majorEastAsia" w:hAnsiTheme="majorEastAsia" w:eastAsiaTheme="majorEastAsia" w:cstheme="minorEastAsia"/>
          <w:kern w:val="59"/>
          <w:sz w:val="24"/>
          <w:szCs w:val="24"/>
          <w:lang w:eastAsia="zh-CN"/>
        </w:rPr>
        <w:t xml:space="preserve">3. </w:t>
      </w:r>
      <w:r>
        <w:rPr>
          <w:rFonts w:hint="eastAsia"/>
          <w:sz w:val="24"/>
          <w:szCs w:val="24"/>
          <w:lang w:eastAsia="zh-CN"/>
        </w:rPr>
        <w:t>具备清洗重质油储罐、轻质油储罐及球罐的资质；</w:t>
      </w:r>
    </w:p>
    <w:p>
      <w:pPr>
        <w:adjustRightInd w:val="0"/>
        <w:snapToGrid w:val="0"/>
        <w:spacing w:line="360" w:lineRule="auto"/>
        <w:ind w:firstLine="480" w:firstLineChars="200"/>
        <w:rPr>
          <w:sz w:val="24"/>
          <w:szCs w:val="24"/>
          <w:lang w:eastAsia="zh-CN"/>
        </w:rPr>
      </w:pPr>
      <w:r>
        <w:rPr>
          <w:rFonts w:hint="eastAsia" w:asciiTheme="majorEastAsia" w:hAnsiTheme="majorEastAsia" w:eastAsiaTheme="majorEastAsia" w:cstheme="minorEastAsia"/>
          <w:kern w:val="59"/>
          <w:sz w:val="24"/>
          <w:szCs w:val="24"/>
          <w:lang w:eastAsia="zh-CN"/>
        </w:rPr>
        <w:t xml:space="preserve">4. </w:t>
      </w:r>
      <w:r>
        <w:rPr>
          <w:rFonts w:hint="eastAsia"/>
          <w:sz w:val="24"/>
          <w:szCs w:val="24"/>
          <w:lang w:eastAsia="zh-CN"/>
        </w:rPr>
        <w:t>清罐公司需同时具备以下业绩：</w:t>
      </w:r>
    </w:p>
    <w:p>
      <w:pPr>
        <w:pStyle w:val="2"/>
        <w:spacing w:line="360" w:lineRule="auto"/>
        <w:rPr>
          <w:rFonts w:ascii="Arial" w:hAnsi="Arial" w:cs="Arial"/>
          <w:sz w:val="24"/>
          <w:szCs w:val="24"/>
        </w:rPr>
      </w:pPr>
      <w:r>
        <w:rPr>
          <w:rFonts w:hint="eastAsia"/>
          <w:sz w:val="24"/>
          <w:szCs w:val="24"/>
        </w:rPr>
        <w:t xml:space="preserve">    1）</w:t>
      </w:r>
      <w:r>
        <w:rPr>
          <w:rFonts w:hint="eastAsia" w:ascii="Arial" w:hAnsi="Arial" w:cs="Arial"/>
          <w:sz w:val="24"/>
          <w:szCs w:val="24"/>
        </w:rPr>
        <w:t>具有大型拱顶储罐、内浮顶储罐、外浮顶储罐、醋酸罐、烧碱罐的清洗经验；</w:t>
      </w:r>
    </w:p>
    <w:p>
      <w:pPr>
        <w:pStyle w:val="2"/>
        <w:spacing w:line="360" w:lineRule="auto"/>
        <w:rPr>
          <w:rFonts w:cs="Arial" w:asciiTheme="majorEastAsia" w:hAnsiTheme="majorEastAsia" w:eastAsiaTheme="majorEastAsia"/>
          <w:sz w:val="24"/>
          <w:szCs w:val="24"/>
        </w:rPr>
      </w:pPr>
      <w:r>
        <w:rPr>
          <w:rFonts w:hint="eastAsia" w:ascii="Arial" w:hAnsi="Arial" w:cs="Arial"/>
          <w:sz w:val="24"/>
          <w:szCs w:val="24"/>
        </w:rPr>
        <w:t xml:space="preserve">       </w:t>
      </w:r>
      <w:r>
        <w:rPr>
          <w:rFonts w:hint="eastAsia" w:cs="Arial" w:asciiTheme="majorEastAsia" w:hAnsiTheme="majorEastAsia" w:eastAsiaTheme="majorEastAsia"/>
          <w:sz w:val="24"/>
          <w:szCs w:val="24"/>
        </w:rPr>
        <w:t>2）2万m³重质油品储罐清理、清洗，且不少于3台；</w:t>
      </w:r>
    </w:p>
    <w:p>
      <w:pPr>
        <w:pStyle w:val="2"/>
        <w:spacing w:line="360" w:lineRule="auto"/>
        <w:rPr>
          <w:rFonts w:cs="Arial" w:asciiTheme="majorEastAsia" w:hAnsiTheme="majorEastAsia" w:eastAsiaTheme="majorEastAsia"/>
          <w:sz w:val="24"/>
          <w:szCs w:val="24"/>
        </w:rPr>
      </w:pPr>
      <w:r>
        <w:rPr>
          <w:rFonts w:hint="eastAsia" w:cs="Arial" w:asciiTheme="majorEastAsia" w:hAnsiTheme="majorEastAsia" w:eastAsiaTheme="majorEastAsia"/>
          <w:sz w:val="24"/>
          <w:szCs w:val="24"/>
        </w:rPr>
        <w:t xml:space="preserve">    3）2万m³轻质油品储罐清理、清洗，且不少于3台；</w:t>
      </w:r>
    </w:p>
    <w:p>
      <w:pPr>
        <w:pStyle w:val="2"/>
        <w:spacing w:line="360" w:lineRule="auto"/>
        <w:rPr>
          <w:rFonts w:asciiTheme="majorEastAsia" w:hAnsiTheme="majorEastAsia" w:eastAsiaTheme="majorEastAsia"/>
          <w:sz w:val="24"/>
          <w:szCs w:val="24"/>
        </w:rPr>
      </w:pPr>
      <w:r>
        <w:rPr>
          <w:rFonts w:hint="eastAsia" w:cs="Arial" w:asciiTheme="majorEastAsia" w:hAnsiTheme="majorEastAsia" w:eastAsiaTheme="majorEastAsia"/>
          <w:sz w:val="24"/>
          <w:szCs w:val="24"/>
        </w:rPr>
        <w:t xml:space="preserve">    4）2万m³以上储罐清洗，且不少于3台；</w:t>
      </w:r>
    </w:p>
    <w:p>
      <w:pPr>
        <w:adjustRightInd w:val="0"/>
        <w:snapToGrid w:val="0"/>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cstheme="minorEastAsia"/>
          <w:kern w:val="59"/>
          <w:sz w:val="24"/>
          <w:szCs w:val="24"/>
          <w:lang w:eastAsia="zh-CN"/>
        </w:rPr>
        <w:t xml:space="preserve">5. </w:t>
      </w:r>
      <w:r>
        <w:rPr>
          <w:rFonts w:asciiTheme="majorEastAsia" w:hAnsiTheme="majorEastAsia" w:eastAsiaTheme="majorEastAsia"/>
          <w:sz w:val="24"/>
          <w:szCs w:val="24"/>
          <w:lang w:eastAsia="zh-CN"/>
        </w:rPr>
        <w:t>没有失信黑名单记录（以最高院失信被执行人系统发布信息为准）；</w:t>
      </w:r>
    </w:p>
    <w:p>
      <w:pPr>
        <w:pStyle w:val="2"/>
        <w:spacing w:line="360" w:lineRule="auto"/>
        <w:ind w:left="1200" w:hanging="1200" w:hangingChars="500"/>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w:t>
      </w:r>
      <w:r>
        <w:rPr>
          <w:rFonts w:hint="eastAsia" w:asciiTheme="majorEastAsia" w:hAnsiTheme="majorEastAsia" w:eastAsiaTheme="majorEastAsia" w:cstheme="minorEastAsia"/>
          <w:kern w:val="59"/>
          <w:sz w:val="24"/>
          <w:szCs w:val="24"/>
        </w:rPr>
        <w:t xml:space="preserve">6. </w:t>
      </w:r>
      <w:r>
        <w:rPr>
          <w:rFonts w:asciiTheme="majorEastAsia" w:hAnsiTheme="majorEastAsia" w:eastAsiaTheme="majorEastAsia"/>
          <w:sz w:val="24"/>
          <w:szCs w:val="24"/>
        </w:rPr>
        <w:t>与</w:t>
      </w:r>
      <w:r>
        <w:rPr>
          <w:rFonts w:hint="eastAsia" w:asciiTheme="majorEastAsia" w:hAnsiTheme="majorEastAsia" w:eastAsiaTheme="majorEastAsia"/>
          <w:sz w:val="24"/>
          <w:szCs w:val="24"/>
        </w:rPr>
        <w:t>比选人</w:t>
      </w:r>
      <w:r>
        <w:rPr>
          <w:rFonts w:asciiTheme="majorEastAsia" w:hAnsiTheme="majorEastAsia" w:eastAsiaTheme="majorEastAsia"/>
          <w:sz w:val="24"/>
          <w:szCs w:val="24"/>
        </w:rPr>
        <w:t>无诉讼纠纷</w:t>
      </w:r>
      <w:r>
        <w:rPr>
          <w:rFonts w:hint="eastAsia" w:asciiTheme="majorEastAsia" w:hAnsiTheme="majorEastAsia" w:eastAsiaTheme="majorEastAsia"/>
          <w:sz w:val="24"/>
          <w:szCs w:val="24"/>
        </w:rPr>
        <w:t>；</w:t>
      </w:r>
    </w:p>
    <w:p>
      <w:pPr>
        <w:spacing w:line="360" w:lineRule="auto"/>
        <w:ind w:right="191" w:rightChars="87" w:firstLine="480" w:firstLineChars="200"/>
        <w:rPr>
          <w:b/>
          <w:w w:val="95"/>
          <w:lang w:eastAsia="zh-CN"/>
        </w:rPr>
      </w:pPr>
      <w:r>
        <w:rPr>
          <w:rFonts w:hint="eastAsia" w:asciiTheme="majorEastAsia" w:hAnsiTheme="majorEastAsia" w:eastAsiaTheme="majorEastAsia" w:cstheme="minorEastAsia"/>
          <w:kern w:val="59"/>
          <w:sz w:val="24"/>
          <w:szCs w:val="24"/>
          <w:lang w:eastAsia="zh-CN"/>
        </w:rPr>
        <w:t xml:space="preserve">7. </w:t>
      </w:r>
      <w:r>
        <w:rPr>
          <w:rFonts w:hint="eastAsia" w:asciiTheme="majorEastAsia" w:hAnsiTheme="majorEastAsia" w:eastAsiaTheme="majorEastAsia"/>
          <w:sz w:val="24"/>
          <w:szCs w:val="24"/>
          <w:lang w:eastAsia="zh-CN"/>
        </w:rPr>
        <w:t>本项目不接受联合体参选。</w:t>
      </w:r>
    </w:p>
    <w:p>
      <w:pPr>
        <w:pStyle w:val="3"/>
        <w:spacing w:line="360" w:lineRule="auto"/>
        <w:rPr>
          <w:sz w:val="24"/>
          <w:szCs w:val="24"/>
          <w:lang w:eastAsia="zh-CN"/>
        </w:rPr>
      </w:pPr>
      <w:r>
        <w:rPr>
          <w:w w:val="95"/>
          <w:sz w:val="24"/>
          <w:szCs w:val="24"/>
          <w:lang w:eastAsia="zh-CN"/>
        </w:rPr>
        <w:t>七、参选保证金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1、参选保证金的金额为：人民币贰万元整（20000.00元）；</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应从参选人基本账户以电汇或银行转账方式提交（以款项到达时间为准），并应在电汇或银行转账单上注明为本项目的参选保证金；</w:t>
      </w:r>
    </w:p>
    <w:p>
      <w:pPr>
        <w:widowControl/>
        <w:tabs>
          <w:tab w:val="left" w:pos="3765"/>
        </w:tabs>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r>
        <w:rPr>
          <w:rFonts w:cs="Arial" w:asciiTheme="majorEastAsia" w:hAnsiTheme="majorEastAsia" w:eastAsiaTheme="majorEastAsia"/>
          <w:color w:val="333333"/>
          <w:sz w:val="24"/>
          <w:szCs w:val="24"/>
          <w:lang w:eastAsia="zh-CN"/>
        </w:rPr>
        <w:tab/>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开户名称：福建福海创石油化工有限公司 </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w:t>
      </w:r>
      <w:r>
        <w:rPr>
          <w:rFonts w:hint="eastAsia"/>
          <w:sz w:val="24"/>
          <w:szCs w:val="24"/>
          <w:lang w:eastAsia="zh-CN"/>
        </w:rPr>
        <w:t>中国银行股份有限公司漳州古雷经济开发区支行</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w:t>
      </w:r>
      <w:r>
        <w:rPr>
          <w:rFonts w:hint="eastAsia"/>
          <w:sz w:val="24"/>
          <w:szCs w:val="24"/>
          <w:lang w:eastAsia="zh-CN"/>
        </w:rPr>
        <w:t>406574816628</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cs="Arial" w:asciiTheme="majorEastAsia" w:hAnsiTheme="majorEastAsia" w:eastAsiaTheme="majorEastAsia"/>
          <w:b/>
          <w:color w:val="333333"/>
          <w:sz w:val="24"/>
          <w:szCs w:val="24"/>
          <w:lang w:eastAsia="zh-CN"/>
        </w:rPr>
        <w:t>储罐清洗</w:t>
      </w:r>
      <w:r>
        <w:rPr>
          <w:rFonts w:hint="eastAsia" w:asciiTheme="majorEastAsia" w:hAnsiTheme="majorEastAsia" w:eastAsiaTheme="majorEastAsia"/>
          <w:b/>
          <w:sz w:val="24"/>
          <w:szCs w:val="24"/>
          <w:lang w:eastAsia="zh-CN"/>
        </w:rPr>
        <w:t>年约项目</w:t>
      </w:r>
      <w:r>
        <w:rPr>
          <w:rFonts w:hint="eastAsia" w:cs="Arial" w:asciiTheme="majorEastAsia" w:hAnsiTheme="majorEastAsia" w:eastAsiaTheme="majorEastAsia"/>
          <w:b/>
          <w:color w:val="333333"/>
          <w:sz w:val="24"/>
          <w:szCs w:val="24"/>
          <w:lang w:eastAsia="zh-CN"/>
        </w:rPr>
        <w:t>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spacing w:line="360" w:lineRule="auto"/>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13"/>
        <w:spacing w:line="360" w:lineRule="auto"/>
        <w:ind w:right="121" w:firstLine="480" w:firstLineChars="200"/>
        <w:jc w:val="both"/>
        <w:rPr>
          <w:lang w:eastAsia="zh-CN"/>
        </w:rPr>
      </w:pPr>
      <w:r>
        <w:rPr>
          <w:rFonts w:hint="eastAsia"/>
          <w:lang w:eastAsia="zh-CN"/>
        </w:rPr>
        <w:t>5.对于未能按要求提交保证金的参选文件，比选单位可以视为不符合上面比选要求而予以拒绝；</w:t>
      </w:r>
    </w:p>
    <w:p>
      <w:pPr>
        <w:pStyle w:val="13"/>
        <w:spacing w:line="360" w:lineRule="auto"/>
        <w:ind w:right="121" w:firstLine="480" w:firstLineChars="200"/>
        <w:jc w:val="both"/>
        <w:rPr>
          <w:lang w:eastAsia="zh-CN"/>
        </w:rPr>
      </w:pPr>
      <w:r>
        <w:rPr>
          <w:rFonts w:hint="eastAsia"/>
          <w:lang w:eastAsia="zh-CN"/>
        </w:rPr>
        <w:t>6.</w:t>
      </w:r>
      <w:r>
        <w:rPr>
          <w:rFonts w:hint="eastAsia"/>
          <w:spacing w:val="8"/>
          <w:lang w:eastAsia="zh-CN"/>
        </w:rPr>
        <w:t xml:space="preserve"> 本项目比选结束后，未中选的参选人其所递交的参选保证金将于本项目合同签订后退回至参选人</w:t>
      </w:r>
      <w:r>
        <w:rPr>
          <w:rFonts w:hint="eastAsia"/>
          <w:lang w:eastAsia="zh-CN"/>
        </w:rPr>
        <w:t>基本账户</w:t>
      </w:r>
      <w:r>
        <w:rPr>
          <w:rFonts w:hint="eastAsia"/>
          <w:spacing w:val="8"/>
          <w:lang w:eastAsia="zh-CN"/>
        </w:rPr>
        <w:t>（无息）</w:t>
      </w:r>
      <w:r>
        <w:rPr>
          <w:rFonts w:hint="eastAsia"/>
          <w:lang w:eastAsia="zh-CN"/>
        </w:rPr>
        <w:t>，最迟不超过规定的比选有效期满后的20天；</w:t>
      </w:r>
    </w:p>
    <w:p>
      <w:pPr>
        <w:pStyle w:val="13"/>
        <w:spacing w:line="360" w:lineRule="auto"/>
        <w:ind w:right="121" w:firstLine="480" w:firstLineChars="200"/>
        <w:jc w:val="both"/>
        <w:rPr>
          <w:color w:val="000000" w:themeColor="text1"/>
          <w:lang w:eastAsia="zh-CN"/>
        </w:rPr>
      </w:pPr>
      <w:r>
        <w:rPr>
          <w:rFonts w:hint="eastAsia"/>
          <w:lang w:eastAsia="zh-CN"/>
        </w:rPr>
        <w:t>7.中选者的参选保证金（无息），将在合同签订后自动转为履约保证金，将于合同周期完成后1</w:t>
      </w:r>
      <w:r>
        <w:rPr>
          <w:lang w:eastAsia="zh-CN"/>
        </w:rPr>
        <w:t>5</w:t>
      </w:r>
      <w:r>
        <w:rPr>
          <w:rFonts w:hint="eastAsia"/>
          <w:lang w:eastAsia="zh-CN"/>
        </w:rPr>
        <w:t>个工作日内，甲方无息退还履约保证金；</w:t>
      </w:r>
    </w:p>
    <w:p>
      <w:pPr>
        <w:pStyle w:val="13"/>
        <w:spacing w:line="360" w:lineRule="auto"/>
        <w:ind w:right="121" w:firstLine="480" w:firstLineChars="200"/>
        <w:jc w:val="both"/>
        <w:rPr>
          <w:lang w:eastAsia="zh-CN"/>
        </w:rPr>
      </w:pPr>
      <w:r>
        <w:rPr>
          <w:rFonts w:hint="eastAsia"/>
          <w:lang w:eastAsia="zh-CN"/>
        </w:rPr>
        <w:t>8.如有下列情况发生，将被没收参选保证金：</w:t>
      </w:r>
    </w:p>
    <w:p>
      <w:pPr>
        <w:pStyle w:val="13"/>
        <w:spacing w:line="360" w:lineRule="auto"/>
        <w:ind w:right="121"/>
        <w:jc w:val="both"/>
        <w:rPr>
          <w:lang w:eastAsia="zh-CN"/>
        </w:rPr>
      </w:pPr>
      <w:r>
        <w:rPr>
          <w:rFonts w:hint="eastAsia"/>
          <w:lang w:eastAsia="zh-CN"/>
        </w:rPr>
        <w:t xml:space="preserve">   （1）参选单位在参选有效期内撤回参选文件；</w:t>
      </w:r>
    </w:p>
    <w:p>
      <w:pPr>
        <w:widowControl/>
        <w:autoSpaceDE/>
        <w:autoSpaceDN/>
        <w:spacing w:line="360" w:lineRule="auto"/>
        <w:ind w:firstLine="480"/>
        <w:jc w:val="both"/>
        <w:rPr>
          <w:lang w:eastAsia="zh-CN"/>
        </w:rPr>
      </w:pPr>
      <w:r>
        <w:rPr>
          <w:rFonts w:hint="eastAsia"/>
          <w:sz w:val="24"/>
          <w:szCs w:val="24"/>
          <w:lang w:eastAsia="zh-CN"/>
        </w:rPr>
        <w:t>（2）参选单位未能按接到中标通知书后规定的时间内签定合同。</w:t>
      </w:r>
    </w:p>
    <w:p>
      <w:pPr>
        <w:pStyle w:val="3"/>
        <w:spacing w:line="360" w:lineRule="auto"/>
        <w:rPr>
          <w:sz w:val="24"/>
          <w:szCs w:val="24"/>
          <w:lang w:eastAsia="zh-CN"/>
        </w:rPr>
      </w:pPr>
      <w:r>
        <w:rPr>
          <w:w w:val="95"/>
          <w:sz w:val="24"/>
          <w:szCs w:val="24"/>
          <w:lang w:eastAsia="zh-CN"/>
        </w:rPr>
        <w:t>八、参选文件的递交</w:t>
      </w:r>
    </w:p>
    <w:p>
      <w:pPr>
        <w:pStyle w:val="4"/>
        <w:tabs>
          <w:tab w:val="left" w:pos="6879"/>
        </w:tabs>
        <w:spacing w:line="360" w:lineRule="auto"/>
        <w:ind w:left="0" w:right="106" w:firstLine="472" w:firstLineChars="196"/>
        <w:rPr>
          <w:lang w:eastAsia="zh-CN"/>
        </w:rPr>
      </w:pPr>
      <w:r>
        <w:rPr>
          <w:lang w:eastAsia="zh-CN"/>
        </w:rPr>
        <w:t>1.参选文件递交的截止时间：</w:t>
      </w:r>
      <w:r>
        <w:rPr>
          <w:rFonts w:hint="eastAsia"/>
          <w:lang w:eastAsia="zh-CN"/>
        </w:rPr>
        <w:t>见比选公告</w:t>
      </w:r>
    </w:p>
    <w:p>
      <w:pPr>
        <w:pStyle w:val="4"/>
        <w:tabs>
          <w:tab w:val="left" w:pos="6879"/>
        </w:tabs>
        <w:spacing w:line="360" w:lineRule="auto"/>
        <w:ind w:left="0" w:right="106" w:firstLine="472" w:firstLineChars="196"/>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漳州市漳浦县杜浔镇杜昌路9号</w:t>
      </w:r>
    </w:p>
    <w:p>
      <w:pPr>
        <w:pStyle w:val="4"/>
        <w:tabs>
          <w:tab w:val="left" w:pos="6879"/>
        </w:tabs>
        <w:spacing w:line="360" w:lineRule="auto"/>
        <w:ind w:left="119" w:leftChars="54" w:right="106" w:firstLine="834" w:firstLineChars="346"/>
        <w:rPr>
          <w:spacing w:val="-4"/>
          <w:lang w:eastAsia="zh-CN"/>
        </w:rPr>
      </w:pPr>
      <w:r>
        <w:rPr>
          <w:rFonts w:hint="eastAsia"/>
          <w:lang w:eastAsia="zh-CN"/>
        </w:rPr>
        <w:t>商务</w:t>
      </w:r>
      <w:r>
        <w:rPr>
          <w:lang w:eastAsia="zh-CN"/>
        </w:rPr>
        <w:t>联系人</w:t>
      </w:r>
      <w:r>
        <w:rPr>
          <w:spacing w:val="-56"/>
          <w:lang w:eastAsia="zh-CN"/>
        </w:rPr>
        <w:t>：</w:t>
      </w:r>
      <w:r>
        <w:rPr>
          <w:rFonts w:hint="eastAsia"/>
          <w:lang w:eastAsia="zh-CN"/>
        </w:rPr>
        <w:t xml:space="preserve">纪捍政    </w:t>
      </w:r>
      <w:r>
        <w:rPr>
          <w:spacing w:val="-6"/>
          <w:lang w:eastAsia="zh-CN"/>
        </w:rPr>
        <w:t xml:space="preserve"> </w:t>
      </w:r>
      <w:r>
        <w:rPr>
          <w:lang w:eastAsia="zh-CN"/>
        </w:rPr>
        <w:t>电话</w:t>
      </w:r>
      <w:r>
        <w:rPr>
          <w:spacing w:val="-4"/>
          <w:lang w:eastAsia="zh-CN"/>
        </w:rPr>
        <w:t>：</w:t>
      </w:r>
      <w:r>
        <w:rPr>
          <w:rFonts w:hint="eastAsia"/>
          <w:spacing w:val="-4"/>
          <w:lang w:eastAsia="zh-CN"/>
        </w:rPr>
        <w:t>0596-6311823</w:t>
      </w:r>
    </w:p>
    <w:p>
      <w:pPr>
        <w:pStyle w:val="4"/>
        <w:tabs>
          <w:tab w:val="left" w:pos="6879"/>
        </w:tabs>
        <w:spacing w:line="360" w:lineRule="auto"/>
        <w:ind w:left="119" w:leftChars="54" w:right="106" w:firstLine="806" w:firstLineChars="346"/>
        <w:rPr>
          <w:spacing w:val="-6"/>
          <w:lang w:eastAsia="zh-CN"/>
        </w:rPr>
      </w:pPr>
      <w:r>
        <w:rPr>
          <w:rFonts w:hint="eastAsia"/>
          <w:spacing w:val="-4"/>
          <w:lang w:eastAsia="zh-CN"/>
        </w:rPr>
        <w:t xml:space="preserve">技术联系人：陈灿峰     电话：15260065964 </w:t>
      </w:r>
    </w:p>
    <w:p>
      <w:pPr>
        <w:spacing w:line="360" w:lineRule="auto"/>
        <w:ind w:left="598" w:leftChars="272" w:firstLine="236" w:firstLineChars="98"/>
        <w:rPr>
          <w:b/>
          <w:sz w:val="24"/>
          <w:lang w:eastAsia="zh-CN"/>
        </w:rPr>
      </w:pPr>
      <w:r>
        <w:rPr>
          <w:b/>
          <w:sz w:val="24"/>
          <w:lang w:eastAsia="zh-CN"/>
        </w:rPr>
        <w:t>注：请使用顺丰快递或中国邮政 EMS 快递，其他快递不能保证送达目的地。</w:t>
      </w:r>
    </w:p>
    <w:p>
      <w:pPr>
        <w:pStyle w:val="13"/>
        <w:spacing w:line="360" w:lineRule="auto"/>
        <w:ind w:firstLine="480" w:firstLineChars="200"/>
        <w:rPr>
          <w:lang w:eastAsia="zh-CN"/>
        </w:rPr>
      </w:pPr>
      <w:r>
        <w:rPr>
          <w:lang w:eastAsia="zh-CN"/>
        </w:rPr>
        <w:t>3.只允许参选人有一个参选方案，否则将被视为无效参选。</w:t>
      </w:r>
    </w:p>
    <w:p>
      <w:pPr>
        <w:pStyle w:val="13"/>
        <w:spacing w:line="360" w:lineRule="auto"/>
        <w:ind w:right="106" w:firstLine="480" w:firstLineChars="20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13"/>
        <w:spacing w:before="21" w:line="360" w:lineRule="auto"/>
        <w:ind w:right="106" w:firstLine="480" w:firstLineChars="200"/>
        <w:jc w:val="both"/>
        <w:rPr>
          <w:lang w:eastAsia="zh-CN"/>
        </w:rPr>
      </w:pPr>
      <w:r>
        <w:rPr>
          <w:lang w:eastAsia="zh-CN"/>
        </w:rPr>
        <w:t>5.</w:t>
      </w:r>
      <w:r>
        <w:rPr>
          <w:spacing w:val="-9"/>
          <w:lang w:eastAsia="zh-CN"/>
        </w:rPr>
        <w:t>参选人收到比选文件后，如有疑问要澄清，请以书面形式在规定时间内报比选人汇总。</w:t>
      </w:r>
    </w:p>
    <w:p>
      <w:pPr>
        <w:pStyle w:val="13"/>
        <w:spacing w:line="360" w:lineRule="auto"/>
        <w:ind w:right="106" w:firstLine="480" w:firstLineChars="20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3"/>
        <w:spacing w:line="360" w:lineRule="auto"/>
        <w:ind w:right="106" w:firstLine="444" w:firstLineChars="200"/>
        <w:jc w:val="both"/>
        <w:rPr>
          <w:lang w:eastAsia="zh-CN"/>
        </w:rPr>
      </w:pPr>
      <w:r>
        <w:rPr>
          <w:rFonts w:hint="eastAsia"/>
          <w:spacing w:val="-9"/>
          <w:lang w:eastAsia="zh-CN"/>
        </w:rPr>
        <w:t>7、</w:t>
      </w:r>
      <w:r>
        <w:rPr>
          <w:rFonts w:hint="eastAsia"/>
          <w:b/>
          <w:spacing w:val="-9"/>
          <w:lang w:eastAsia="zh-CN"/>
        </w:rPr>
        <w:t>递交的参选文件中须包含</w:t>
      </w:r>
      <w:r>
        <w:rPr>
          <w:rFonts w:hint="eastAsia"/>
          <w:b/>
          <w:color w:val="000000"/>
          <w:lang w:eastAsia="zh-CN"/>
        </w:rPr>
        <w:t>参选保证金汇款底单（</w:t>
      </w:r>
      <w:r>
        <w:rPr>
          <w:rFonts w:hint="eastAsia"/>
          <w:b/>
          <w:spacing w:val="8"/>
          <w:lang w:eastAsia="zh-CN"/>
        </w:rPr>
        <w:t>加盖单位公章的复印件</w:t>
      </w:r>
      <w:r>
        <w:rPr>
          <w:rFonts w:hint="eastAsia"/>
          <w:b/>
          <w:color w:val="000000"/>
          <w:lang w:eastAsia="zh-CN"/>
        </w:rPr>
        <w:t>）</w:t>
      </w:r>
    </w:p>
    <w:p>
      <w:pPr>
        <w:pStyle w:val="3"/>
        <w:spacing w:line="360" w:lineRule="auto"/>
        <w:ind w:left="0" w:firstLine="458" w:firstLineChars="200"/>
        <w:rPr>
          <w:sz w:val="24"/>
          <w:szCs w:val="24"/>
          <w:lang w:eastAsia="zh-CN"/>
        </w:rPr>
      </w:pPr>
      <w:r>
        <w:rPr>
          <w:rFonts w:hint="eastAsia"/>
          <w:w w:val="95"/>
          <w:sz w:val="24"/>
          <w:szCs w:val="24"/>
          <w:lang w:eastAsia="zh-CN"/>
        </w:rPr>
        <w:t>九</w:t>
      </w:r>
      <w:r>
        <w:rPr>
          <w:w w:val="95"/>
          <w:sz w:val="24"/>
          <w:szCs w:val="24"/>
          <w:lang w:eastAsia="zh-CN"/>
        </w:rPr>
        <w:t>、</w:t>
      </w:r>
      <w:r>
        <w:rPr>
          <w:rFonts w:hint="eastAsia"/>
          <w:w w:val="95"/>
          <w:sz w:val="24"/>
          <w:szCs w:val="24"/>
          <w:lang w:eastAsia="zh-CN"/>
        </w:rPr>
        <w:t>异议</w:t>
      </w:r>
    </w:p>
    <w:p>
      <w:pPr>
        <w:pStyle w:val="16"/>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sz w:val="24"/>
          <w:lang w:eastAsia="zh-CN"/>
        </w:rPr>
        <w:t>中选人确定后，比选人不对未中选人就比选过程以及未能中选的原因做出任何解释。</w:t>
      </w:r>
    </w:p>
    <w:p>
      <w:pPr>
        <w:pStyle w:val="16"/>
        <w:tabs>
          <w:tab w:val="left" w:pos="0"/>
          <w:tab w:val="left" w:pos="567"/>
          <w:tab w:val="left" w:pos="993"/>
          <w:tab w:val="left" w:pos="1135"/>
        </w:tabs>
        <w:spacing w:line="360" w:lineRule="auto"/>
        <w:ind w:firstLine="482"/>
        <w:rPr>
          <w:rFonts w:hAnsi="宋体" w:cs="宋体"/>
          <w:bCs/>
          <w:color w:val="000000"/>
          <w:sz w:val="24"/>
          <w:szCs w:val="24"/>
          <w:lang w:eastAsia="zh-CN"/>
        </w:rPr>
      </w:pPr>
      <w:r>
        <w:rPr>
          <w:rFonts w:hint="eastAsia" w:hAnsi="宋体" w:cs="宋体"/>
          <w:bCs/>
          <w:sz w:val="24"/>
          <w:szCs w:val="24"/>
          <w:lang w:eastAsia="zh-CN"/>
        </w:rPr>
        <w:t>潜在参选人或参选人及其他利害关系人对比选文件或比选结果有异议的，应当在规定的期限内以书面的形式向比选人提出。</w:t>
      </w:r>
      <w:r>
        <w:rPr>
          <w:rFonts w:hint="eastAsia" w:hAnsi="宋体" w:cs="宋体"/>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（1）异议人的名称、地址及有效联系方式；</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（2）被异议人的名称（仅适用于对比选结果的异议）；</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（3）异议事项的基本事实；</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（4）相关请求及主张；</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 xml:space="preserve">（5）有效线索和相关证明材料。 </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sz w:val="24"/>
          <w:szCs w:val="24"/>
          <w:lang w:eastAsia="zh-CN"/>
        </w:rPr>
        <w:t>有下列情形之一的异议，不予受理：</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（1）</w:t>
      </w:r>
      <w:r>
        <w:rPr>
          <w:rFonts w:hint="eastAsia" w:hAnsi="宋体" w:cs="宋体"/>
          <w:bCs/>
          <w:sz w:val="24"/>
          <w:szCs w:val="24"/>
          <w:lang w:eastAsia="zh-CN"/>
        </w:rPr>
        <w:t>对比选结果有异议的异议人不是本项目的参与者，或者与本项目无任何利害关系；</w:t>
      </w:r>
    </w:p>
    <w:p>
      <w:pPr>
        <w:pStyle w:val="16"/>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color w:val="000000"/>
          <w:sz w:val="24"/>
          <w:szCs w:val="24"/>
          <w:lang w:eastAsia="zh-CN"/>
        </w:rPr>
        <w:t>（2）</w:t>
      </w:r>
      <w:r>
        <w:rPr>
          <w:rFonts w:hint="eastAsia" w:hAnsi="宋体" w:cs="宋体"/>
          <w:bCs/>
          <w:sz w:val="24"/>
          <w:szCs w:val="24"/>
          <w:lang w:eastAsia="zh-CN"/>
        </w:rPr>
        <w:t xml:space="preserve">异议事项不具体，且未提供有效线索，难以查证的； </w:t>
      </w:r>
    </w:p>
    <w:p>
      <w:pPr>
        <w:pStyle w:val="16"/>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color w:val="000000"/>
          <w:sz w:val="24"/>
          <w:szCs w:val="24"/>
          <w:lang w:eastAsia="zh-CN"/>
        </w:rPr>
        <w:t>（3）</w:t>
      </w:r>
      <w:r>
        <w:rPr>
          <w:rFonts w:hint="eastAsia" w:hAnsi="宋体" w:cs="宋体"/>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lang w:eastAsia="zh-CN"/>
        </w:rPr>
      </w:pPr>
      <w:r>
        <w:rPr>
          <w:rFonts w:hint="eastAsia"/>
          <w:bCs/>
          <w:color w:val="000000"/>
          <w:sz w:val="24"/>
          <w:szCs w:val="24"/>
          <w:lang w:eastAsia="zh-CN"/>
        </w:rPr>
        <w:t>（4）</w:t>
      </w:r>
      <w:r>
        <w:rPr>
          <w:rFonts w:hint="eastAsia"/>
          <w:bCs/>
          <w:sz w:val="24"/>
          <w:szCs w:val="24"/>
          <w:lang w:eastAsia="zh-CN"/>
        </w:rPr>
        <w:t>超过异议时效的。</w:t>
      </w:r>
    </w:p>
    <w:p>
      <w:pPr>
        <w:pStyle w:val="3"/>
        <w:spacing w:line="360" w:lineRule="auto"/>
        <w:rPr>
          <w:sz w:val="24"/>
          <w:szCs w:val="24"/>
          <w:lang w:eastAsia="zh-CN"/>
        </w:rPr>
      </w:pPr>
      <w:r>
        <w:rPr>
          <w:rFonts w:hint="eastAsia"/>
          <w:w w:val="95"/>
          <w:sz w:val="24"/>
          <w:szCs w:val="24"/>
          <w:lang w:eastAsia="zh-CN"/>
        </w:rPr>
        <w:t>十</w:t>
      </w:r>
      <w:r>
        <w:rPr>
          <w:w w:val="95"/>
          <w:sz w:val="24"/>
          <w:szCs w:val="24"/>
          <w:lang w:eastAsia="zh-CN"/>
        </w:rPr>
        <w:t>、</w:t>
      </w:r>
      <w:r>
        <w:rPr>
          <w:rFonts w:hint="eastAsia"/>
          <w:sz w:val="24"/>
          <w:szCs w:val="24"/>
          <w:lang w:eastAsia="zh-CN"/>
        </w:rPr>
        <w:t>最高控制价及投标报价要求</w:t>
      </w:r>
    </w:p>
    <w:p>
      <w:pPr>
        <w:spacing w:line="360" w:lineRule="auto"/>
        <w:ind w:firstLine="480" w:firstLineChars="200"/>
        <w:rPr>
          <w:bCs/>
          <w:sz w:val="24"/>
          <w:szCs w:val="24"/>
          <w:lang w:eastAsia="zh-CN"/>
        </w:rPr>
      </w:pPr>
      <w:r>
        <w:rPr>
          <w:rFonts w:hint="eastAsia"/>
          <w:bCs/>
          <w:sz w:val="24"/>
          <w:szCs w:val="24"/>
          <w:lang w:eastAsia="zh-CN"/>
        </w:rPr>
        <w:t>1、</w:t>
      </w:r>
      <w:r>
        <w:rPr>
          <w:rFonts w:hint="eastAsia"/>
          <w:b/>
          <w:bCs/>
          <w:sz w:val="24"/>
          <w:szCs w:val="24"/>
          <w:lang w:eastAsia="zh-CN"/>
        </w:rPr>
        <w:t>本项目采取暂定总价，固定综合单价，据实结算的方式执行。</w:t>
      </w:r>
    </w:p>
    <w:p>
      <w:pPr>
        <w:spacing w:line="360" w:lineRule="auto"/>
        <w:ind w:firstLine="482" w:firstLineChars="200"/>
        <w:rPr>
          <w:b/>
          <w:bCs/>
          <w:sz w:val="24"/>
          <w:szCs w:val="24"/>
          <w:lang w:eastAsia="zh-CN"/>
        </w:rPr>
      </w:pPr>
      <w:r>
        <w:rPr>
          <w:rFonts w:hint="eastAsia"/>
          <w:b/>
          <w:bCs/>
          <w:sz w:val="24"/>
          <w:szCs w:val="24"/>
          <w:lang w:eastAsia="zh-CN"/>
        </w:rPr>
        <w:t>2、</w:t>
      </w:r>
      <w:r>
        <w:rPr>
          <w:rFonts w:hint="eastAsia" w:cs="Arial"/>
          <w:sz w:val="24"/>
          <w:szCs w:val="24"/>
          <w:lang w:eastAsia="zh-CN"/>
        </w:rPr>
        <w:t>报价时应将风险包干费计入综合单价，</w:t>
      </w:r>
      <w:r>
        <w:rPr>
          <w:rFonts w:hint="eastAsia" w:cs="Times New Roman"/>
          <w:kern w:val="2"/>
          <w:sz w:val="24"/>
          <w:szCs w:val="24"/>
          <w:lang w:eastAsia="zh-CN"/>
        </w:rPr>
        <w:t>同时包含税金、厂内外运输、安装、加班费等一切费用。</w:t>
      </w:r>
    </w:p>
    <w:p>
      <w:pPr>
        <w:spacing w:line="360" w:lineRule="auto"/>
        <w:ind w:firstLine="480" w:firstLineChars="200"/>
        <w:rPr>
          <w:rFonts w:cs="Arial"/>
          <w:sz w:val="24"/>
          <w:szCs w:val="24"/>
          <w:lang w:eastAsia="zh-CN"/>
        </w:rPr>
      </w:pPr>
      <w:r>
        <w:rPr>
          <w:rFonts w:hint="eastAsia"/>
          <w:bCs/>
          <w:sz w:val="24"/>
          <w:szCs w:val="24"/>
          <w:lang w:eastAsia="zh-CN"/>
        </w:rPr>
        <w:t>3、</w:t>
      </w:r>
      <w:r>
        <w:rPr>
          <w:rFonts w:hint="eastAsia" w:cs="Arial"/>
          <w:sz w:val="24"/>
          <w:szCs w:val="24"/>
          <w:lang w:eastAsia="zh-CN"/>
        </w:rPr>
        <w:t>合同价款中所包含的风险范围包含：（1）因工程项目清单有错、漏，导致工程报价不准确；（2）因市场变化、政策性调整导致人工、机械和材料价格变化；（3）按合同工期完工所采取的赶工措施</w:t>
      </w:r>
      <w:r>
        <w:rPr>
          <w:rFonts w:cs="Arial"/>
          <w:sz w:val="24"/>
          <w:szCs w:val="24"/>
          <w:lang w:eastAsia="zh-CN"/>
        </w:rPr>
        <w:t>。</w:t>
      </w:r>
    </w:p>
    <w:p>
      <w:pPr>
        <w:tabs>
          <w:tab w:val="left" w:pos="0"/>
          <w:tab w:val="left" w:pos="993"/>
          <w:tab w:val="left" w:pos="1134"/>
        </w:tabs>
        <w:spacing w:line="360" w:lineRule="auto"/>
        <w:ind w:firstLine="480" w:firstLineChars="200"/>
        <w:rPr>
          <w:bCs/>
          <w:sz w:val="24"/>
          <w:lang w:eastAsia="zh-CN"/>
        </w:rPr>
      </w:pPr>
      <w:r>
        <w:rPr>
          <w:rFonts w:hint="eastAsia"/>
          <w:bCs/>
          <w:sz w:val="24"/>
          <w:szCs w:val="24"/>
          <w:lang w:eastAsia="zh-CN"/>
        </w:rPr>
        <w:t>参选人应以完成本比选文件“</w:t>
      </w:r>
      <w:r>
        <w:rPr>
          <w:rFonts w:hint="eastAsia"/>
          <w:b/>
          <w:bCs/>
          <w:sz w:val="24"/>
          <w:szCs w:val="24"/>
          <w:lang w:eastAsia="zh-CN"/>
        </w:rPr>
        <w:t>储运团队储罐清洗总体要求</w:t>
      </w:r>
      <w:r>
        <w:rPr>
          <w:rFonts w:hint="eastAsia"/>
          <w:bCs/>
          <w:sz w:val="24"/>
          <w:szCs w:val="24"/>
          <w:lang w:eastAsia="zh-CN"/>
        </w:rPr>
        <w:t>”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r>
        <w:rPr>
          <w:rFonts w:hint="eastAsia"/>
          <w:bCs/>
          <w:sz w:val="24"/>
          <w:lang w:eastAsia="zh-CN"/>
        </w:rPr>
        <w:t>比选文件中要求列入参选的费用，漏（缺）报的视同已含在参选总价中（具体见附件报价表中的说明）。</w:t>
      </w:r>
    </w:p>
    <w:p>
      <w:pPr>
        <w:pStyle w:val="2"/>
        <w:spacing w:line="360" w:lineRule="auto"/>
        <w:ind w:firstLine="472" w:firstLineChars="200"/>
        <w:rPr>
          <w:sz w:val="24"/>
          <w:szCs w:val="24"/>
        </w:rPr>
      </w:pPr>
      <w:r>
        <w:rPr>
          <w:rFonts w:hint="eastAsia" w:hAnsi="宋体"/>
          <w:bCs/>
          <w:spacing w:val="-2"/>
          <w:sz w:val="24"/>
          <w:szCs w:val="24"/>
        </w:rPr>
        <w:t>备注：如依据我国法律法规及税收政策，本合同项下服务所涉及的增值税税率发生调整，双方一致同意按照调整后的增值税税率相应调整合同价款。</w:t>
      </w:r>
    </w:p>
    <w:p>
      <w:pPr>
        <w:pStyle w:val="3"/>
        <w:tabs>
          <w:tab w:val="left" w:pos="4627"/>
        </w:tabs>
        <w:spacing w:line="360" w:lineRule="auto"/>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13"/>
        <w:spacing w:line="360" w:lineRule="auto"/>
        <w:ind w:firstLine="480" w:firstLineChars="200"/>
        <w:rPr>
          <w:b/>
          <w:sz w:val="26"/>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pStyle w:val="47"/>
        <w:numPr>
          <w:ilvl w:val="0"/>
          <w:numId w:val="4"/>
        </w:numPr>
        <w:spacing w:before="0" w:line="360" w:lineRule="auto"/>
        <w:rPr>
          <w:b/>
          <w:w w:val="95"/>
          <w:sz w:val="24"/>
          <w:szCs w:val="24"/>
          <w:lang w:eastAsia="zh-CN"/>
        </w:rPr>
      </w:pPr>
      <w:r>
        <w:rPr>
          <w:b/>
          <w:w w:val="95"/>
          <w:sz w:val="24"/>
          <w:szCs w:val="24"/>
          <w:lang w:eastAsia="zh-CN"/>
        </w:rPr>
        <w:t>参选文件的组成</w:t>
      </w:r>
      <w:r>
        <w:rPr>
          <w:rFonts w:hint="eastAsia"/>
          <w:b/>
          <w:w w:val="95"/>
          <w:sz w:val="24"/>
          <w:szCs w:val="24"/>
          <w:lang w:eastAsia="zh-CN"/>
        </w:rPr>
        <w:t>：（</w:t>
      </w:r>
      <w:r>
        <w:rPr>
          <w:rFonts w:hint="eastAsia" w:asciiTheme="minorEastAsia" w:hAnsiTheme="minorEastAsia" w:eastAsiaTheme="minorEastAsia" w:cstheme="minorEastAsia"/>
          <w:kern w:val="59"/>
          <w:sz w:val="24"/>
          <w:szCs w:val="24"/>
          <w:lang w:eastAsia="zh-CN"/>
        </w:rPr>
        <w:t>包括但不限于</w:t>
      </w:r>
      <w:r>
        <w:rPr>
          <w:rFonts w:hint="eastAsia"/>
          <w:b/>
          <w:w w:val="95"/>
          <w:sz w:val="24"/>
          <w:szCs w:val="24"/>
          <w:lang w:eastAsia="zh-CN"/>
        </w:rPr>
        <w:t>）</w:t>
      </w:r>
    </w:p>
    <w:p>
      <w:pPr>
        <w:pStyle w:val="47"/>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1）参选书及附录；</w:t>
      </w:r>
    </w:p>
    <w:p>
      <w:pPr>
        <w:pStyle w:val="47"/>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2）参选承诺书；</w:t>
      </w:r>
    </w:p>
    <w:p>
      <w:pPr>
        <w:pStyle w:val="47"/>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3）报价书（详见附件二）；</w:t>
      </w:r>
    </w:p>
    <w:p>
      <w:pPr>
        <w:pStyle w:val="47"/>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4）法定代表人资格证明书；</w:t>
      </w:r>
    </w:p>
    <w:p>
      <w:pPr>
        <w:pStyle w:val="47"/>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5）授权委托书；</w:t>
      </w:r>
    </w:p>
    <w:p>
      <w:pPr>
        <w:pStyle w:val="47"/>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6）企业简况；</w:t>
      </w:r>
    </w:p>
    <w:p>
      <w:pPr>
        <w:pStyle w:val="47"/>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7）资格审查表；</w:t>
      </w:r>
    </w:p>
    <w:p>
      <w:pPr>
        <w:pStyle w:val="47"/>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8）差异表；</w:t>
      </w:r>
    </w:p>
    <w:p>
      <w:pPr>
        <w:pStyle w:val="47"/>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9）按本须知规定提供的其它资料；</w:t>
      </w:r>
    </w:p>
    <w:p>
      <w:pPr>
        <w:pStyle w:val="47"/>
        <w:adjustRightInd w:val="0"/>
        <w:snapToGrid w:val="0"/>
        <w:spacing w:before="0" w:line="360" w:lineRule="auto"/>
        <w:ind w:left="1258"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10）参选人与本项目相似业绩履行情况的说明，</w:t>
      </w:r>
      <w:r>
        <w:rPr>
          <w:spacing w:val="-5"/>
          <w:sz w:val="24"/>
          <w:szCs w:val="24"/>
          <w:lang w:eastAsia="zh-CN"/>
        </w:rPr>
        <w:t>凡弄虚作假的，一经查实，比选人有权取消其中选资格</w:t>
      </w:r>
      <w:r>
        <w:rPr>
          <w:rFonts w:hint="eastAsia"/>
          <w:spacing w:val="-5"/>
          <w:sz w:val="24"/>
          <w:szCs w:val="24"/>
          <w:lang w:eastAsia="zh-CN"/>
        </w:rPr>
        <w:t>；</w:t>
      </w:r>
    </w:p>
    <w:p>
      <w:pPr>
        <w:pStyle w:val="84"/>
        <w:spacing w:line="360" w:lineRule="auto"/>
        <w:ind w:firstLine="1200" w:firstLineChars="500"/>
        <w:jc w:val="both"/>
        <w:rPr>
          <w:rFonts w:hAnsi="宋体" w:cs="Times New Roman"/>
          <w:color w:val="auto"/>
          <w:kern w:val="2"/>
        </w:rPr>
      </w:pPr>
      <w:r>
        <w:rPr>
          <w:rFonts w:hint="eastAsia" w:asciiTheme="minorEastAsia" w:hAnsiTheme="minorEastAsia" w:eastAsiaTheme="minorEastAsia" w:cstheme="minorEastAsia"/>
          <w:kern w:val="59"/>
        </w:rPr>
        <w:t>11）</w:t>
      </w:r>
      <w:r>
        <w:rPr>
          <w:rFonts w:hint="eastAsia" w:hAnsi="宋体" w:cs="Times New Roman"/>
          <w:color w:val="auto"/>
          <w:kern w:val="2"/>
        </w:rPr>
        <w:t>技术方案（满足“技术要求”中的内容）</w:t>
      </w:r>
    </w:p>
    <w:p>
      <w:pPr>
        <w:pStyle w:val="13"/>
        <w:spacing w:line="360" w:lineRule="auto"/>
        <w:ind w:firstLine="480" w:firstLineChars="200"/>
        <w:rPr>
          <w:b/>
          <w:lang w:eastAsia="zh-CN"/>
        </w:rPr>
      </w:pPr>
      <w:r>
        <w:rPr>
          <w:lang w:eastAsia="zh-CN"/>
        </w:rPr>
        <w:t>以上</w:t>
      </w:r>
      <w:r>
        <w:rPr>
          <w:rFonts w:hint="eastAsia"/>
          <w:lang w:eastAsia="zh-CN"/>
        </w:rPr>
        <w:t>各</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w:t>
      </w:r>
      <w:r>
        <w:rPr>
          <w:rFonts w:hint="eastAsia"/>
          <w:u w:val="single"/>
          <w:lang w:eastAsia="zh-CN"/>
        </w:rPr>
        <w:t xml:space="preserve">  </w:t>
      </w:r>
      <w:r>
        <w:rPr>
          <w:rFonts w:hint="eastAsia"/>
          <w:lang w:eastAsia="zh-CN"/>
        </w:rPr>
        <w:t>年</w:t>
      </w:r>
      <w:r>
        <w:rPr>
          <w:rFonts w:hint="eastAsia"/>
          <w:u w:val="single"/>
          <w:lang w:eastAsia="zh-CN"/>
        </w:rPr>
        <w:t xml:space="preserve">  </w:t>
      </w:r>
      <w:r>
        <w:rPr>
          <w:rFonts w:hint="eastAsia"/>
          <w:lang w:eastAsia="zh-CN"/>
        </w:rPr>
        <w:t>月</w:t>
      </w:r>
      <w:r>
        <w:rPr>
          <w:rFonts w:hint="eastAsia"/>
          <w:u w:val="single"/>
          <w:lang w:eastAsia="zh-CN"/>
        </w:rPr>
        <w:t xml:space="preserve">  </w:t>
      </w:r>
      <w:r>
        <w:rPr>
          <w:rFonts w:hint="eastAsia"/>
          <w:lang w:eastAsia="zh-CN"/>
        </w:rPr>
        <w:t>日</w:t>
      </w:r>
      <w:r>
        <w:rPr>
          <w:rFonts w:hint="eastAsia"/>
          <w:u w:val="single"/>
          <w:lang w:eastAsia="zh-CN"/>
        </w:rPr>
        <w:t xml:space="preserve">  </w:t>
      </w:r>
      <w:r>
        <w:rPr>
          <w:rFonts w:hint="eastAsia"/>
          <w:lang w:eastAsia="zh-CN"/>
        </w:rPr>
        <w:t>时之前（指参选规定的开标日期及时间）不准启封”的字样。</w:t>
      </w:r>
    </w:p>
    <w:p>
      <w:pPr>
        <w:pStyle w:val="13"/>
        <w:spacing w:line="360" w:lineRule="auto"/>
        <w:ind w:firstLine="482" w:firstLineChars="200"/>
        <w:rPr>
          <w:lang w:eastAsia="zh-CN"/>
        </w:rPr>
      </w:pPr>
      <w:r>
        <w:rPr>
          <w:rFonts w:hint="eastAsia"/>
          <w:b/>
          <w:lang w:eastAsia="zh-CN"/>
        </w:rPr>
        <w:t>注：需提供参选文件及报价表电子版一份（盖章PDF版），报价表须独立盖章密封</w:t>
      </w:r>
    </w:p>
    <w:p>
      <w:pPr>
        <w:pStyle w:val="3"/>
        <w:spacing w:line="360" w:lineRule="auto"/>
        <w:ind w:left="0" w:firstLine="458" w:firstLineChars="200"/>
        <w:rPr>
          <w:sz w:val="24"/>
          <w:szCs w:val="24"/>
          <w:lang w:eastAsia="zh-CN"/>
        </w:rPr>
      </w:pPr>
      <w:r>
        <w:rPr>
          <w:w w:val="95"/>
          <w:sz w:val="24"/>
          <w:szCs w:val="24"/>
          <w:lang w:eastAsia="zh-CN"/>
        </w:rPr>
        <w:t>二、参选书格式内容</w:t>
      </w:r>
    </w:p>
    <w:p>
      <w:pPr>
        <w:pStyle w:val="13"/>
        <w:spacing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13"/>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pPr>
        <w:pStyle w:val="3"/>
        <w:spacing w:line="360" w:lineRule="auto"/>
        <w:ind w:left="0" w:firstLine="458" w:firstLineChars="200"/>
        <w:rPr>
          <w:sz w:val="24"/>
          <w:szCs w:val="24"/>
          <w:lang w:eastAsia="zh-CN"/>
        </w:rPr>
      </w:pPr>
      <w:r>
        <w:rPr>
          <w:w w:val="95"/>
          <w:sz w:val="24"/>
          <w:szCs w:val="24"/>
          <w:lang w:eastAsia="zh-CN"/>
        </w:rPr>
        <w:t>三、参选报价</w:t>
      </w:r>
    </w:p>
    <w:p>
      <w:pPr>
        <w:pStyle w:val="13"/>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line="360" w:lineRule="auto"/>
        <w:ind w:left="0" w:firstLine="458" w:firstLineChars="200"/>
        <w:rPr>
          <w:sz w:val="24"/>
          <w:szCs w:val="24"/>
          <w:lang w:eastAsia="zh-CN"/>
        </w:rPr>
      </w:pPr>
      <w:r>
        <w:rPr>
          <w:w w:val="95"/>
          <w:sz w:val="24"/>
          <w:szCs w:val="24"/>
          <w:lang w:eastAsia="zh-CN"/>
        </w:rPr>
        <w:t>四、特别说明</w:t>
      </w:r>
    </w:p>
    <w:p>
      <w:pPr>
        <w:pStyle w:val="13"/>
        <w:spacing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13"/>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收到比选文件后，如有疑问需澄清，请以书面形式在规定时间内报比选人汇总。</w:t>
      </w:r>
    </w:p>
    <w:p>
      <w:pPr>
        <w:pStyle w:val="13"/>
        <w:spacing w:before="35"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4"/>
        <w:spacing w:line="460" w:lineRule="exact"/>
        <w:ind w:left="0" w:leftChars="0" w:firstLine="543" w:firstLineChars="245"/>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13"/>
        <w:spacing w:before="35"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13"/>
        <w:spacing w:before="35"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30488858"/>
      <w:bookmarkStart w:id="1" w:name="_Toc430488651"/>
      <w:bookmarkStart w:id="2" w:name="_Toc430490619"/>
      <w:bookmarkStart w:id="3" w:name="_Toc177186249"/>
      <w:bookmarkStart w:id="4" w:name="_Toc415567504"/>
      <w:bookmarkStart w:id="5" w:name="_Toc430492133"/>
      <w:bookmarkStart w:id="6" w:name="_Toc304357904"/>
      <w:bookmarkStart w:id="7" w:name="_Toc430422420"/>
      <w:bookmarkStart w:id="8" w:name="_Toc430489126"/>
    </w:p>
    <w:p>
      <w:pPr>
        <w:pStyle w:val="13"/>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360" w:lineRule="auto"/>
        <w:ind w:firstLine="480" w:firstLineChars="200"/>
        <w:rPr>
          <w:rFonts w:cs="黑体"/>
          <w:b/>
          <w:sz w:val="24"/>
          <w:lang w:eastAsia="zh-CN"/>
        </w:rPr>
      </w:pPr>
      <w:r>
        <w:rPr>
          <w:rFonts w:hint="eastAsia"/>
          <w:sz w:val="24"/>
          <w:lang w:eastAsia="zh-CN"/>
        </w:rPr>
        <w:t>7.1 参选人应在参选文件所附的参选报价表上写明参选系统的分项价格和参选总价。</w:t>
      </w:r>
    </w:p>
    <w:p>
      <w:pPr>
        <w:spacing w:line="360" w:lineRule="auto"/>
        <w:ind w:firstLine="480" w:firstLineChars="20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章“评选规则”的规定进行。</w:t>
      </w:r>
    </w:p>
    <w:p>
      <w:pPr>
        <w:spacing w:line="360" w:lineRule="auto"/>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360" w:lineRule="auto"/>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13"/>
        <w:spacing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13"/>
        <w:spacing w:line="360" w:lineRule="auto"/>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spacing w:line="360" w:lineRule="auto"/>
        <w:ind w:firstLine="440" w:firstLineChars="20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pPr>
        <w:pStyle w:val="13"/>
        <w:spacing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pPr>
        <w:pStyle w:val="3"/>
        <w:tabs>
          <w:tab w:val="left" w:pos="1488"/>
        </w:tabs>
        <w:spacing w:line="355" w:lineRule="exact"/>
        <w:ind w:left="365"/>
        <w:jc w:val="center"/>
        <w:rPr>
          <w:w w:val="95"/>
          <w:lang w:eastAsia="zh-CN"/>
        </w:rPr>
      </w:pPr>
      <w:r>
        <w:rPr>
          <w:lang w:eastAsia="zh-CN"/>
        </w:rPr>
        <w:t>第四章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pPr>
        <w:pStyle w:val="3"/>
        <w:spacing w:line="360" w:lineRule="auto"/>
        <w:rPr>
          <w:sz w:val="24"/>
          <w:szCs w:val="24"/>
          <w:lang w:eastAsia="zh-CN"/>
        </w:rPr>
      </w:pPr>
      <w:r>
        <w:rPr>
          <w:rFonts w:hint="eastAsia"/>
          <w:w w:val="95"/>
          <w:sz w:val="24"/>
          <w:szCs w:val="24"/>
          <w:lang w:eastAsia="zh-CN"/>
        </w:rPr>
        <w:t>一、</w:t>
      </w:r>
      <w:r>
        <w:rPr>
          <w:w w:val="95"/>
          <w:sz w:val="24"/>
          <w:szCs w:val="24"/>
          <w:lang w:eastAsia="zh-CN"/>
        </w:rPr>
        <w:t>评选</w:t>
      </w:r>
    </w:p>
    <w:p>
      <w:pPr>
        <w:pStyle w:val="13"/>
        <w:spacing w:line="360" w:lineRule="auto"/>
        <w:ind w:left="1" w:firstLine="480" w:firstLineChars="200"/>
        <w:rPr>
          <w:lang w:eastAsia="zh-CN"/>
        </w:rPr>
      </w:pPr>
      <w:r>
        <w:rPr>
          <w:lang w:eastAsia="zh-CN"/>
        </w:rPr>
        <w:t>1.</w:t>
      </w:r>
      <w:r>
        <w:rPr>
          <w:spacing w:val="-5"/>
          <w:lang w:eastAsia="zh-CN"/>
        </w:rPr>
        <w:t>比选人将在参选文件截止日期后组织比选会，参选人选定工作在比选人有关部门监督下，由比选人依法组建的评选</w:t>
      </w:r>
      <w:r>
        <w:rPr>
          <w:rFonts w:hint="eastAsia"/>
          <w:spacing w:val="-5"/>
          <w:lang w:eastAsia="zh-CN"/>
        </w:rPr>
        <w:t>小组</w:t>
      </w:r>
      <w:r>
        <w:rPr>
          <w:spacing w:val="-5"/>
          <w:lang w:eastAsia="zh-CN"/>
        </w:rPr>
        <w:t>负责。</w:t>
      </w:r>
    </w:p>
    <w:p>
      <w:pPr>
        <w:pStyle w:val="13"/>
        <w:spacing w:line="360" w:lineRule="auto"/>
        <w:ind w:left="1" w:firstLine="480" w:firstLineChars="200"/>
        <w:rPr>
          <w:lang w:eastAsia="zh-CN"/>
        </w:rPr>
      </w:pPr>
      <w:r>
        <w:rPr>
          <w:lang w:eastAsia="zh-CN"/>
        </w:rPr>
        <w:t>2.在开选时有启封和没</w:t>
      </w:r>
      <w:r>
        <w:rPr>
          <w:rFonts w:hint="eastAsia"/>
          <w:lang w:eastAsia="zh-CN"/>
        </w:rPr>
        <w:t>公章</w:t>
      </w:r>
      <w:r>
        <w:rPr>
          <w:lang w:eastAsia="zh-CN"/>
        </w:rPr>
        <w:t>的参选文件，在评选时将不予考虑。</w:t>
      </w:r>
    </w:p>
    <w:p>
      <w:pPr>
        <w:pStyle w:val="13"/>
        <w:spacing w:line="360" w:lineRule="auto"/>
        <w:ind w:left="1" w:firstLine="480" w:firstLineChars="200"/>
        <w:rPr>
          <w:lang w:eastAsia="zh-CN"/>
        </w:rPr>
      </w:pPr>
      <w:r>
        <w:rPr>
          <w:lang w:eastAsia="zh-CN"/>
        </w:rPr>
        <w:t>3.比选人将做开选记录</w:t>
      </w:r>
    </w:p>
    <w:p>
      <w:pPr>
        <w:spacing w:line="360" w:lineRule="auto"/>
        <w:ind w:left="680"/>
        <w:rPr>
          <w:b/>
          <w:w w:val="95"/>
          <w:sz w:val="24"/>
          <w:szCs w:val="24"/>
          <w:lang w:eastAsia="zh-CN"/>
        </w:rPr>
      </w:pPr>
      <w:r>
        <w:rPr>
          <w:rFonts w:hint="eastAsia"/>
          <w:b/>
          <w:w w:val="95"/>
          <w:sz w:val="24"/>
          <w:szCs w:val="24"/>
          <w:lang w:eastAsia="zh-CN"/>
        </w:rPr>
        <w:t>二</w:t>
      </w:r>
      <w:r>
        <w:rPr>
          <w:b/>
          <w:w w:val="95"/>
          <w:sz w:val="24"/>
          <w:szCs w:val="24"/>
          <w:lang w:eastAsia="zh-CN"/>
        </w:rPr>
        <w:t>、规则：</w:t>
      </w:r>
    </w:p>
    <w:p>
      <w:pPr>
        <w:spacing w:line="360" w:lineRule="auto"/>
        <w:ind w:firstLine="480" w:firstLineChars="200"/>
        <w:rPr>
          <w:sz w:val="24"/>
          <w:szCs w:val="24"/>
          <w:lang w:eastAsia="zh-CN"/>
        </w:rPr>
      </w:pPr>
      <w:r>
        <w:rPr>
          <w:rFonts w:hint="eastAsia"/>
          <w:sz w:val="24"/>
          <w:szCs w:val="24"/>
          <w:lang w:eastAsia="zh-CN"/>
        </w:rPr>
        <w:t>1．评标前准备工作</w:t>
      </w:r>
    </w:p>
    <w:p>
      <w:pPr>
        <w:pStyle w:val="2"/>
        <w:spacing w:line="360" w:lineRule="auto"/>
        <w:ind w:firstLine="480" w:firstLineChars="200"/>
        <w:rPr>
          <w:sz w:val="24"/>
          <w:szCs w:val="24"/>
        </w:rPr>
      </w:pPr>
      <w:r>
        <w:rPr>
          <w:rFonts w:hint="eastAsia"/>
          <w:sz w:val="24"/>
          <w:szCs w:val="24"/>
        </w:rPr>
        <w:t>评标小组成员在评标前应当认真审阅比选文件，至少应了解和熟悉本比选项目的目的、性质、范围和主要的技术要求、标准和商务条款，以及评标定标程序、标准、方法等内容，以及了解作为评标小组成员的权利、义务和评标纪律。</w:t>
      </w:r>
    </w:p>
    <w:p>
      <w:pPr>
        <w:snapToGrid w:val="0"/>
        <w:spacing w:line="360" w:lineRule="auto"/>
        <w:ind w:firstLine="480" w:firstLineChars="200"/>
        <w:rPr>
          <w:spacing w:val="-2"/>
          <w:sz w:val="24"/>
          <w:szCs w:val="24"/>
          <w:lang w:eastAsia="zh-CN"/>
        </w:rPr>
      </w:pPr>
      <w:r>
        <w:rPr>
          <w:rFonts w:hint="eastAsia"/>
          <w:sz w:val="24"/>
          <w:szCs w:val="24"/>
          <w:lang w:eastAsia="zh-CN"/>
        </w:rPr>
        <w:t>2．</w:t>
      </w:r>
      <w:r>
        <w:rPr>
          <w:rFonts w:hint="eastAsia"/>
          <w:spacing w:val="-2"/>
          <w:sz w:val="24"/>
          <w:szCs w:val="24"/>
          <w:lang w:eastAsia="zh-CN"/>
        </w:rPr>
        <w:t>本项目评标采用综合评分方式，评标小组将对通过资格及实质响应性审查的各合格参选人，根据综合评分方法进行评议和评分，最低报价不作为中选的保证，综合得分最高者中选</w:t>
      </w:r>
      <w:r>
        <w:rPr>
          <w:spacing w:val="-2"/>
          <w:sz w:val="24"/>
          <w:szCs w:val="24"/>
          <w:lang w:eastAsia="zh-CN"/>
        </w:rPr>
        <w:t>。</w:t>
      </w:r>
    </w:p>
    <w:p>
      <w:pPr>
        <w:pStyle w:val="13"/>
        <w:spacing w:line="360" w:lineRule="auto"/>
        <w:ind w:right="-28" w:firstLine="504" w:firstLineChars="210"/>
        <w:rPr>
          <w:lang w:eastAsia="zh-CN"/>
        </w:rPr>
      </w:pPr>
      <w:r>
        <w:rPr>
          <w:rFonts w:hint="eastAsia"/>
          <w:lang w:eastAsia="zh-CN"/>
        </w:rPr>
        <w:t>3</w:t>
      </w:r>
      <w:r>
        <w:rPr>
          <w:lang w:eastAsia="zh-CN"/>
        </w:rPr>
        <w:t>.参选人串选、相互勾结故意压低标价以排挤竞争对手的公平竞争的，其参选无效。</w:t>
      </w:r>
    </w:p>
    <w:p>
      <w:pPr>
        <w:pStyle w:val="2"/>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4</w:t>
      </w:r>
      <w:r>
        <w:rPr>
          <w:rFonts w:asciiTheme="majorEastAsia" w:hAnsiTheme="majorEastAsia" w:eastAsiaTheme="majorEastAsia"/>
          <w:sz w:val="24"/>
          <w:szCs w:val="24"/>
        </w:rPr>
        <w:t>.</w:t>
      </w:r>
      <w:r>
        <w:rPr>
          <w:rFonts w:asciiTheme="majorEastAsia" w:hAnsiTheme="majorEastAsia" w:eastAsiaTheme="majorEastAsia"/>
          <w:spacing w:val="-8"/>
          <w:sz w:val="24"/>
          <w:szCs w:val="24"/>
        </w:rPr>
        <w:t>替补候选人的设定与使用：在合同签订前，比选单位发现参选人的参选报价或供货</w:t>
      </w:r>
      <w:r>
        <w:rPr>
          <w:rFonts w:asciiTheme="majorEastAsia" w:hAnsiTheme="majorEastAsia" w:eastAsiaTheme="majorEastAsia"/>
          <w:spacing w:val="-12"/>
          <w:sz w:val="24"/>
          <w:szCs w:val="24"/>
        </w:rPr>
        <w:t>范围有缺漏、实际应标产品或服务存在重大偏差、或参选材料存在欺诈行为时、或参选人</w:t>
      </w:r>
      <w:r>
        <w:rPr>
          <w:rFonts w:asciiTheme="majorEastAsia" w:hAnsiTheme="majorEastAsia" w:eastAsiaTheme="majorEastAsia"/>
          <w:spacing w:val="-22"/>
          <w:sz w:val="24"/>
          <w:szCs w:val="24"/>
        </w:rPr>
        <w:t>因不可抗力或自身原因不能履行合同的，将有理由取消中选人资格，保留依法追究的权利；</w:t>
      </w:r>
      <w:r>
        <w:rPr>
          <w:sz w:val="24"/>
          <w:szCs w:val="24"/>
        </w:rPr>
        <w:t>并将依法</w:t>
      </w:r>
      <w:r>
        <w:rPr>
          <w:rFonts w:hint="eastAsia"/>
          <w:sz w:val="24"/>
          <w:szCs w:val="24"/>
        </w:rPr>
        <w:t>确定后续排名的中选候选人，或重新进行比选</w:t>
      </w:r>
      <w:r>
        <w:rPr>
          <w:sz w:val="24"/>
          <w:szCs w:val="24"/>
        </w:rPr>
        <w:t>。</w:t>
      </w:r>
    </w:p>
    <w:p>
      <w:pPr>
        <w:pStyle w:val="3"/>
        <w:spacing w:line="360" w:lineRule="auto"/>
        <w:rPr>
          <w:sz w:val="24"/>
          <w:szCs w:val="24"/>
          <w:lang w:eastAsia="zh-CN"/>
        </w:rPr>
      </w:pPr>
      <w:r>
        <w:rPr>
          <w:rFonts w:hint="eastAsia"/>
          <w:w w:val="95"/>
          <w:sz w:val="24"/>
          <w:szCs w:val="24"/>
          <w:lang w:eastAsia="zh-CN"/>
        </w:rPr>
        <w:t>三</w:t>
      </w:r>
      <w:r>
        <w:rPr>
          <w:w w:val="95"/>
          <w:sz w:val="24"/>
          <w:szCs w:val="24"/>
          <w:lang w:eastAsia="zh-CN"/>
        </w:rPr>
        <w:t>、资格审查：</w:t>
      </w:r>
    </w:p>
    <w:p>
      <w:pPr>
        <w:pStyle w:val="13"/>
        <w:spacing w:line="360" w:lineRule="auto"/>
        <w:ind w:right="226" w:firstLine="480"/>
        <w:jc w:val="both"/>
        <w:rPr>
          <w:lang w:eastAsia="zh-CN"/>
        </w:rPr>
      </w:pPr>
      <w:r>
        <w:rPr>
          <w:spacing w:val="-5"/>
          <w:lang w:eastAsia="zh-CN"/>
        </w:rPr>
        <w:t>由比选人依法组建的评选</w:t>
      </w:r>
      <w:r>
        <w:rPr>
          <w:rFonts w:hint="eastAsia"/>
          <w:spacing w:val="-5"/>
          <w:lang w:eastAsia="zh-CN"/>
        </w:rPr>
        <w:t>小组</w:t>
      </w:r>
      <w:r>
        <w:rPr>
          <w:spacing w:val="-5"/>
          <w:lang w:eastAsia="zh-CN"/>
        </w:rPr>
        <w:t>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Pr>
          <w:spacing w:val="-18"/>
          <w:lang w:eastAsia="zh-CN"/>
        </w:rPr>
        <w:t>予以否决。</w:t>
      </w:r>
    </w:p>
    <w:p>
      <w:pPr>
        <w:spacing w:line="360" w:lineRule="auto"/>
        <w:ind w:left="598"/>
        <w:rPr>
          <w:b/>
          <w:sz w:val="24"/>
          <w:szCs w:val="24"/>
          <w:lang w:eastAsia="zh-CN"/>
        </w:rPr>
      </w:pPr>
      <w:r>
        <w:rPr>
          <w:rFonts w:hint="eastAsia"/>
          <w:w w:val="95"/>
          <w:sz w:val="24"/>
          <w:szCs w:val="24"/>
          <w:lang w:eastAsia="zh-CN"/>
        </w:rPr>
        <w:t>四</w:t>
      </w:r>
      <w:r>
        <w:rPr>
          <w:w w:val="95"/>
          <w:sz w:val="24"/>
          <w:szCs w:val="24"/>
          <w:lang w:eastAsia="zh-CN"/>
        </w:rPr>
        <w:t>、</w:t>
      </w:r>
      <w:r>
        <w:rPr>
          <w:b/>
          <w:w w:val="95"/>
          <w:sz w:val="24"/>
          <w:szCs w:val="24"/>
          <w:lang w:eastAsia="zh-CN"/>
        </w:rPr>
        <w:t>评选办法：</w:t>
      </w:r>
    </w:p>
    <w:p>
      <w:pPr>
        <w:pStyle w:val="13"/>
        <w:spacing w:line="360" w:lineRule="auto"/>
        <w:ind w:left="121" w:leftChars="55" w:right="222" w:firstLine="480" w:firstLineChars="200"/>
        <w:rPr>
          <w:lang w:eastAsia="zh-CN"/>
        </w:rPr>
      </w:pPr>
      <w:r>
        <w:rPr>
          <w:lang w:eastAsia="zh-CN"/>
        </w:rPr>
        <w:t>评选</w:t>
      </w:r>
      <w:r>
        <w:rPr>
          <w:rFonts w:hint="eastAsia"/>
          <w:lang w:eastAsia="zh-CN"/>
        </w:rPr>
        <w:t>小组</w:t>
      </w:r>
      <w:r>
        <w:rPr>
          <w:lang w:eastAsia="zh-CN"/>
        </w:rPr>
        <w:t>将对通过资格审查</w:t>
      </w:r>
      <w:r>
        <w:rPr>
          <w:rFonts w:hint="eastAsia"/>
          <w:lang w:eastAsia="zh-CN"/>
        </w:rPr>
        <w:t>合格</w:t>
      </w:r>
      <w:r>
        <w:rPr>
          <w:lang w:eastAsia="zh-CN"/>
        </w:rPr>
        <w:t>的各参选人</w:t>
      </w:r>
      <w:r>
        <w:rPr>
          <w:rFonts w:hint="eastAsia"/>
          <w:lang w:eastAsia="zh-CN"/>
        </w:rPr>
        <w:t>，</w:t>
      </w:r>
      <w:r>
        <w:rPr>
          <w:rFonts w:hint="eastAsia"/>
          <w:spacing w:val="-2"/>
          <w:lang w:eastAsia="zh-CN"/>
        </w:rPr>
        <w:t>采用综合评分法，</w:t>
      </w:r>
      <w:r>
        <w:rPr>
          <w:rFonts w:hint="eastAsia"/>
          <w:lang w:eastAsia="zh-CN"/>
        </w:rPr>
        <w:t>综合评分最高者作为第一候选人。</w:t>
      </w:r>
    </w:p>
    <w:p>
      <w:pPr>
        <w:pStyle w:val="13"/>
        <w:spacing w:line="360" w:lineRule="auto"/>
        <w:ind w:right="-28" w:firstLine="498" w:firstLineChars="210"/>
        <w:rPr>
          <w:b/>
          <w:spacing w:val="-2"/>
          <w:lang w:eastAsia="zh-CN"/>
        </w:rPr>
      </w:pPr>
      <w:r>
        <w:rPr>
          <w:rFonts w:hint="eastAsia"/>
          <w:b/>
          <w:spacing w:val="-2"/>
          <w:lang w:eastAsia="zh-CN"/>
        </w:rPr>
        <w:t>评标小组按照先技术，后商务报价的顺序进行评议并评分，权重比为4:6。</w:t>
      </w:r>
    </w:p>
    <w:p>
      <w:pPr>
        <w:snapToGrid w:val="0"/>
        <w:spacing w:line="360" w:lineRule="auto"/>
        <w:ind w:firstLine="472" w:firstLineChars="200"/>
        <w:rPr>
          <w:spacing w:val="-2"/>
          <w:sz w:val="24"/>
          <w:szCs w:val="24"/>
          <w:lang w:eastAsia="zh-CN"/>
        </w:rPr>
      </w:pPr>
      <w:r>
        <w:rPr>
          <w:rFonts w:hint="eastAsia"/>
          <w:spacing w:val="-2"/>
          <w:sz w:val="24"/>
          <w:szCs w:val="24"/>
          <w:lang w:eastAsia="zh-CN"/>
        </w:rPr>
        <w:t>4.1 评分办法</w:t>
      </w:r>
    </w:p>
    <w:p>
      <w:pPr>
        <w:pStyle w:val="13"/>
        <w:spacing w:line="360" w:lineRule="auto"/>
        <w:ind w:right="-28" w:firstLine="495" w:firstLineChars="210"/>
        <w:rPr>
          <w:spacing w:val="-2"/>
          <w:lang w:eastAsia="zh-CN"/>
        </w:rPr>
      </w:pPr>
      <w:r>
        <w:rPr>
          <w:rFonts w:hint="eastAsia"/>
          <w:spacing w:val="-2"/>
          <w:lang w:eastAsia="zh-CN"/>
        </w:rPr>
        <w:t>4.1.1 评分采用百分制，各专项所占分值见下表：</w:t>
      </w:r>
    </w:p>
    <w:p>
      <w:pPr>
        <w:spacing w:line="360" w:lineRule="auto"/>
        <w:ind w:left="440" w:left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PT：商务报价评分           满分60分</w:t>
      </w:r>
    </w:p>
    <w:p>
      <w:pPr>
        <w:spacing w:line="360" w:lineRule="auto"/>
        <w:ind w:left="440" w:left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PB：技术部分评分           满分40分</w:t>
      </w:r>
    </w:p>
    <w:p>
      <w:pPr>
        <w:spacing w:line="360" w:lineRule="auto"/>
        <w:ind w:left="1160" w:leftChars="200" w:hanging="720" w:hangingChars="3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注: ①PT和PB部分的最终得分为各个评标委员评分的算术平均值，并四舍五入取小数点后2位数。</w:t>
      </w:r>
    </w:p>
    <w:p>
      <w:pPr>
        <w:spacing w:line="360" w:lineRule="auto"/>
        <w:ind w:left="440" w:leftChars="200"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②评标委员评分取小数点后1位数。</w:t>
      </w:r>
    </w:p>
    <w:p>
      <w:pPr>
        <w:spacing w:line="360" w:lineRule="auto"/>
        <w:ind w:left="440" w:leftChars="200"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综合得分：P＝PT＋PB</w:t>
      </w:r>
    </w:p>
    <w:p>
      <w:pPr>
        <w:spacing w:line="360" w:lineRule="auto"/>
        <w:ind w:left="440" w:leftChars="200" w:firstLine="108" w:firstLineChars="50"/>
        <w:rPr>
          <w:rFonts w:ascii="仿宋" w:hAnsi="仿宋" w:eastAsia="仿宋"/>
          <w:sz w:val="28"/>
          <w:szCs w:val="28"/>
          <w:lang w:eastAsia="zh-CN"/>
        </w:rPr>
      </w:pPr>
      <w:r>
        <w:rPr>
          <w:rFonts w:hint="eastAsia"/>
          <w:spacing w:val="-2"/>
          <w:lang w:eastAsia="zh-CN"/>
        </w:rPr>
        <w:t>4.1.2</w:t>
      </w:r>
      <w:r>
        <w:rPr>
          <w:rFonts w:hint="eastAsia" w:ascii="仿宋" w:hAnsi="仿宋" w:eastAsia="仿宋"/>
          <w:sz w:val="28"/>
          <w:szCs w:val="28"/>
        </w:rPr>
        <w:t xml:space="preserve"> </w:t>
      </w:r>
      <w:r>
        <w:rPr>
          <w:rFonts w:hint="eastAsia" w:asciiTheme="majorEastAsia" w:hAnsiTheme="majorEastAsia" w:eastAsiaTheme="majorEastAsia"/>
          <w:sz w:val="24"/>
          <w:szCs w:val="24"/>
        </w:rPr>
        <w:t>评分标准见下表</w:t>
      </w:r>
      <w:r>
        <w:rPr>
          <w:rFonts w:hint="eastAsia" w:asciiTheme="majorEastAsia" w:hAnsiTheme="majorEastAsia" w:eastAsiaTheme="majorEastAsia"/>
          <w:sz w:val="24"/>
          <w:szCs w:val="24"/>
          <w:lang w:eastAsia="zh-CN"/>
        </w:rPr>
        <w:t>：</w:t>
      </w:r>
    </w:p>
    <w:tbl>
      <w:tblPr>
        <w:tblStyle w:val="30"/>
        <w:tblW w:w="878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686"/>
        <w:gridCol w:w="212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09" w:type="dxa"/>
            <w:vAlign w:val="center"/>
          </w:tcPr>
          <w:p>
            <w:pPr>
              <w:snapToGrid w:val="0"/>
              <w:spacing w:line="400" w:lineRule="atLeast"/>
              <w:jc w:val="center"/>
              <w:rPr>
                <w:sz w:val="21"/>
                <w:szCs w:val="21"/>
              </w:rPr>
            </w:pPr>
            <w:r>
              <w:rPr>
                <w:rFonts w:hint="eastAsia"/>
                <w:sz w:val="21"/>
                <w:szCs w:val="21"/>
              </w:rPr>
              <w:t>序号</w:t>
            </w:r>
          </w:p>
        </w:tc>
        <w:tc>
          <w:tcPr>
            <w:tcW w:w="3686" w:type="dxa"/>
            <w:vAlign w:val="center"/>
          </w:tcPr>
          <w:p>
            <w:pPr>
              <w:snapToGrid w:val="0"/>
              <w:spacing w:line="400" w:lineRule="atLeast"/>
              <w:jc w:val="center"/>
              <w:rPr>
                <w:sz w:val="21"/>
                <w:szCs w:val="21"/>
              </w:rPr>
            </w:pPr>
            <w:r>
              <w:rPr>
                <w:rFonts w:hint="eastAsia"/>
                <w:sz w:val="21"/>
                <w:szCs w:val="21"/>
              </w:rPr>
              <w:t>评分项目</w:t>
            </w:r>
          </w:p>
        </w:tc>
        <w:tc>
          <w:tcPr>
            <w:tcW w:w="2126" w:type="dxa"/>
            <w:vAlign w:val="center"/>
          </w:tcPr>
          <w:p>
            <w:pPr>
              <w:snapToGrid w:val="0"/>
              <w:spacing w:line="400" w:lineRule="atLeast"/>
              <w:jc w:val="center"/>
              <w:rPr>
                <w:sz w:val="21"/>
                <w:szCs w:val="21"/>
              </w:rPr>
            </w:pPr>
            <w:r>
              <w:rPr>
                <w:rFonts w:hint="eastAsia"/>
                <w:sz w:val="21"/>
                <w:szCs w:val="21"/>
              </w:rPr>
              <w:t>分数</w:t>
            </w:r>
          </w:p>
        </w:tc>
        <w:tc>
          <w:tcPr>
            <w:tcW w:w="2268" w:type="dxa"/>
            <w:vAlign w:val="center"/>
          </w:tcPr>
          <w:p>
            <w:pPr>
              <w:snapToGrid w:val="0"/>
              <w:spacing w:line="400" w:lineRule="atLeast"/>
              <w:jc w:val="center"/>
              <w:rPr>
                <w:sz w:val="21"/>
                <w:szCs w:val="21"/>
                <w:lang w:eastAsia="zh-CN"/>
              </w:rPr>
            </w:pPr>
            <w:r>
              <w:rPr>
                <w:rFonts w:hint="eastAsia"/>
                <w:sz w:val="21"/>
                <w:szCs w:val="21"/>
                <w:lang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9" w:type="dxa"/>
            <w:vAlign w:val="center"/>
          </w:tcPr>
          <w:p>
            <w:pPr>
              <w:snapToGrid w:val="0"/>
              <w:spacing w:line="400" w:lineRule="atLeast"/>
              <w:jc w:val="center"/>
              <w:rPr>
                <w:sz w:val="21"/>
                <w:szCs w:val="21"/>
              </w:rPr>
            </w:pPr>
            <w:r>
              <w:rPr>
                <w:rFonts w:hint="eastAsia"/>
                <w:sz w:val="21"/>
                <w:szCs w:val="21"/>
              </w:rPr>
              <w:t>1</w:t>
            </w:r>
          </w:p>
        </w:tc>
        <w:tc>
          <w:tcPr>
            <w:tcW w:w="3686" w:type="dxa"/>
            <w:vAlign w:val="center"/>
          </w:tcPr>
          <w:p>
            <w:pPr>
              <w:snapToGrid w:val="0"/>
              <w:spacing w:line="400" w:lineRule="atLeast"/>
              <w:jc w:val="center"/>
              <w:rPr>
                <w:sz w:val="21"/>
                <w:szCs w:val="21"/>
              </w:rPr>
            </w:pPr>
            <w:r>
              <w:rPr>
                <w:rFonts w:hint="eastAsia"/>
                <w:spacing w:val="-2"/>
                <w:sz w:val="21"/>
                <w:szCs w:val="21"/>
              </w:rPr>
              <w:t>技术部分</w:t>
            </w:r>
          </w:p>
        </w:tc>
        <w:tc>
          <w:tcPr>
            <w:tcW w:w="2126" w:type="dxa"/>
            <w:vAlign w:val="center"/>
          </w:tcPr>
          <w:p>
            <w:pPr>
              <w:snapToGrid w:val="0"/>
              <w:spacing w:line="400" w:lineRule="atLeast"/>
              <w:jc w:val="center"/>
              <w:rPr>
                <w:sz w:val="21"/>
                <w:szCs w:val="21"/>
              </w:rPr>
            </w:pPr>
            <w:r>
              <w:rPr>
                <w:rFonts w:hint="eastAsia"/>
                <w:sz w:val="21"/>
                <w:szCs w:val="21"/>
                <w:lang w:eastAsia="zh-CN"/>
              </w:rPr>
              <w:t>40</w:t>
            </w:r>
          </w:p>
        </w:tc>
        <w:tc>
          <w:tcPr>
            <w:tcW w:w="2268" w:type="dxa"/>
            <w:vAlign w:val="center"/>
          </w:tcPr>
          <w:p>
            <w:pPr>
              <w:snapToGrid w:val="0"/>
              <w:spacing w:line="400" w:lineRule="atLeast"/>
              <w:jc w:val="center"/>
              <w:rPr>
                <w:sz w:val="21"/>
                <w:szCs w:val="21"/>
                <w:lang w:eastAsia="zh-CN"/>
              </w:rPr>
            </w:pPr>
            <w:r>
              <w:rPr>
                <w:rFonts w:hint="eastAsia"/>
                <w:sz w:val="21"/>
                <w:szCs w:val="21"/>
                <w:lang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pPr>
              <w:snapToGrid w:val="0"/>
              <w:spacing w:line="400" w:lineRule="atLeast"/>
              <w:jc w:val="center"/>
              <w:rPr>
                <w:sz w:val="21"/>
                <w:szCs w:val="21"/>
              </w:rPr>
            </w:pPr>
            <w:r>
              <w:rPr>
                <w:rFonts w:hint="eastAsia"/>
                <w:sz w:val="21"/>
                <w:szCs w:val="21"/>
              </w:rPr>
              <w:t>2</w:t>
            </w:r>
          </w:p>
        </w:tc>
        <w:tc>
          <w:tcPr>
            <w:tcW w:w="3686" w:type="dxa"/>
            <w:vAlign w:val="center"/>
          </w:tcPr>
          <w:p>
            <w:pPr>
              <w:snapToGrid w:val="0"/>
              <w:spacing w:line="400" w:lineRule="atLeast"/>
              <w:jc w:val="center"/>
              <w:rPr>
                <w:sz w:val="21"/>
                <w:szCs w:val="21"/>
              </w:rPr>
            </w:pPr>
            <w:r>
              <w:rPr>
                <w:rFonts w:hint="eastAsia"/>
                <w:spacing w:val="-2"/>
                <w:sz w:val="21"/>
                <w:szCs w:val="21"/>
              </w:rPr>
              <w:t>商务部分</w:t>
            </w:r>
          </w:p>
        </w:tc>
        <w:tc>
          <w:tcPr>
            <w:tcW w:w="2126" w:type="dxa"/>
            <w:vAlign w:val="center"/>
          </w:tcPr>
          <w:p>
            <w:pPr>
              <w:snapToGrid w:val="0"/>
              <w:spacing w:line="400" w:lineRule="atLeast"/>
              <w:jc w:val="center"/>
              <w:rPr>
                <w:sz w:val="21"/>
                <w:szCs w:val="21"/>
              </w:rPr>
            </w:pPr>
            <w:r>
              <w:rPr>
                <w:rFonts w:hint="eastAsia"/>
                <w:sz w:val="21"/>
                <w:szCs w:val="21"/>
                <w:lang w:eastAsia="zh-CN"/>
              </w:rPr>
              <w:t>60</w:t>
            </w:r>
          </w:p>
        </w:tc>
        <w:tc>
          <w:tcPr>
            <w:tcW w:w="2268" w:type="dxa"/>
            <w:vAlign w:val="center"/>
          </w:tcPr>
          <w:p>
            <w:pPr>
              <w:snapToGrid w:val="0"/>
              <w:spacing w:line="400" w:lineRule="atLeast"/>
              <w:jc w:val="center"/>
              <w:rPr>
                <w:sz w:val="21"/>
                <w:szCs w:val="21"/>
                <w:lang w:eastAsia="zh-CN"/>
              </w:rPr>
            </w:pPr>
            <w:r>
              <w:rPr>
                <w:rFonts w:hint="eastAsia"/>
                <w:sz w:val="21"/>
                <w:szCs w:val="21"/>
                <w:lang w:eastAsia="zh-CN"/>
              </w:rPr>
              <w:t>60%</w:t>
            </w:r>
          </w:p>
        </w:tc>
      </w:tr>
    </w:tbl>
    <w:p>
      <w:pPr>
        <w:spacing w:line="60" w:lineRule="auto"/>
        <w:rPr>
          <w:spacing w:val="-2"/>
          <w:sz w:val="24"/>
          <w:szCs w:val="24"/>
          <w:lang w:eastAsia="zh-CN"/>
        </w:rPr>
      </w:pPr>
    </w:p>
    <w:p>
      <w:pPr>
        <w:spacing w:line="60" w:lineRule="auto"/>
        <w:rPr>
          <w:spacing w:val="-2"/>
          <w:sz w:val="24"/>
          <w:szCs w:val="24"/>
          <w:lang w:eastAsia="zh-CN"/>
        </w:rPr>
      </w:pPr>
    </w:p>
    <w:p>
      <w:pPr>
        <w:spacing w:line="60" w:lineRule="auto"/>
        <w:rPr>
          <w:spacing w:val="-2"/>
          <w:sz w:val="24"/>
          <w:szCs w:val="24"/>
          <w:lang w:eastAsia="zh-CN"/>
        </w:rPr>
      </w:pPr>
    </w:p>
    <w:p>
      <w:pPr>
        <w:spacing w:line="60" w:lineRule="auto"/>
        <w:rPr>
          <w:spacing w:val="-2"/>
          <w:sz w:val="24"/>
          <w:szCs w:val="24"/>
          <w:lang w:eastAsia="zh-CN"/>
        </w:rPr>
      </w:pPr>
      <w:r>
        <w:rPr>
          <w:rFonts w:hint="eastAsia"/>
          <w:spacing w:val="-2"/>
          <w:sz w:val="24"/>
          <w:szCs w:val="24"/>
          <w:lang w:eastAsia="zh-CN"/>
        </w:rPr>
        <w:t>1.1.2评分细则</w:t>
      </w:r>
    </w:p>
    <w:p>
      <w:pPr>
        <w:pStyle w:val="2"/>
        <w:rPr>
          <w:sz w:val="24"/>
          <w:szCs w:val="24"/>
        </w:rPr>
      </w:pPr>
    </w:p>
    <w:tbl>
      <w:tblPr>
        <w:tblStyle w:val="30"/>
        <w:tblW w:w="95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1882"/>
        <w:gridCol w:w="672"/>
        <w:gridCol w:w="63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pacing w:val="-6"/>
                <w:sz w:val="21"/>
                <w:szCs w:val="21"/>
              </w:rPr>
            </w:pPr>
            <w:r>
              <w:rPr>
                <w:rFonts w:hint="eastAsia" w:asciiTheme="majorEastAsia" w:hAnsiTheme="majorEastAsia" w:eastAsiaTheme="majorEastAsia"/>
                <w:b/>
                <w:spacing w:val="-6"/>
                <w:sz w:val="21"/>
                <w:szCs w:val="21"/>
              </w:rPr>
              <w:t>序号</w:t>
            </w:r>
          </w:p>
        </w:tc>
        <w:tc>
          <w:tcPr>
            <w:tcW w:w="1882"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pacing w:val="20"/>
                <w:sz w:val="21"/>
                <w:szCs w:val="21"/>
              </w:rPr>
            </w:pPr>
            <w:r>
              <w:rPr>
                <w:rFonts w:hint="eastAsia" w:asciiTheme="majorEastAsia" w:hAnsiTheme="majorEastAsia" w:eastAsiaTheme="majorEastAsia"/>
                <w:b/>
                <w:spacing w:val="20"/>
                <w:sz w:val="21"/>
                <w:szCs w:val="21"/>
              </w:rPr>
              <w:t>项目</w:t>
            </w:r>
          </w:p>
        </w:tc>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分值</w:t>
            </w:r>
          </w:p>
        </w:tc>
        <w:tc>
          <w:tcPr>
            <w:tcW w:w="6317"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pacing w:val="20"/>
                <w:sz w:val="21"/>
                <w:szCs w:val="21"/>
              </w:rPr>
            </w:pPr>
            <w:r>
              <w:rPr>
                <w:rFonts w:hint="eastAsia" w:asciiTheme="majorEastAsia" w:hAnsiTheme="majorEastAsia" w:eastAsiaTheme="majorEastAsia"/>
                <w:b/>
                <w:spacing w:val="20"/>
                <w:sz w:val="21"/>
                <w:szCs w:val="21"/>
              </w:rPr>
              <w:t>评分细则说明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b/>
                <w:bCs/>
                <w:sz w:val="21"/>
                <w:szCs w:val="21"/>
              </w:rPr>
            </w:pPr>
            <w:r>
              <w:rPr>
                <w:rFonts w:hint="eastAsia" w:asciiTheme="majorEastAsia" w:hAnsiTheme="majorEastAsia" w:eastAsiaTheme="majorEastAsia"/>
                <w:b/>
                <w:bCs/>
                <w:sz w:val="21"/>
                <w:szCs w:val="21"/>
              </w:rPr>
              <w:t>一</w:t>
            </w:r>
          </w:p>
        </w:tc>
        <w:tc>
          <w:tcPr>
            <w:tcW w:w="1882"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b/>
                <w:bCs/>
                <w:spacing w:val="-8"/>
                <w:sz w:val="21"/>
                <w:szCs w:val="21"/>
              </w:rPr>
            </w:pPr>
            <w:r>
              <w:rPr>
                <w:rFonts w:hint="eastAsia" w:asciiTheme="majorEastAsia" w:hAnsiTheme="majorEastAsia" w:eastAsiaTheme="majorEastAsia"/>
                <w:b/>
                <w:bCs/>
                <w:sz w:val="21"/>
                <w:szCs w:val="21"/>
              </w:rPr>
              <w:t>企业资信业绩</w:t>
            </w:r>
          </w:p>
        </w:tc>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pacing w:val="-8"/>
                <w:sz w:val="21"/>
                <w:szCs w:val="21"/>
              </w:rPr>
            </w:pPr>
            <w:r>
              <w:rPr>
                <w:rFonts w:asciiTheme="majorEastAsia" w:hAnsiTheme="majorEastAsia" w:eastAsiaTheme="majorEastAsia"/>
                <w:b/>
                <w:spacing w:val="-8"/>
                <w:sz w:val="21"/>
                <w:szCs w:val="21"/>
              </w:rPr>
              <w:t>1</w:t>
            </w:r>
            <w:r>
              <w:rPr>
                <w:rFonts w:hint="eastAsia" w:asciiTheme="majorEastAsia" w:hAnsiTheme="majorEastAsia" w:eastAsiaTheme="majorEastAsia"/>
                <w:b/>
                <w:spacing w:val="-8"/>
                <w:sz w:val="21"/>
                <w:szCs w:val="21"/>
              </w:rPr>
              <w:t>0</w:t>
            </w:r>
          </w:p>
        </w:tc>
        <w:tc>
          <w:tcPr>
            <w:tcW w:w="6317"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pacing w:val="-8"/>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asciiTheme="majorEastAsia" w:hAnsiTheme="majorEastAsia" w:eastAsiaTheme="majorEastAsia"/>
                <w:sz w:val="21"/>
                <w:szCs w:val="21"/>
              </w:rPr>
              <w:t>1</w:t>
            </w:r>
          </w:p>
        </w:tc>
        <w:tc>
          <w:tcPr>
            <w:tcW w:w="1882" w:type="dxa"/>
            <w:tcBorders>
              <w:top w:val="single" w:color="auto" w:sz="4" w:space="0"/>
              <w:left w:val="single" w:color="auto" w:sz="4" w:space="0"/>
              <w:bottom w:val="single" w:color="auto" w:sz="4" w:space="0"/>
              <w:right w:val="single" w:color="auto" w:sz="4" w:space="0"/>
            </w:tcBorders>
            <w:vAlign w:val="center"/>
          </w:tcPr>
          <w:p>
            <w:pPr>
              <w:tabs>
                <w:tab w:val="left" w:pos="900"/>
              </w:tabs>
              <w:rPr>
                <w:rFonts w:asciiTheme="majorEastAsia" w:hAnsiTheme="majorEastAsia" w:eastAsiaTheme="majorEastAsia"/>
                <w:spacing w:val="-8"/>
                <w:sz w:val="21"/>
                <w:szCs w:val="21"/>
              </w:rPr>
            </w:pPr>
            <w:r>
              <w:rPr>
                <w:rFonts w:hint="eastAsia" w:asciiTheme="majorEastAsia" w:hAnsiTheme="majorEastAsia" w:eastAsiaTheme="majorEastAsia"/>
                <w:sz w:val="21"/>
                <w:szCs w:val="21"/>
              </w:rPr>
              <w:t>企业资信</w:t>
            </w:r>
          </w:p>
        </w:tc>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4</w:t>
            </w:r>
          </w:p>
        </w:tc>
        <w:tc>
          <w:tcPr>
            <w:tcW w:w="6317"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清洗公司需成立3年以上得</w:t>
            </w:r>
            <w:r>
              <w:rPr>
                <w:rFonts w:asciiTheme="majorEastAsia" w:hAnsiTheme="majorEastAsia" w:eastAsiaTheme="majorEastAsia"/>
                <w:sz w:val="21"/>
                <w:szCs w:val="21"/>
                <w:lang w:eastAsia="zh-CN"/>
              </w:rPr>
              <w:t>1分</w:t>
            </w:r>
            <w:r>
              <w:rPr>
                <w:rFonts w:hint="eastAsia" w:asciiTheme="majorEastAsia" w:hAnsiTheme="majorEastAsia" w:eastAsiaTheme="majorEastAsia"/>
                <w:sz w:val="21"/>
                <w:szCs w:val="21"/>
                <w:lang w:eastAsia="zh-CN"/>
              </w:rPr>
              <w:t>；具有机械清洗A级或化学清洗A级以上的得</w:t>
            </w:r>
            <w:r>
              <w:rPr>
                <w:rFonts w:asciiTheme="majorEastAsia" w:hAnsiTheme="majorEastAsia" w:eastAsiaTheme="majorEastAsia"/>
                <w:sz w:val="21"/>
                <w:szCs w:val="21"/>
                <w:lang w:eastAsia="zh-CN"/>
              </w:rPr>
              <w:t>1分；近三年获得</w:t>
            </w:r>
            <w:r>
              <w:rPr>
                <w:rFonts w:hint="eastAsia" w:asciiTheme="majorEastAsia" w:hAnsiTheme="majorEastAsia" w:eastAsiaTheme="majorEastAsia"/>
                <w:sz w:val="21"/>
                <w:szCs w:val="21"/>
                <w:lang w:eastAsia="zh-CN"/>
              </w:rPr>
              <w:t>同类工程施工荣誉和奖励且证明资料（荣誉证书复印件）完整的，每项得</w:t>
            </w:r>
            <w:r>
              <w:rPr>
                <w:rFonts w:asciiTheme="majorEastAsia" w:hAnsiTheme="majorEastAsia" w:eastAsiaTheme="majorEastAsia"/>
                <w:sz w:val="21"/>
                <w:szCs w:val="21"/>
                <w:lang w:eastAsia="zh-CN"/>
              </w:rPr>
              <w:t>1分</w:t>
            </w:r>
            <w:r>
              <w:rPr>
                <w:rFonts w:hint="eastAsia" w:asciiTheme="majorEastAsia" w:hAnsiTheme="majorEastAsia" w:eastAsiaTheme="majorEastAsia"/>
                <w:sz w:val="21"/>
                <w:szCs w:val="21"/>
                <w:lang w:eastAsia="zh-CN"/>
              </w:rPr>
              <w:t>，最多得2分</w:t>
            </w:r>
            <w:r>
              <w:rPr>
                <w:rFonts w:asciiTheme="majorEastAsia" w:hAnsiTheme="majorEastAsia" w:eastAsiaTheme="maj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asciiTheme="majorEastAsia" w:hAnsiTheme="majorEastAsia" w:eastAsiaTheme="majorEastAsia"/>
                <w:sz w:val="21"/>
                <w:szCs w:val="21"/>
              </w:rPr>
              <w:t>2</w:t>
            </w:r>
          </w:p>
        </w:tc>
        <w:tc>
          <w:tcPr>
            <w:tcW w:w="1882"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企业近三年业绩</w:t>
            </w:r>
          </w:p>
        </w:tc>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4</w:t>
            </w:r>
          </w:p>
        </w:tc>
        <w:tc>
          <w:tcPr>
            <w:tcW w:w="6317"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pacing w:val="-8"/>
                <w:sz w:val="21"/>
                <w:szCs w:val="21"/>
                <w:lang w:eastAsia="zh-CN"/>
              </w:rPr>
              <w:t>近三年内（2017年-2019年）投标人有同类清洗工程业绩（清洗2万m³的原油外浮顶储罐不少于5台；清洗5万m³的内浮顶储罐不少于5台；清洗2万m³的重质油拱顶储罐不少于5台；提供清洗施工合同复印件）的，每一项得1分（合同原件备查）。</w:t>
            </w:r>
            <w:r>
              <w:rPr>
                <w:rFonts w:hint="eastAsia" w:asciiTheme="majorEastAsia" w:hAnsiTheme="majorEastAsia" w:eastAsiaTheme="majorEastAsia"/>
                <w:sz w:val="21"/>
                <w:szCs w:val="21"/>
              </w:rPr>
              <w:t>最多得5分。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3</w:t>
            </w:r>
          </w:p>
        </w:tc>
        <w:tc>
          <w:tcPr>
            <w:tcW w:w="1882"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企业</w:t>
            </w:r>
            <w:r>
              <w:rPr>
                <w:rFonts w:asciiTheme="majorEastAsia" w:hAnsiTheme="majorEastAsia" w:eastAsiaTheme="majorEastAsia"/>
                <w:sz w:val="21"/>
                <w:szCs w:val="21"/>
              </w:rPr>
              <w:t>基本状况</w:t>
            </w:r>
          </w:p>
        </w:tc>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asciiTheme="majorEastAsia" w:hAnsiTheme="majorEastAsia" w:eastAsiaTheme="majorEastAsia"/>
                <w:sz w:val="21"/>
                <w:szCs w:val="21"/>
              </w:rPr>
              <w:t>2</w:t>
            </w:r>
          </w:p>
        </w:tc>
        <w:tc>
          <w:tcPr>
            <w:tcW w:w="6317"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企业财务资金状况（公司注册资金不少于100万元；）、资金保障能力良好，过往项目队伍稳定状况、进度、质量、安全管理工作良好者得2分，一般得1分。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b/>
                <w:bCs/>
                <w:sz w:val="21"/>
                <w:szCs w:val="21"/>
              </w:rPr>
            </w:pPr>
            <w:r>
              <w:rPr>
                <w:rFonts w:hint="eastAsia" w:asciiTheme="majorEastAsia" w:hAnsiTheme="majorEastAsia" w:eastAsiaTheme="majorEastAsia"/>
                <w:b/>
                <w:bCs/>
                <w:sz w:val="21"/>
                <w:szCs w:val="21"/>
              </w:rPr>
              <w:t>二</w:t>
            </w:r>
          </w:p>
        </w:tc>
        <w:tc>
          <w:tcPr>
            <w:tcW w:w="1882"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b/>
                <w:bCs/>
                <w:sz w:val="21"/>
                <w:szCs w:val="21"/>
              </w:rPr>
            </w:pPr>
            <w:r>
              <w:rPr>
                <w:rFonts w:hint="eastAsia" w:asciiTheme="majorEastAsia" w:hAnsiTheme="majorEastAsia" w:eastAsiaTheme="majorEastAsia"/>
                <w:b/>
                <w:bCs/>
                <w:sz w:val="21"/>
                <w:szCs w:val="21"/>
              </w:rPr>
              <w:t>施工组织设计</w:t>
            </w:r>
          </w:p>
        </w:tc>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30</w:t>
            </w:r>
          </w:p>
        </w:tc>
        <w:tc>
          <w:tcPr>
            <w:tcW w:w="6317"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1</w:t>
            </w:r>
          </w:p>
        </w:tc>
        <w:tc>
          <w:tcPr>
            <w:tcW w:w="1882"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项目经理</w:t>
            </w:r>
          </w:p>
        </w:tc>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5</w:t>
            </w:r>
          </w:p>
        </w:tc>
        <w:tc>
          <w:tcPr>
            <w:tcW w:w="6317"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lang w:eastAsia="zh-CN"/>
              </w:rPr>
              <w:t>项目经理需持有相应的资格证书，</w:t>
            </w:r>
            <w:r>
              <w:rPr>
                <w:rFonts w:hint="eastAsia" w:asciiTheme="majorEastAsia" w:hAnsiTheme="majorEastAsia" w:eastAsiaTheme="majorEastAsia"/>
                <w:sz w:val="21"/>
                <w:szCs w:val="21"/>
                <w:shd w:val="clear" w:color="auto" w:fill="FFFFFF"/>
                <w:lang w:eastAsia="zh-CN"/>
              </w:rPr>
              <w:t>一级的2分，二级得1分，无相关资格证书此项得</w:t>
            </w:r>
            <w:r>
              <w:rPr>
                <w:rFonts w:asciiTheme="majorEastAsia" w:hAnsiTheme="majorEastAsia" w:eastAsiaTheme="majorEastAsia"/>
                <w:sz w:val="21"/>
                <w:szCs w:val="21"/>
                <w:shd w:val="clear" w:color="auto" w:fill="FFFFFF"/>
                <w:lang w:eastAsia="zh-CN"/>
              </w:rPr>
              <w:t>0</w:t>
            </w:r>
            <w:r>
              <w:rPr>
                <w:rFonts w:hint="eastAsia" w:asciiTheme="majorEastAsia" w:hAnsiTheme="majorEastAsia" w:eastAsiaTheme="majorEastAsia"/>
                <w:sz w:val="21"/>
                <w:szCs w:val="21"/>
                <w:shd w:val="clear" w:color="auto" w:fill="FFFFFF"/>
                <w:lang w:eastAsia="zh-CN"/>
              </w:rPr>
              <w:t>分。</w:t>
            </w:r>
          </w:p>
          <w:p>
            <w:pP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项目经理</w:t>
            </w:r>
            <w:r>
              <w:rPr>
                <w:rFonts w:hint="eastAsia" w:asciiTheme="majorEastAsia" w:hAnsiTheme="majorEastAsia" w:eastAsiaTheme="majorEastAsia"/>
                <w:spacing w:val="-8"/>
                <w:sz w:val="21"/>
                <w:szCs w:val="21"/>
                <w:lang w:eastAsia="zh-CN"/>
              </w:rPr>
              <w:t>近五年内（2013年-2018年）</w:t>
            </w:r>
            <w:r>
              <w:rPr>
                <w:rFonts w:hint="eastAsia" w:asciiTheme="majorEastAsia" w:hAnsiTheme="majorEastAsia" w:eastAsiaTheme="majorEastAsia"/>
                <w:sz w:val="21"/>
                <w:szCs w:val="21"/>
                <w:lang w:eastAsia="zh-CN"/>
              </w:rPr>
              <w:t>担任过</w:t>
            </w:r>
            <w:r>
              <w:rPr>
                <w:rFonts w:asciiTheme="majorEastAsia" w:hAnsiTheme="majorEastAsia" w:eastAsiaTheme="majorEastAsia"/>
                <w:sz w:val="21"/>
                <w:szCs w:val="21"/>
                <w:lang w:eastAsia="zh-CN"/>
              </w:rPr>
              <w:t>1</w:t>
            </w:r>
            <w:r>
              <w:rPr>
                <w:rFonts w:hint="eastAsia" w:asciiTheme="majorEastAsia" w:hAnsiTheme="majorEastAsia" w:eastAsiaTheme="majorEastAsia"/>
                <w:sz w:val="21"/>
                <w:szCs w:val="21"/>
                <w:lang w:eastAsia="zh-CN"/>
              </w:rPr>
              <w:t>项以上类似工程施工项目负责人，每项得</w:t>
            </w:r>
            <w:r>
              <w:rPr>
                <w:rFonts w:asciiTheme="majorEastAsia" w:hAnsiTheme="majorEastAsia" w:eastAsiaTheme="majorEastAsia"/>
                <w:sz w:val="21"/>
                <w:szCs w:val="21"/>
                <w:lang w:eastAsia="zh-CN"/>
              </w:rPr>
              <w:t>1</w:t>
            </w:r>
            <w:r>
              <w:rPr>
                <w:rFonts w:hint="eastAsia" w:asciiTheme="majorEastAsia" w:hAnsiTheme="majorEastAsia" w:eastAsiaTheme="majorEastAsia"/>
                <w:sz w:val="21"/>
                <w:szCs w:val="21"/>
                <w:lang w:eastAsia="zh-CN"/>
              </w:rPr>
              <w:t>分，最高得3分，需提供业绩证明材料。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2</w:t>
            </w:r>
          </w:p>
        </w:tc>
        <w:tc>
          <w:tcPr>
            <w:tcW w:w="1882"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现场组织机构设置</w:t>
            </w:r>
          </w:p>
        </w:tc>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5</w:t>
            </w:r>
          </w:p>
        </w:tc>
        <w:tc>
          <w:tcPr>
            <w:tcW w:w="6317"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项目部的组织形式合理，管理班子配备齐全（项目经理、专职安全员、现场施工负责人、清洗负责人及专职电工），项目主要管理人员均有参与同类项目的业绩和经验、人员有明确的分工，得5分，基本满足该投标项目的得</w:t>
            </w:r>
            <w:r>
              <w:rPr>
                <w:rFonts w:asciiTheme="majorEastAsia" w:hAnsiTheme="majorEastAsia" w:eastAsiaTheme="majorEastAsia"/>
                <w:sz w:val="21"/>
                <w:szCs w:val="21"/>
                <w:lang w:eastAsia="zh-CN"/>
              </w:rPr>
              <w:t>3</w:t>
            </w:r>
            <w:r>
              <w:rPr>
                <w:rFonts w:hint="eastAsia" w:asciiTheme="majorEastAsia" w:hAnsiTheme="majorEastAsia" w:eastAsiaTheme="majorEastAsia"/>
                <w:sz w:val="21"/>
                <w:szCs w:val="21"/>
                <w:lang w:eastAsia="zh-CN"/>
              </w:rPr>
              <w:t>分，配备不全、无明确分工或主要管理人员无类似项目施工管理经验的各扣</w:t>
            </w:r>
            <w:r>
              <w:rPr>
                <w:rFonts w:asciiTheme="majorEastAsia" w:hAnsiTheme="majorEastAsia" w:eastAsiaTheme="majorEastAsia"/>
                <w:sz w:val="21"/>
                <w:szCs w:val="21"/>
                <w:lang w:eastAsia="zh-CN"/>
              </w:rPr>
              <w:t>1</w:t>
            </w:r>
            <w:r>
              <w:rPr>
                <w:rFonts w:hint="eastAsia" w:asciiTheme="majorEastAsia" w:hAnsiTheme="majorEastAsia" w:eastAsiaTheme="majorEastAsia"/>
                <w:sz w:val="21"/>
                <w:szCs w:val="21"/>
                <w:lang w:eastAsia="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asciiTheme="majorEastAsia" w:hAnsiTheme="majorEastAsia" w:eastAsiaTheme="majorEastAsia"/>
                <w:sz w:val="21"/>
                <w:szCs w:val="21"/>
              </w:rPr>
              <w:t>3</w:t>
            </w:r>
          </w:p>
        </w:tc>
        <w:tc>
          <w:tcPr>
            <w:tcW w:w="1882"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劳动力使用计划</w:t>
            </w:r>
          </w:p>
        </w:tc>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asciiTheme="majorEastAsia" w:hAnsiTheme="majorEastAsia" w:eastAsiaTheme="majorEastAsia"/>
                <w:sz w:val="21"/>
                <w:szCs w:val="21"/>
              </w:rPr>
              <w:t>5</w:t>
            </w:r>
          </w:p>
        </w:tc>
        <w:tc>
          <w:tcPr>
            <w:tcW w:w="6317"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现场劳动力计划安排合理，得</w:t>
            </w:r>
            <w:r>
              <w:rPr>
                <w:rFonts w:asciiTheme="majorEastAsia" w:hAnsiTheme="majorEastAsia" w:eastAsiaTheme="majorEastAsia"/>
                <w:sz w:val="21"/>
                <w:szCs w:val="21"/>
                <w:lang w:eastAsia="zh-CN"/>
              </w:rPr>
              <w:t>4</w:t>
            </w:r>
            <w:r>
              <w:rPr>
                <w:rFonts w:hint="eastAsia" w:asciiTheme="majorEastAsia" w:hAnsiTheme="majorEastAsia" w:eastAsiaTheme="majorEastAsia"/>
                <w:sz w:val="21"/>
                <w:szCs w:val="21"/>
                <w:lang w:eastAsia="zh-CN"/>
              </w:rPr>
              <w:t>-5</w:t>
            </w:r>
            <w:r>
              <w:rPr>
                <w:rFonts w:asciiTheme="majorEastAsia" w:hAnsiTheme="majorEastAsia" w:eastAsiaTheme="majorEastAsia"/>
                <w:sz w:val="21"/>
                <w:szCs w:val="21"/>
                <w:lang w:eastAsia="zh-CN"/>
              </w:rPr>
              <w:t>分，</w:t>
            </w:r>
            <w:r>
              <w:rPr>
                <w:rFonts w:hint="eastAsia" w:asciiTheme="majorEastAsia" w:hAnsiTheme="majorEastAsia" w:eastAsiaTheme="majorEastAsia"/>
                <w:sz w:val="21"/>
                <w:szCs w:val="21"/>
                <w:lang w:eastAsia="zh-CN"/>
              </w:rPr>
              <w:t>一般</w:t>
            </w:r>
            <w:r>
              <w:rPr>
                <w:rFonts w:asciiTheme="majorEastAsia" w:hAnsiTheme="majorEastAsia" w:eastAsiaTheme="majorEastAsia"/>
                <w:sz w:val="21"/>
                <w:szCs w:val="21"/>
                <w:lang w:eastAsia="zh-CN"/>
              </w:rPr>
              <w:t>得</w:t>
            </w:r>
            <w:r>
              <w:rPr>
                <w:rFonts w:hint="eastAsia" w:asciiTheme="majorEastAsia" w:hAnsiTheme="majorEastAsia" w:eastAsiaTheme="majorEastAsia"/>
                <w:sz w:val="21"/>
                <w:szCs w:val="21"/>
                <w:lang w:eastAsia="zh-CN"/>
              </w:rPr>
              <w:t>1份</w:t>
            </w:r>
            <w:r>
              <w:rPr>
                <w:rFonts w:asciiTheme="majorEastAsia" w:hAnsiTheme="majorEastAsia" w:eastAsiaTheme="majorEastAsia"/>
                <w:sz w:val="21"/>
                <w:szCs w:val="21"/>
                <w:lang w:eastAsia="zh-CN"/>
              </w:rPr>
              <w:t>，</w:t>
            </w:r>
            <w:r>
              <w:rPr>
                <w:rFonts w:hint="eastAsia" w:asciiTheme="majorEastAsia" w:hAnsiTheme="majorEastAsia" w:eastAsiaTheme="majorEastAsia"/>
                <w:sz w:val="21"/>
                <w:szCs w:val="21"/>
                <w:lang w:eastAsia="zh-CN"/>
              </w:rPr>
              <w:t>不合理</w:t>
            </w:r>
            <w:r>
              <w:rPr>
                <w:rFonts w:asciiTheme="majorEastAsia" w:hAnsiTheme="majorEastAsia" w:eastAsiaTheme="majorEastAsia"/>
                <w:sz w:val="21"/>
                <w:szCs w:val="21"/>
                <w:lang w:eastAsia="zh-CN"/>
              </w:rPr>
              <w:t>得</w:t>
            </w:r>
            <w:r>
              <w:rPr>
                <w:rFonts w:hint="eastAsia" w:asciiTheme="majorEastAsia" w:hAnsiTheme="majorEastAsia" w:eastAsiaTheme="majorEastAsia"/>
                <w:sz w:val="21"/>
                <w:szCs w:val="21"/>
                <w:lang w:eastAsia="zh-CN"/>
              </w:rPr>
              <w:t>0分</w:t>
            </w:r>
            <w:r>
              <w:rPr>
                <w:rFonts w:asciiTheme="majorEastAsia" w:hAnsiTheme="majorEastAsia" w:eastAsiaTheme="maj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asciiTheme="majorEastAsia" w:hAnsiTheme="majorEastAsia" w:eastAsiaTheme="majorEastAsia"/>
                <w:sz w:val="21"/>
                <w:szCs w:val="21"/>
              </w:rPr>
              <w:t>4</w:t>
            </w:r>
          </w:p>
        </w:tc>
        <w:tc>
          <w:tcPr>
            <w:tcW w:w="1882"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施工</w:t>
            </w:r>
            <w:r>
              <w:rPr>
                <w:rFonts w:hint="eastAsia" w:asciiTheme="majorEastAsia" w:hAnsiTheme="majorEastAsia" w:eastAsiaTheme="majorEastAsia"/>
                <w:sz w:val="21"/>
                <w:szCs w:val="21"/>
                <w:lang w:eastAsia="zh-CN"/>
              </w:rPr>
              <w:t>技术</w:t>
            </w:r>
            <w:r>
              <w:rPr>
                <w:rFonts w:hint="eastAsia" w:asciiTheme="majorEastAsia" w:hAnsiTheme="majorEastAsia" w:eastAsiaTheme="majorEastAsia"/>
                <w:sz w:val="21"/>
                <w:szCs w:val="21"/>
              </w:rPr>
              <w:t>方案</w:t>
            </w:r>
          </w:p>
        </w:tc>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asciiTheme="majorEastAsia" w:hAnsiTheme="majorEastAsia" w:eastAsiaTheme="majorEastAsia"/>
                <w:sz w:val="21"/>
                <w:szCs w:val="21"/>
              </w:rPr>
              <w:t>5</w:t>
            </w:r>
          </w:p>
        </w:tc>
        <w:tc>
          <w:tcPr>
            <w:tcW w:w="6317"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强调和所投标项目的针对性、可实施性：施工方案科学、合理、内容完整，施工重点、难点和特殊部位处理分析全面、措施安全合理且确实是针对本项目所编的，得</w:t>
            </w:r>
            <w:r>
              <w:rPr>
                <w:rFonts w:asciiTheme="majorEastAsia" w:hAnsiTheme="majorEastAsia" w:eastAsiaTheme="majorEastAsia"/>
                <w:sz w:val="21"/>
                <w:szCs w:val="21"/>
                <w:lang w:eastAsia="zh-CN"/>
              </w:rPr>
              <w:t>5</w:t>
            </w:r>
            <w:r>
              <w:rPr>
                <w:rFonts w:hint="eastAsia" w:asciiTheme="majorEastAsia" w:hAnsiTheme="majorEastAsia" w:eastAsiaTheme="majorEastAsia"/>
                <w:sz w:val="21"/>
                <w:szCs w:val="21"/>
                <w:lang w:eastAsia="zh-CN"/>
              </w:rPr>
              <w:t>分；较好的得</w:t>
            </w:r>
            <w:r>
              <w:rPr>
                <w:rFonts w:asciiTheme="majorEastAsia" w:hAnsiTheme="majorEastAsia" w:eastAsiaTheme="majorEastAsia"/>
                <w:sz w:val="21"/>
                <w:szCs w:val="21"/>
                <w:lang w:eastAsia="zh-CN"/>
              </w:rPr>
              <w:t>2~3</w:t>
            </w:r>
            <w:r>
              <w:rPr>
                <w:rFonts w:hint="eastAsia" w:asciiTheme="majorEastAsia" w:hAnsiTheme="majorEastAsia" w:eastAsiaTheme="majorEastAsia"/>
                <w:sz w:val="21"/>
                <w:szCs w:val="21"/>
                <w:lang w:eastAsia="zh-CN"/>
              </w:rPr>
              <w:t>分，差的得</w:t>
            </w:r>
            <w:r>
              <w:rPr>
                <w:rFonts w:asciiTheme="majorEastAsia" w:hAnsiTheme="majorEastAsia" w:eastAsiaTheme="majorEastAsia"/>
                <w:sz w:val="21"/>
                <w:szCs w:val="21"/>
                <w:lang w:eastAsia="zh-CN"/>
              </w:rPr>
              <w:t>0~1</w:t>
            </w:r>
            <w:r>
              <w:rPr>
                <w:rFonts w:hint="eastAsia" w:asciiTheme="majorEastAsia" w:hAnsiTheme="majorEastAsia" w:eastAsiaTheme="majorEastAsia"/>
                <w:sz w:val="21"/>
                <w:szCs w:val="21"/>
                <w:lang w:eastAsia="zh-CN"/>
              </w:rPr>
              <w:t>分，缺乏对本项目的针对性的不得分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asciiTheme="majorEastAsia" w:hAnsiTheme="majorEastAsia" w:eastAsiaTheme="majorEastAsia"/>
                <w:sz w:val="21"/>
                <w:szCs w:val="21"/>
              </w:rPr>
              <w:t>5</w:t>
            </w:r>
          </w:p>
        </w:tc>
        <w:tc>
          <w:tcPr>
            <w:tcW w:w="1882"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Q</w:t>
            </w:r>
            <w:r>
              <w:rPr>
                <w:rFonts w:asciiTheme="majorEastAsia" w:hAnsiTheme="majorEastAsia" w:eastAsiaTheme="majorEastAsia"/>
                <w:sz w:val="21"/>
                <w:szCs w:val="21"/>
              </w:rPr>
              <w:t>HSE</w:t>
            </w:r>
            <w:r>
              <w:rPr>
                <w:rFonts w:hint="eastAsia" w:asciiTheme="majorEastAsia" w:hAnsiTheme="majorEastAsia" w:eastAsiaTheme="majorEastAsia"/>
                <w:sz w:val="21"/>
                <w:szCs w:val="21"/>
              </w:rPr>
              <w:t>管理</w:t>
            </w:r>
          </w:p>
        </w:tc>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asciiTheme="majorEastAsia" w:hAnsiTheme="majorEastAsia" w:eastAsiaTheme="majorEastAsia"/>
                <w:sz w:val="21"/>
                <w:szCs w:val="21"/>
              </w:rPr>
              <w:t>5</w:t>
            </w:r>
          </w:p>
        </w:tc>
        <w:tc>
          <w:tcPr>
            <w:tcW w:w="6317"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基于本项目特点建立了</w:t>
            </w:r>
            <w:r>
              <w:rPr>
                <w:rFonts w:asciiTheme="majorEastAsia" w:hAnsiTheme="majorEastAsia" w:eastAsiaTheme="majorEastAsia"/>
                <w:sz w:val="21"/>
                <w:szCs w:val="21"/>
                <w:lang w:eastAsia="zh-CN"/>
              </w:rPr>
              <w:t>HSE</w:t>
            </w:r>
            <w:r>
              <w:rPr>
                <w:rFonts w:hint="eastAsia" w:asciiTheme="majorEastAsia" w:hAnsiTheme="majorEastAsia" w:eastAsiaTheme="majorEastAsia"/>
                <w:sz w:val="21"/>
                <w:szCs w:val="21"/>
                <w:lang w:eastAsia="zh-CN"/>
              </w:rPr>
              <w:t xml:space="preserve">管理体系，体系中设置数量合适的专职、持 </w:t>
            </w:r>
            <w:r>
              <w:rPr>
                <w:rFonts w:asciiTheme="majorEastAsia" w:hAnsiTheme="majorEastAsia" w:eastAsiaTheme="majorEastAsia"/>
                <w:sz w:val="21"/>
                <w:szCs w:val="21"/>
                <w:lang w:eastAsia="zh-CN"/>
              </w:rPr>
              <w:t>C</w:t>
            </w:r>
            <w:r>
              <w:rPr>
                <w:rFonts w:hint="eastAsia" w:asciiTheme="majorEastAsia" w:hAnsiTheme="majorEastAsia" w:eastAsiaTheme="majorEastAsia"/>
                <w:sz w:val="21"/>
                <w:szCs w:val="21"/>
                <w:lang w:eastAsia="zh-CN"/>
              </w:rPr>
              <w:t>证安全检查员得</w:t>
            </w:r>
            <w:r>
              <w:rPr>
                <w:rFonts w:asciiTheme="majorEastAsia" w:hAnsiTheme="majorEastAsia" w:eastAsiaTheme="majorEastAsia"/>
                <w:sz w:val="21"/>
                <w:szCs w:val="21"/>
                <w:lang w:eastAsia="zh-CN"/>
              </w:rPr>
              <w:t>2</w:t>
            </w:r>
            <w:r>
              <w:rPr>
                <w:rFonts w:hint="eastAsia" w:asciiTheme="majorEastAsia" w:hAnsiTheme="majorEastAsia" w:eastAsiaTheme="majorEastAsia"/>
                <w:sz w:val="21"/>
                <w:szCs w:val="21"/>
                <w:lang w:eastAsia="zh-CN"/>
              </w:rPr>
              <w:t>分（附</w:t>
            </w:r>
            <w:r>
              <w:rPr>
                <w:rFonts w:asciiTheme="majorEastAsia" w:hAnsiTheme="majorEastAsia" w:eastAsiaTheme="majorEastAsia"/>
                <w:sz w:val="21"/>
                <w:szCs w:val="21"/>
                <w:lang w:eastAsia="zh-CN"/>
              </w:rPr>
              <w:t>C</w:t>
            </w:r>
            <w:r>
              <w:rPr>
                <w:rFonts w:hint="eastAsia" w:asciiTheme="majorEastAsia" w:hAnsiTheme="majorEastAsia" w:eastAsiaTheme="majorEastAsia"/>
                <w:sz w:val="21"/>
                <w:szCs w:val="21"/>
                <w:lang w:eastAsia="zh-CN"/>
              </w:rPr>
              <w:t>证复印件），不安全因素辨识完整、准确、清楚，各岗位安全管理职责明确、相关安全措施到位再得</w:t>
            </w:r>
            <w:r>
              <w:rPr>
                <w:rFonts w:asciiTheme="majorEastAsia" w:hAnsiTheme="majorEastAsia" w:eastAsiaTheme="majorEastAsia"/>
                <w:sz w:val="21"/>
                <w:szCs w:val="21"/>
                <w:lang w:eastAsia="zh-CN"/>
              </w:rPr>
              <w:t>2</w:t>
            </w:r>
            <w:r>
              <w:rPr>
                <w:rFonts w:hint="eastAsia" w:asciiTheme="majorEastAsia" w:hAnsiTheme="majorEastAsia" w:eastAsiaTheme="majorEastAsia"/>
                <w:sz w:val="21"/>
                <w:szCs w:val="21"/>
                <w:lang w:eastAsia="zh-CN"/>
              </w:rPr>
              <w:t>分；没有或相关不合理不得分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asciiTheme="majorEastAsia" w:hAnsiTheme="majorEastAsia" w:eastAsiaTheme="majorEastAsia"/>
                <w:sz w:val="21"/>
                <w:szCs w:val="21"/>
              </w:rPr>
              <w:t>6</w:t>
            </w:r>
          </w:p>
        </w:tc>
        <w:tc>
          <w:tcPr>
            <w:tcW w:w="1882"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b/>
                <w:sz w:val="21"/>
                <w:szCs w:val="21"/>
              </w:rPr>
            </w:pPr>
            <w:r>
              <w:rPr>
                <w:rFonts w:hint="eastAsia" w:asciiTheme="majorEastAsia" w:hAnsiTheme="majorEastAsia" w:eastAsiaTheme="majorEastAsia"/>
                <w:sz w:val="21"/>
                <w:szCs w:val="21"/>
              </w:rPr>
              <w:t>施工机具</w:t>
            </w:r>
          </w:p>
        </w:tc>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1"/>
                <w:szCs w:val="21"/>
              </w:rPr>
            </w:pPr>
            <w:r>
              <w:rPr>
                <w:rFonts w:asciiTheme="majorEastAsia" w:hAnsiTheme="majorEastAsia" w:eastAsiaTheme="majorEastAsia"/>
                <w:sz w:val="21"/>
                <w:szCs w:val="21"/>
              </w:rPr>
              <w:t>5</w:t>
            </w:r>
          </w:p>
        </w:tc>
        <w:tc>
          <w:tcPr>
            <w:tcW w:w="6317"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施工机具、设备清单完全能满足施工需要，得4-5分，一般得1-3分，不达标的得0分。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三</w:t>
            </w:r>
          </w:p>
        </w:tc>
        <w:tc>
          <w:tcPr>
            <w:tcW w:w="1882"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商务报价</w:t>
            </w:r>
          </w:p>
        </w:tc>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60</w:t>
            </w:r>
          </w:p>
        </w:tc>
        <w:tc>
          <w:tcPr>
            <w:tcW w:w="6317"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1.在甲方制定的《储罐清洗基价》基础上，进行整体下浮动率的报价，整体</w:t>
            </w:r>
            <w:r>
              <w:rPr>
                <w:rFonts w:hint="eastAsia" w:asciiTheme="minorEastAsia" w:hAnsiTheme="minorEastAsia" w:eastAsiaTheme="minorEastAsia"/>
                <w:sz w:val="21"/>
                <w:szCs w:val="21"/>
                <w:highlight w:val="yellow"/>
                <w:lang w:eastAsia="zh-CN"/>
              </w:rPr>
              <w:t>下浮标记为：-</w:t>
            </w:r>
            <w:r>
              <w:rPr>
                <w:rFonts w:hint="eastAsia" w:asciiTheme="minorEastAsia" w:hAnsiTheme="minorEastAsia" w:eastAsiaTheme="minorEastAsia"/>
                <w:sz w:val="21"/>
                <w:szCs w:val="21"/>
                <w:highlight w:val="yellow"/>
                <w:u w:val="single"/>
                <w:lang w:eastAsia="zh-CN"/>
              </w:rPr>
              <w:t>××</w:t>
            </w:r>
            <w:r>
              <w:rPr>
                <w:rFonts w:hint="eastAsia" w:asciiTheme="minorEastAsia" w:hAnsiTheme="minorEastAsia" w:eastAsiaTheme="minorEastAsia"/>
                <w:sz w:val="21"/>
                <w:szCs w:val="21"/>
                <w:highlight w:val="yellow"/>
                <w:lang w:eastAsia="zh-CN"/>
              </w:rPr>
              <w:t>%</w:t>
            </w:r>
            <w:r>
              <w:rPr>
                <w:rFonts w:hint="eastAsia" w:asciiTheme="minorEastAsia" w:hAnsiTheme="minorEastAsia" w:eastAsiaTheme="minorEastAsia"/>
                <w:sz w:val="21"/>
                <w:szCs w:val="21"/>
                <w:lang w:eastAsia="zh-CN"/>
              </w:rPr>
              <w:t>；</w:t>
            </w:r>
          </w:p>
          <w:p>
            <w:pPr>
              <w:pStyle w:val="2"/>
            </w:pPr>
            <w:r>
              <w:rPr>
                <w:rFonts w:hint="eastAsia" w:asciiTheme="majorEastAsia" w:hAnsiTheme="majorEastAsia" w:eastAsiaTheme="majorEastAsia"/>
                <w:sz w:val="21"/>
                <w:szCs w:val="21"/>
              </w:rPr>
              <w:t>最低报价得50分，其它得分=50*最低报价/其它投标报价。</w:t>
            </w:r>
          </w:p>
          <w:p>
            <w:pPr>
              <w:spacing w:line="240" w:lineRule="exact"/>
              <w:rPr>
                <w:rFonts w:asciiTheme="majorEastAsia" w:hAnsiTheme="majorEastAsia" w:eastAsiaTheme="majorEastAsia"/>
                <w:sz w:val="21"/>
                <w:szCs w:val="21"/>
                <w:lang w:eastAsia="zh-CN"/>
              </w:rPr>
            </w:pPr>
            <w:r>
              <w:rPr>
                <w:rFonts w:hint="eastAsia" w:asciiTheme="minorEastAsia" w:hAnsiTheme="minorEastAsia" w:eastAsiaTheme="minorEastAsia"/>
                <w:sz w:val="21"/>
                <w:szCs w:val="21"/>
                <w:lang w:eastAsia="zh-CN"/>
              </w:rPr>
              <w:t>2.</w:t>
            </w:r>
            <w:r>
              <w:rPr>
                <w:rFonts w:hint="eastAsia" w:asciiTheme="majorEastAsia" w:hAnsiTheme="majorEastAsia" w:eastAsiaTheme="majorEastAsia"/>
                <w:sz w:val="21"/>
                <w:szCs w:val="21"/>
                <w:lang w:eastAsia="zh-CN"/>
              </w:rPr>
              <w:t xml:space="preserve"> 储罐底料清理费用最低报价得10分，其它得分=10*最低报价/其它投标报价。</w:t>
            </w:r>
          </w:p>
        </w:tc>
      </w:tr>
    </w:tbl>
    <w:p>
      <w:pPr>
        <w:rPr>
          <w:lang w:eastAsia="zh-CN"/>
        </w:rPr>
      </w:pPr>
    </w:p>
    <w:p>
      <w:pPr>
        <w:snapToGrid w:val="0"/>
        <w:spacing w:line="420" w:lineRule="atLeast"/>
        <w:ind w:firstLine="687" w:firstLineChars="300"/>
        <w:rPr>
          <w:b/>
          <w:sz w:val="24"/>
          <w:szCs w:val="24"/>
          <w:lang w:eastAsia="zh-CN"/>
        </w:rPr>
      </w:pPr>
      <w:r>
        <w:rPr>
          <w:rFonts w:hint="eastAsia"/>
          <w:b/>
          <w:w w:val="95"/>
          <w:sz w:val="24"/>
          <w:szCs w:val="24"/>
          <w:lang w:eastAsia="zh-CN"/>
        </w:rPr>
        <w:t>五</w:t>
      </w:r>
      <w:r>
        <w:rPr>
          <w:b/>
          <w:w w:val="95"/>
          <w:sz w:val="24"/>
          <w:szCs w:val="24"/>
          <w:lang w:eastAsia="zh-CN"/>
        </w:rPr>
        <w:t>、以下情况作废选处理：</w:t>
      </w:r>
    </w:p>
    <w:p>
      <w:pPr>
        <w:pStyle w:val="13"/>
        <w:spacing w:line="360" w:lineRule="auto"/>
        <w:ind w:firstLine="480" w:firstLineChars="200"/>
        <w:rPr>
          <w:lang w:eastAsia="zh-CN"/>
        </w:rPr>
      </w:pPr>
      <w:r>
        <w:rPr>
          <w:lang w:eastAsia="zh-CN"/>
        </w:rPr>
        <w:t>1.对比选文件提出的实质性要求和条件，参选文件未能在实质上响应的。</w:t>
      </w:r>
    </w:p>
    <w:p>
      <w:pPr>
        <w:pStyle w:val="13"/>
        <w:spacing w:line="360" w:lineRule="auto"/>
        <w:ind w:firstLine="480" w:firstLineChars="200"/>
        <w:rPr>
          <w:lang w:eastAsia="zh-CN"/>
        </w:rPr>
      </w:pPr>
      <w:r>
        <w:rPr>
          <w:lang w:eastAsia="zh-CN"/>
        </w:rPr>
        <w:t>2.参选文件存在重大偏差的。</w:t>
      </w:r>
    </w:p>
    <w:p>
      <w:pPr>
        <w:pStyle w:val="13"/>
        <w:spacing w:line="360" w:lineRule="auto"/>
        <w:ind w:firstLine="480" w:firstLineChars="200"/>
        <w:rPr>
          <w:lang w:eastAsia="zh-CN"/>
        </w:rPr>
      </w:pPr>
      <w:r>
        <w:rPr>
          <w:rFonts w:hint="eastAsia"/>
          <w:lang w:eastAsia="zh-CN"/>
        </w:rPr>
        <w:t>3</w:t>
      </w:r>
      <w:r>
        <w:rPr>
          <w:lang w:eastAsia="zh-CN"/>
        </w:rPr>
        <w:t>.违反规定影响开选评选工作或采取其他方式对比选人施加影响的。</w:t>
      </w:r>
    </w:p>
    <w:p>
      <w:pPr>
        <w:pStyle w:val="3"/>
        <w:tabs>
          <w:tab w:val="left" w:pos="1632"/>
        </w:tabs>
        <w:spacing w:line="360" w:lineRule="auto"/>
        <w:ind w:left="0" w:firstLine="480" w:firstLineChars="200"/>
        <w:jc w:val="both"/>
        <w:rPr>
          <w:b w:val="0"/>
          <w:sz w:val="24"/>
          <w:szCs w:val="24"/>
          <w:lang w:eastAsia="zh-CN"/>
        </w:rPr>
      </w:pPr>
      <w:r>
        <w:rPr>
          <w:rFonts w:hint="eastAsia"/>
          <w:b w:val="0"/>
          <w:sz w:val="24"/>
          <w:szCs w:val="24"/>
          <w:lang w:eastAsia="zh-CN"/>
        </w:rPr>
        <w:t>4</w:t>
      </w:r>
      <w:r>
        <w:rPr>
          <w:b w:val="0"/>
          <w:sz w:val="24"/>
          <w:szCs w:val="24"/>
          <w:lang w:eastAsia="zh-CN"/>
        </w:rPr>
        <w:t>.参选人串标、相互勾结故意压低标价以排挤竞争对手的公平竞争的，其参选无效。</w:t>
      </w:r>
    </w:p>
    <w:p>
      <w:pPr>
        <w:rPr>
          <w:lang w:eastAsia="zh-CN"/>
        </w:rPr>
      </w:pPr>
    </w:p>
    <w:p>
      <w:pPr>
        <w:pStyle w:val="2"/>
      </w:pPr>
    </w:p>
    <w:p>
      <w:pPr>
        <w:pStyle w:val="3"/>
        <w:tabs>
          <w:tab w:val="left" w:pos="1632"/>
        </w:tabs>
        <w:spacing w:line="360" w:lineRule="auto"/>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13"/>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13"/>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13"/>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13"/>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13"/>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13"/>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rStyle w:val="33"/>
          <w:sz w:val="24"/>
          <w:szCs w:val="24"/>
        </w:rPr>
      </w:pPr>
      <w:r>
        <w:rPr>
          <w:rFonts w:hint="eastAsia"/>
          <w:sz w:val="24"/>
          <w:szCs w:val="24"/>
        </w:rPr>
        <w:t>9.</w:t>
      </w:r>
      <w:r>
        <w:rPr>
          <w:rFonts w:hint="eastAsia"/>
        </w:rPr>
        <w:t xml:space="preserve"> </w:t>
      </w:r>
      <w:r>
        <w:rPr>
          <w:rStyle w:val="33"/>
          <w:rFonts w:hint="eastAsia"/>
          <w:sz w:val="24"/>
          <w:szCs w:val="24"/>
        </w:rPr>
        <w:t>福建福海创石油化工有限公司的权属子公司“腾龙芳烃（漳州）有限公司”作为合同执行主体，将于中选通知书发出之日起30日内与中选人完成合同签订事宜。</w:t>
      </w:r>
    </w:p>
    <w:p>
      <w:pPr>
        <w:pStyle w:val="3"/>
        <w:tabs>
          <w:tab w:val="left" w:pos="4344"/>
        </w:tabs>
        <w:spacing w:line="360" w:lineRule="auto"/>
        <w:ind w:left="3082"/>
        <w:rPr>
          <w:lang w:eastAsia="zh-CN"/>
        </w:rPr>
      </w:pPr>
    </w:p>
    <w:p>
      <w:pPr>
        <w:pStyle w:val="3"/>
        <w:tabs>
          <w:tab w:val="left" w:pos="4344"/>
        </w:tabs>
        <w:spacing w:line="360" w:lineRule="auto"/>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13"/>
        <w:spacing w:line="360" w:lineRule="auto"/>
        <w:ind w:right="108" w:firstLine="480" w:firstLineChars="20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13"/>
        <w:spacing w:before="26" w:line="360" w:lineRule="auto"/>
        <w:ind w:right="108" w:firstLine="480" w:firstLineChars="200"/>
        <w:jc w:val="both"/>
        <w:rPr>
          <w:lang w:eastAsia="zh-CN"/>
        </w:rPr>
      </w:pPr>
      <w:r>
        <w:rPr>
          <w:lang w:eastAsia="zh-CN"/>
        </w:rPr>
        <w:t>2.</w:t>
      </w:r>
      <w:r>
        <w:rPr>
          <w:spacing w:val="-2"/>
          <w:lang w:eastAsia="zh-CN"/>
        </w:rPr>
        <w:t>中选单位必须严格执行</w:t>
      </w:r>
      <w:r>
        <w:rPr>
          <w:rFonts w:hint="eastAsia"/>
          <w:u w:val="single"/>
          <w:lang w:eastAsia="zh-CN"/>
        </w:rPr>
        <w:t>储运储罐清洗、检修服务年约</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13"/>
        <w:spacing w:before="26" w:line="360" w:lineRule="auto"/>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pStyle w:val="3"/>
        <w:tabs>
          <w:tab w:val="left" w:pos="1912"/>
        </w:tabs>
        <w:spacing w:line="355" w:lineRule="exact"/>
        <w:ind w:left="647" w:firstLine="3092" w:firstLineChars="1100"/>
        <w:jc w:val="both"/>
        <w:rPr>
          <w:lang w:eastAsia="zh-CN"/>
        </w:rPr>
      </w:pPr>
    </w:p>
    <w:p>
      <w:pPr>
        <w:rPr>
          <w:lang w:eastAsia="zh-CN"/>
        </w:rPr>
      </w:pPr>
    </w:p>
    <w:p>
      <w:pPr>
        <w:pStyle w:val="2"/>
      </w:pPr>
    </w:p>
    <w:p>
      <w:pPr>
        <w:pStyle w:val="2"/>
      </w:pPr>
    </w:p>
    <w:p>
      <w:pPr>
        <w:pStyle w:val="3"/>
        <w:tabs>
          <w:tab w:val="left" w:pos="1912"/>
        </w:tabs>
        <w:spacing w:line="360" w:lineRule="auto"/>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13"/>
        <w:spacing w:line="360" w:lineRule="auto"/>
        <w:ind w:left="567"/>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pPr>
        <w:pStyle w:val="13"/>
        <w:spacing w:line="360" w:lineRule="auto"/>
        <w:ind w:left="567"/>
        <w:rPr>
          <w:lang w:eastAsia="zh-CN"/>
        </w:rPr>
      </w:pPr>
      <w:r>
        <w:rPr>
          <w:lang w:eastAsia="zh-CN"/>
        </w:rPr>
        <w:t>2.比选人郑重承诺：参选人所提交的参选文件及相关资料不向第三方泄露。</w:t>
      </w:r>
    </w:p>
    <w:p>
      <w:pPr>
        <w:pStyle w:val="13"/>
        <w:spacing w:line="360" w:lineRule="auto"/>
        <w:ind w:left="567"/>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13"/>
        <w:spacing w:line="360" w:lineRule="auto"/>
        <w:ind w:left="567"/>
        <w:rPr>
          <w:lang w:eastAsia="zh-CN"/>
        </w:rPr>
      </w:pPr>
    </w:p>
    <w:p>
      <w:pPr>
        <w:pStyle w:val="13"/>
        <w:spacing w:line="360" w:lineRule="auto"/>
        <w:ind w:left="567"/>
        <w:rPr>
          <w:lang w:eastAsia="zh-CN"/>
        </w:rPr>
      </w:pPr>
    </w:p>
    <w:p>
      <w:pPr>
        <w:pStyle w:val="13"/>
        <w:spacing w:line="360" w:lineRule="auto"/>
        <w:ind w:left="567"/>
        <w:jc w:val="center"/>
        <w:rPr>
          <w:b/>
          <w:sz w:val="28"/>
          <w:szCs w:val="28"/>
          <w:lang w:eastAsia="zh-CN"/>
        </w:rPr>
      </w:pPr>
      <w:r>
        <w:rPr>
          <w:rFonts w:hint="eastAsia"/>
          <w:b/>
          <w:sz w:val="28"/>
          <w:szCs w:val="28"/>
          <w:lang w:eastAsia="zh-CN"/>
        </w:rPr>
        <w:t>第八章   施工技术方案</w:t>
      </w:r>
    </w:p>
    <w:p>
      <w:pPr>
        <w:pStyle w:val="13"/>
        <w:spacing w:before="106" w:line="360" w:lineRule="auto"/>
        <w:ind w:left="567"/>
        <w:rPr>
          <w:lang w:eastAsia="zh-CN"/>
        </w:rPr>
      </w:pPr>
      <w:r>
        <w:rPr>
          <w:lang w:eastAsia="zh-CN"/>
        </w:rPr>
        <w:br w:type="page"/>
      </w:r>
    </w:p>
    <w:p>
      <w:pPr>
        <w:pStyle w:val="13"/>
        <w:rPr>
          <w:rFonts w:ascii="Times New Roman"/>
          <w:b/>
          <w:bCs/>
          <w:lang w:eastAsia="zh-CN"/>
        </w:rPr>
      </w:pPr>
      <w:r>
        <w:rPr>
          <w:rFonts w:hint="eastAsia" w:ascii="Times New Roman"/>
          <w:b/>
          <w:bCs/>
          <w:lang w:eastAsia="zh-CN"/>
        </w:rPr>
        <w:t>附件一：</w:t>
      </w:r>
    </w:p>
    <w:p>
      <w:pPr>
        <w:spacing w:line="400" w:lineRule="exact"/>
        <w:jc w:val="center"/>
        <w:rPr>
          <w:rFonts w:ascii="Arial" w:hAnsi="Arial" w:cs="Arial"/>
          <w:b/>
          <w:sz w:val="32"/>
          <w:szCs w:val="32"/>
          <w:lang w:eastAsia="zh-CN"/>
        </w:rPr>
      </w:pPr>
      <w:r>
        <w:rPr>
          <w:rFonts w:hint="eastAsia" w:ascii="Arial" w:hAnsi="Arial" w:cs="Arial"/>
          <w:b/>
          <w:sz w:val="32"/>
          <w:szCs w:val="32"/>
          <w:lang w:eastAsia="zh-CN"/>
        </w:rPr>
        <w:t>腾龙芳烃（漳州）有限公司</w:t>
      </w:r>
    </w:p>
    <w:p>
      <w:pPr>
        <w:spacing w:line="400" w:lineRule="exact"/>
        <w:jc w:val="center"/>
        <w:rPr>
          <w:rFonts w:ascii="Arial" w:hAnsi="Arial" w:cs="Arial"/>
          <w:b/>
          <w:sz w:val="32"/>
          <w:szCs w:val="32"/>
          <w:lang w:eastAsia="zh-CN"/>
        </w:rPr>
      </w:pPr>
      <w:r>
        <w:rPr>
          <w:rFonts w:hint="eastAsia" w:ascii="Arial" w:hAnsi="Arial" w:cs="Arial"/>
          <w:b/>
          <w:sz w:val="32"/>
          <w:szCs w:val="32"/>
          <w:lang w:eastAsia="zh-CN"/>
        </w:rPr>
        <w:t>储运储罐清洗及检修服务项目年约</w:t>
      </w:r>
      <w:r>
        <w:rPr>
          <w:rFonts w:ascii="Arial" w:hAnsi="Arial" w:cs="Arial"/>
          <w:b/>
          <w:sz w:val="32"/>
          <w:szCs w:val="32"/>
          <w:lang w:eastAsia="zh-CN"/>
        </w:rPr>
        <w:t>合同</w:t>
      </w:r>
    </w:p>
    <w:p>
      <w:pPr>
        <w:spacing w:line="360" w:lineRule="auto"/>
        <w:jc w:val="center"/>
        <w:rPr>
          <w:rFonts w:cs="Arial"/>
          <w:sz w:val="24"/>
          <w:lang w:eastAsia="zh-CN"/>
        </w:rPr>
      </w:pPr>
      <w:r>
        <w:rPr>
          <w:rFonts w:hint="eastAsia" w:cs="Arial"/>
          <w:sz w:val="24"/>
          <w:lang w:eastAsia="zh-CN"/>
        </w:rPr>
        <w:t xml:space="preserve">               合同编号：</w:t>
      </w:r>
      <w:r>
        <w:rPr>
          <w:rFonts w:cs="Arial"/>
          <w:sz w:val="24"/>
          <w:lang w:eastAsia="zh-CN"/>
        </w:rPr>
        <w:t xml:space="preserve"> </w:t>
      </w:r>
    </w:p>
    <w:p>
      <w:pPr>
        <w:spacing w:line="360" w:lineRule="auto"/>
        <w:jc w:val="center"/>
        <w:rPr>
          <w:rFonts w:cs="Arial"/>
          <w:sz w:val="24"/>
          <w:lang w:eastAsia="zh-CN"/>
        </w:rPr>
      </w:pPr>
      <w:r>
        <w:rPr>
          <w:rFonts w:hint="eastAsia" w:cs="Arial"/>
          <w:sz w:val="24"/>
          <w:lang w:eastAsia="zh-CN"/>
        </w:rPr>
        <w:t xml:space="preserve">                                 签订日期：    年    月    日 </w:t>
      </w:r>
    </w:p>
    <w:p>
      <w:pPr>
        <w:tabs>
          <w:tab w:val="left" w:pos="2130"/>
          <w:tab w:val="center" w:pos="4535"/>
        </w:tabs>
        <w:spacing w:line="300" w:lineRule="auto"/>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发包人（甲方）：腾龙芳烃（漳州）有限公司</w:t>
      </w:r>
    </w:p>
    <w:p>
      <w:pPr>
        <w:spacing w:line="30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承包人（乙方）：</w:t>
      </w:r>
      <w:r>
        <w:rPr>
          <w:rFonts w:asciiTheme="minorEastAsia" w:hAnsiTheme="minorEastAsia" w:eastAsiaTheme="minorEastAsia"/>
          <w:sz w:val="24"/>
          <w:szCs w:val="24"/>
          <w:lang w:eastAsia="zh-CN"/>
        </w:rPr>
        <w:t xml:space="preserve"> </w:t>
      </w:r>
    </w:p>
    <w:p>
      <w:pPr>
        <w:spacing w:line="360" w:lineRule="auto"/>
        <w:ind w:firstLine="42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依照《中华人民共和国民法典》及其他有关法律、行政法规，遵循平等、自愿、公平和诚实信用的原则，双方就本合同中承包范围内的工程事项协商一致，订立本合同。</w:t>
      </w:r>
    </w:p>
    <w:p>
      <w:pPr>
        <w:numPr>
          <w:ilvl w:val="0"/>
          <w:numId w:val="5"/>
        </w:numPr>
        <w:autoSpaceDE/>
        <w:autoSpaceDN/>
        <w:spacing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工程概况</w:t>
      </w:r>
    </w:p>
    <w:p>
      <w:pPr>
        <w:numPr>
          <w:ilvl w:val="0"/>
          <w:numId w:val="6"/>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工程名称：</w:t>
      </w:r>
      <w:r>
        <w:rPr>
          <w:rFonts w:asciiTheme="minorEastAsia" w:hAnsiTheme="minorEastAsia" w:eastAsiaTheme="minorEastAsia"/>
          <w:sz w:val="24"/>
          <w:szCs w:val="24"/>
          <w:lang w:eastAsia="zh-CN"/>
        </w:rPr>
        <w:t>清罐作业</w:t>
      </w:r>
      <w:r>
        <w:rPr>
          <w:rFonts w:hint="eastAsia" w:asciiTheme="minorEastAsia" w:hAnsiTheme="minorEastAsia" w:eastAsiaTheme="minorEastAsia"/>
          <w:sz w:val="24"/>
          <w:szCs w:val="24"/>
          <w:lang w:eastAsia="zh-CN"/>
        </w:rPr>
        <w:t>工程</w:t>
      </w:r>
    </w:p>
    <w:p>
      <w:pPr>
        <w:numPr>
          <w:ilvl w:val="0"/>
          <w:numId w:val="6"/>
        </w:numPr>
        <w:adjustRightIn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工程地点：福建省漳州古雷开发区</w:t>
      </w:r>
    </w:p>
    <w:p>
      <w:pPr>
        <w:numPr>
          <w:ilvl w:val="0"/>
          <w:numId w:val="6"/>
        </w:numPr>
        <w:adjustRightIn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工程范围：详见“附件2：</w:t>
      </w:r>
      <w:r>
        <w:rPr>
          <w:rFonts w:hint="eastAsia" w:cs="Arial" w:asciiTheme="minorEastAsia" w:hAnsiTheme="minorEastAsia" w:eastAsiaTheme="minorEastAsia"/>
          <w:sz w:val="24"/>
          <w:szCs w:val="24"/>
          <w:lang w:eastAsia="zh-CN"/>
        </w:rPr>
        <w:t>储运装置储罐清洗总体要求</w:t>
      </w:r>
      <w:r>
        <w:rPr>
          <w:rFonts w:hint="eastAsia" w:asciiTheme="minorEastAsia" w:hAnsiTheme="minorEastAsia" w:eastAsiaTheme="minorEastAsia"/>
          <w:sz w:val="24"/>
          <w:szCs w:val="24"/>
          <w:lang w:eastAsia="zh-CN"/>
        </w:rPr>
        <w:t>”。</w:t>
      </w:r>
    </w:p>
    <w:p>
      <w:pPr>
        <w:numPr>
          <w:ilvl w:val="0"/>
          <w:numId w:val="5"/>
        </w:numPr>
        <w:autoSpaceDE/>
        <w:autoSpaceDN/>
        <w:spacing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合同价款</w:t>
      </w:r>
    </w:p>
    <w:p>
      <w:pPr>
        <w:pStyle w:val="90"/>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本合同乙方采用承包项目范围内包工、包质量、包工期、包安全文明施工、包维修风险和包运输的承包方式。</w:t>
      </w:r>
      <w:r>
        <w:rPr>
          <w:rFonts w:hint="eastAsia" w:asciiTheme="minorEastAsia" w:hAnsiTheme="minorEastAsia" w:eastAsiaTheme="minorEastAsia"/>
          <w:bCs/>
          <w:sz w:val="24"/>
        </w:rPr>
        <w:t>采用固定单价，据实结算方式执行。</w:t>
      </w:r>
    </w:p>
    <w:p>
      <w:pPr>
        <w:pStyle w:val="90"/>
        <w:numPr>
          <w:ilvl w:val="0"/>
          <w:numId w:val="5"/>
        </w:numPr>
        <w:spacing w:line="360" w:lineRule="auto"/>
        <w:ind w:left="357" w:hanging="357" w:firstLineChars="0"/>
        <w:rPr>
          <w:rFonts w:asciiTheme="minorEastAsia" w:hAnsiTheme="minorEastAsia" w:eastAsiaTheme="minorEastAsia"/>
          <w:bCs/>
          <w:sz w:val="24"/>
        </w:rPr>
      </w:pPr>
      <w:r>
        <w:rPr>
          <w:rFonts w:hint="eastAsia" w:asciiTheme="minorEastAsia" w:hAnsiTheme="minorEastAsia" w:eastAsiaTheme="minorEastAsia"/>
          <w:bCs/>
          <w:sz w:val="24"/>
        </w:rPr>
        <w:t>工程款结算方式及期限</w:t>
      </w:r>
    </w:p>
    <w:p>
      <w:pPr>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1、合同价款</w:t>
      </w:r>
    </w:p>
    <w:p>
      <w:pPr>
        <w:spacing w:line="360" w:lineRule="auto"/>
        <w:ind w:firstLine="360" w:firstLineChars="150"/>
        <w:rPr>
          <w:rFonts w:asciiTheme="minorEastAsia" w:hAnsiTheme="minorEastAsia" w:eastAsiaTheme="minorEastAsia"/>
          <w:color w:val="3C3C3C"/>
          <w:sz w:val="24"/>
          <w:szCs w:val="24"/>
          <w:lang w:eastAsia="zh-CN"/>
        </w:rPr>
      </w:pPr>
      <w:r>
        <w:rPr>
          <w:rFonts w:hint="eastAsia" w:asciiTheme="minorEastAsia" w:hAnsiTheme="minorEastAsia" w:eastAsiaTheme="minorEastAsia"/>
          <w:sz w:val="24"/>
          <w:szCs w:val="24"/>
          <w:lang w:eastAsia="zh-CN"/>
        </w:rPr>
        <w:t xml:space="preserve">1.1 </w:t>
      </w:r>
      <w:r>
        <w:rPr>
          <w:rFonts w:hint="eastAsia" w:asciiTheme="minorEastAsia" w:hAnsiTheme="minorEastAsia" w:eastAsiaTheme="minorEastAsia"/>
          <w:color w:val="3C3C3C"/>
          <w:sz w:val="24"/>
          <w:szCs w:val="24"/>
          <w:lang w:eastAsia="zh-CN"/>
        </w:rPr>
        <w:t>本合同价款按以下方式执行：</w:t>
      </w:r>
    </w:p>
    <w:p>
      <w:pPr>
        <w:pStyle w:val="2"/>
        <w:spacing w:line="360" w:lineRule="auto"/>
        <w:rPr>
          <w:rFonts w:cs="Arial" w:asciiTheme="minorEastAsia" w:hAnsiTheme="minorEastAsia" w:eastAsiaTheme="minorEastAsia"/>
          <w:sz w:val="24"/>
          <w:szCs w:val="24"/>
        </w:rPr>
      </w:pPr>
      <w:r>
        <w:rPr>
          <w:rFonts w:hint="eastAsia" w:asciiTheme="minorEastAsia" w:hAnsiTheme="minorEastAsia" w:eastAsiaTheme="minorEastAsia"/>
          <w:sz w:val="24"/>
          <w:szCs w:val="24"/>
        </w:rPr>
        <w:t xml:space="preserve">   1.1.1 可调价：本项目采用附件1</w:t>
      </w:r>
      <w:r>
        <w:rPr>
          <w:rFonts w:hint="eastAsia" w:cs="Arial" w:asciiTheme="minorEastAsia" w:hAnsiTheme="minorEastAsia" w:eastAsiaTheme="minorEastAsia"/>
          <w:sz w:val="24"/>
          <w:szCs w:val="24"/>
        </w:rPr>
        <w:t>《储罐清洗基准价格清单》下浮率计价，乙方填报的下浮率为：</w:t>
      </w:r>
      <w:r>
        <w:rPr>
          <w:rFonts w:hint="eastAsia" w:cs="Arial" w:asciiTheme="minorEastAsia" w:hAnsiTheme="minorEastAsia" w:eastAsiaTheme="minorEastAsia"/>
          <w:sz w:val="24"/>
          <w:szCs w:val="24"/>
          <w:u w:val="single"/>
        </w:rPr>
        <w:t xml:space="preserve">    </w:t>
      </w:r>
      <w:r>
        <w:rPr>
          <w:rFonts w:hint="eastAsia" w:cs="Arial" w:asciiTheme="minorEastAsia" w:hAnsiTheme="minorEastAsia" w:eastAsiaTheme="minorEastAsia"/>
          <w:sz w:val="24"/>
          <w:szCs w:val="24"/>
        </w:rPr>
        <w:t>%，合同暂定总价为：75万元；</w:t>
      </w:r>
    </w:p>
    <w:p>
      <w:pPr>
        <w:pStyle w:val="2"/>
        <w:spacing w:line="360" w:lineRule="auto"/>
        <w:rPr>
          <w:rFonts w:cs="宋体" w:asciiTheme="minorEastAsia" w:hAnsiTheme="minorEastAsia" w:eastAsiaTheme="minorEastAsia"/>
          <w:sz w:val="24"/>
          <w:szCs w:val="24"/>
        </w:rPr>
      </w:pPr>
      <w:r>
        <w:rPr>
          <w:rFonts w:hint="eastAsia" w:cs="Arial" w:asciiTheme="minorEastAsia" w:hAnsiTheme="minorEastAsia" w:eastAsiaTheme="minorEastAsia"/>
          <w:sz w:val="24"/>
          <w:szCs w:val="24"/>
        </w:rPr>
        <w:t xml:space="preserve">   1.1.2</w:t>
      </w:r>
      <w:r>
        <w:rPr>
          <w:rFonts w:cs="宋体" w:asciiTheme="minorEastAsia" w:hAnsiTheme="minorEastAsia" w:eastAsiaTheme="minorEastAsia"/>
          <w:snapToGrid w:val="0"/>
          <w:sz w:val="24"/>
          <w:szCs w:val="24"/>
        </w:rPr>
        <w:t>合同价款（竣工结算价）：</w:t>
      </w:r>
      <w:r>
        <w:rPr>
          <w:rFonts w:hint="eastAsia" w:cs="宋体" w:asciiTheme="minorEastAsia" w:hAnsiTheme="minorEastAsia" w:eastAsiaTheme="minorEastAsia"/>
          <w:sz w:val="24"/>
          <w:szCs w:val="24"/>
          <w:u w:val="single"/>
        </w:rPr>
        <w:t>指乙方按合同约定完成了包括缺陷责任期内的全部承包工作后，甲方应付给乙方的金额，包括在履行合同过程中按合同约定进行的变更和调整。中标后，除甲方要求变更以及招标文件另有规定外，乙方在维修准备及维修直至验收合格所发生的一切费用均由乙方承担；</w:t>
      </w:r>
    </w:p>
    <w:p>
      <w:pPr>
        <w:pStyle w:val="2"/>
        <w:spacing w:line="360" w:lineRule="auto"/>
        <w:rPr>
          <w:rFonts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1.1.3 </w:t>
      </w:r>
      <w:r>
        <w:rPr>
          <w:rFonts w:hint="eastAsia" w:cs="宋体" w:asciiTheme="minorEastAsia" w:hAnsiTheme="minorEastAsia" w:eastAsiaTheme="minorEastAsia"/>
          <w:snapToGrid w:val="0"/>
          <w:sz w:val="24"/>
          <w:szCs w:val="24"/>
        </w:rPr>
        <w:t>合同价款最终以甲方审定的工程结算为准。甲方对乙方的维修结算，按审核后（扣除甲供材料、设备）的结算额作为实际维修造价，不做任何优惠。</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1.2 乙方开具</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增值税专用发票，包括乙方工作涉及到的劳务费、管理费、工具费、劳保费、所有税费、各种保险、安全费用、利润、食宿费、加班费、饮用水、办公费、运输费、耗材费及合同涉及到的所有风险、责任、义务等费用，同时还包含了相关的配合政府部门的政策收费所需的全部费用（如果有）</w:t>
      </w:r>
      <w:r>
        <w:rPr>
          <w:rFonts w:hint="eastAsia" w:asciiTheme="minorEastAsia" w:hAnsiTheme="minorEastAsia" w:eastAsiaTheme="minorEastAsia"/>
          <w:color w:val="000000"/>
          <w:sz w:val="24"/>
          <w:szCs w:val="24"/>
          <w:lang w:eastAsia="zh-CN"/>
        </w:rPr>
        <w:t>。</w:t>
      </w:r>
      <w:r>
        <w:rPr>
          <w:rFonts w:hint="eastAsia" w:asciiTheme="minorEastAsia" w:hAnsiTheme="minorEastAsia" w:eastAsiaTheme="minorEastAsia"/>
          <w:sz w:val="24"/>
          <w:szCs w:val="24"/>
          <w:lang w:eastAsia="zh-CN"/>
        </w:rPr>
        <w:t>除非双方另有书面约定，甲方不再承担其他费用。</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w:t>
      </w:r>
    </w:p>
    <w:p>
      <w:pPr>
        <w:spacing w:line="460" w:lineRule="exact"/>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2.1 </w:t>
      </w:r>
      <w:r>
        <w:rPr>
          <w:rFonts w:hint="eastAsia" w:asciiTheme="minorEastAsia" w:hAnsiTheme="minorEastAsia" w:eastAsiaTheme="minorEastAsia"/>
          <w:snapToGrid w:val="0"/>
          <w:sz w:val="24"/>
          <w:szCs w:val="24"/>
          <w:lang w:eastAsia="zh-CN"/>
        </w:rPr>
        <w:t>工程款按季度结算支付：由乙方开具增值税发票（为</w:t>
      </w:r>
      <w:r>
        <w:rPr>
          <w:rFonts w:hint="eastAsia" w:asciiTheme="minorEastAsia" w:hAnsiTheme="minorEastAsia" w:eastAsiaTheme="minorEastAsia"/>
          <w:b/>
          <w:snapToGrid w:val="0"/>
          <w:sz w:val="24"/>
          <w:szCs w:val="24"/>
          <w:u w:val="single"/>
          <w:lang w:eastAsia="zh-CN"/>
        </w:rPr>
        <w:t xml:space="preserve">    </w:t>
      </w:r>
      <w:r>
        <w:rPr>
          <w:rFonts w:hint="eastAsia" w:asciiTheme="minorEastAsia" w:hAnsiTheme="minorEastAsia" w:eastAsiaTheme="minorEastAsia"/>
          <w:b/>
          <w:snapToGrid w:val="0"/>
          <w:sz w:val="24"/>
          <w:szCs w:val="24"/>
          <w:lang w:eastAsia="zh-CN"/>
        </w:rPr>
        <w:t>%</w:t>
      </w:r>
      <w:r>
        <w:rPr>
          <w:rFonts w:hint="eastAsia" w:asciiTheme="minorEastAsia" w:hAnsiTheme="minorEastAsia" w:eastAsiaTheme="minorEastAsia"/>
          <w:snapToGrid w:val="0"/>
          <w:sz w:val="24"/>
          <w:szCs w:val="24"/>
          <w:lang w:eastAsia="zh-CN"/>
        </w:rPr>
        <w:t>增值税专用发票），按甲方结算程序办理，并支付至当月结算金额的90%。维修工作量必须经甲方确认方可结算</w:t>
      </w:r>
      <w:r>
        <w:rPr>
          <w:rFonts w:hint="eastAsia" w:asciiTheme="minorEastAsia" w:hAnsiTheme="minorEastAsia" w:eastAsiaTheme="minorEastAsia"/>
          <w:sz w:val="24"/>
          <w:szCs w:val="24"/>
          <w:lang w:eastAsia="zh-CN"/>
        </w:rPr>
        <w:t>。</w:t>
      </w:r>
    </w:p>
    <w:p>
      <w:pPr>
        <w:spacing w:line="360" w:lineRule="auto"/>
        <w:ind w:firstLine="360" w:firstLineChars="150"/>
        <w:rPr>
          <w:rFonts w:asciiTheme="minorEastAsia" w:hAnsiTheme="minorEastAsia" w:eastAsiaTheme="minorEastAsia"/>
          <w:spacing w:val="20"/>
          <w:sz w:val="24"/>
          <w:szCs w:val="24"/>
          <w:lang w:eastAsia="zh-CN"/>
        </w:rPr>
      </w:pPr>
      <w:r>
        <w:rPr>
          <w:rFonts w:hint="eastAsia" w:asciiTheme="minorEastAsia" w:hAnsiTheme="minorEastAsia" w:eastAsiaTheme="minorEastAsia"/>
          <w:sz w:val="24"/>
          <w:szCs w:val="24"/>
          <w:lang w:eastAsia="zh-CN"/>
        </w:rPr>
        <w:t>质量保证金：</w:t>
      </w:r>
      <w:r>
        <w:rPr>
          <w:rFonts w:hint="eastAsia" w:asciiTheme="minorEastAsia" w:hAnsiTheme="minorEastAsia" w:eastAsiaTheme="minorEastAsia"/>
          <w:sz w:val="24"/>
          <w:szCs w:val="24"/>
          <w:u w:val="single"/>
          <w:lang w:eastAsia="zh-CN"/>
        </w:rPr>
        <w:t>质量保证金为本项目合同结算价款的10%；保修金不计利息。质保期12个月或交付之日起18个月（执行两者先到时间）， 乙方向甲方申请到期应返还乙方的质量保证金，甲方会同乙方按照合同约定的内容核实乙方是否完成缺陷责任。如无异议，甲方应当在核实后将应返还的质量保证金无息返还乙方。 乙方没有完成缺陷责任的，甲方有权扣留全部质量保证金，并有权要求延长缺陷责任期，直至完成剩余工作为止</w:t>
      </w:r>
      <w:r>
        <w:rPr>
          <w:rFonts w:hint="eastAsia" w:asciiTheme="minorEastAsia" w:hAnsiTheme="minorEastAsia" w:eastAsiaTheme="minorEastAsia"/>
          <w:sz w:val="24"/>
          <w:szCs w:val="24"/>
          <w:lang w:eastAsia="zh-CN"/>
        </w:rPr>
        <w:t>。</w:t>
      </w:r>
    </w:p>
    <w:p>
      <w:pPr>
        <w:pStyle w:val="26"/>
        <w:spacing w:before="0" w:beforeAutospacing="0" w:after="0" w:afterAutospacing="0" w:line="360" w:lineRule="auto"/>
        <w:ind w:firstLine="360" w:firstLineChars="150"/>
        <w:rPr>
          <w:rFonts w:asciiTheme="minorEastAsia" w:hAnsiTheme="minorEastAsia" w:eastAsiaTheme="minorEastAsia"/>
        </w:rPr>
      </w:pPr>
      <w:r>
        <w:rPr>
          <w:rFonts w:hint="eastAsia" w:asciiTheme="minorEastAsia" w:hAnsiTheme="minorEastAsia" w:eastAsiaTheme="minorEastAsia"/>
        </w:rPr>
        <w:t>2.2参选保证金将在合同签订后自动转为履约保证金，将于合同周期完成后1</w:t>
      </w:r>
      <w:r>
        <w:rPr>
          <w:rFonts w:asciiTheme="minorEastAsia" w:hAnsiTheme="minorEastAsia" w:eastAsiaTheme="minorEastAsia"/>
        </w:rPr>
        <w:t>5</w:t>
      </w:r>
      <w:r>
        <w:rPr>
          <w:rFonts w:hint="eastAsia" w:asciiTheme="minorEastAsia" w:hAnsiTheme="minorEastAsia" w:eastAsiaTheme="minorEastAsia"/>
        </w:rPr>
        <w:t>个工作日内，甲方无息退还履约保证金；</w:t>
      </w:r>
    </w:p>
    <w:p>
      <w:pPr>
        <w:pStyle w:val="26"/>
        <w:spacing w:before="0" w:beforeAutospacing="0" w:after="0" w:afterAutospacing="0" w:line="360" w:lineRule="auto"/>
        <w:ind w:firstLine="360" w:firstLineChars="150"/>
        <w:rPr>
          <w:rFonts w:asciiTheme="minorEastAsia" w:hAnsiTheme="minorEastAsia" w:eastAsiaTheme="minorEastAsia"/>
        </w:rPr>
      </w:pPr>
      <w:r>
        <w:rPr>
          <w:rFonts w:hint="eastAsia" w:asciiTheme="minorEastAsia" w:hAnsiTheme="minorEastAsia" w:eastAsiaTheme="minorEastAsia"/>
        </w:rPr>
        <w:t>2.3 所有支付的款项均以人民币支付, 付款方式为电汇或银行转账。乙方应在甲方付款期限届满</w:t>
      </w:r>
      <w:r>
        <w:rPr>
          <w:rFonts w:hint="eastAsia" w:asciiTheme="minorEastAsia" w:hAnsiTheme="minorEastAsia" w:eastAsiaTheme="minorEastAsia"/>
          <w:u w:val="single"/>
        </w:rPr>
        <w:t xml:space="preserve"> 15</w:t>
      </w:r>
      <w:r>
        <w:rPr>
          <w:rFonts w:asciiTheme="minorEastAsia" w:hAnsiTheme="minorEastAsia" w:eastAsiaTheme="minorEastAsia"/>
          <w:u w:val="single"/>
        </w:rPr>
        <w:t xml:space="preserve"> </w:t>
      </w:r>
      <w:r>
        <w:rPr>
          <w:rFonts w:hint="eastAsia" w:asciiTheme="minorEastAsia" w:hAnsiTheme="minorEastAsia" w:eastAsiaTheme="minorEastAsia"/>
        </w:rPr>
        <w:t>日前提供相应的增值税专用发票，否则甲方有权顺延付款。上述技术服务及咨询报酬直接支付至乙方指定的下列账号：</w:t>
      </w:r>
    </w:p>
    <w:p>
      <w:pPr>
        <w:tabs>
          <w:tab w:val="left" w:pos="1080"/>
        </w:tabs>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户名： </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 xml:space="preserve"> </w:t>
      </w:r>
    </w:p>
    <w:p>
      <w:pPr>
        <w:tabs>
          <w:tab w:val="left" w:pos="1080"/>
        </w:tabs>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开户行：</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p>
    <w:p>
      <w:pPr>
        <w:tabs>
          <w:tab w:val="left" w:pos="360"/>
        </w:tabs>
        <w:autoSpaceDE/>
        <w:autoSpaceDN/>
        <w:spacing w:line="360" w:lineRule="auto"/>
        <w:ind w:firstLine="480" w:firstLineChars="2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账号：</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p>
    <w:p>
      <w:pPr>
        <w:numPr>
          <w:ilvl w:val="0"/>
          <w:numId w:val="5"/>
        </w:numPr>
        <w:autoSpaceDE/>
        <w:autoSpaceDN/>
        <w:spacing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施工要求</w:t>
      </w:r>
    </w:p>
    <w:p>
      <w:pPr>
        <w:numPr>
          <w:ilvl w:val="0"/>
          <w:numId w:val="7"/>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施工过程中，需要改动的施工，乙方需全力配合，听从甲方工程人员的安排。</w:t>
      </w:r>
    </w:p>
    <w:p>
      <w:pPr>
        <w:numPr>
          <w:ilvl w:val="0"/>
          <w:numId w:val="7"/>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乙方应遵守国家劳动法和地方政府有关用工规定，负责己方人员的安全和劳动保险，保证安全生产，乙方人员工作中的工伤事故，由乙方依据国家及地方政府的相关工伤保险条例处理，甲方不承担法律上的责任。</w:t>
      </w:r>
    </w:p>
    <w:p>
      <w:pPr>
        <w:numPr>
          <w:ilvl w:val="0"/>
          <w:numId w:val="7"/>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乙方必须保证施工质量及时间要求，经施工后如有质量问题应于</w:t>
      </w:r>
      <w:r>
        <w:rPr>
          <w:rFonts w:asciiTheme="minorEastAsia" w:hAnsiTheme="minorEastAsia" w:eastAsiaTheme="minorEastAsia"/>
          <w:sz w:val="24"/>
          <w:szCs w:val="24"/>
          <w:lang w:eastAsia="zh-CN"/>
        </w:rPr>
        <w:t>24</w:t>
      </w:r>
      <w:r>
        <w:rPr>
          <w:rFonts w:hint="eastAsia" w:asciiTheme="minorEastAsia" w:hAnsiTheme="minorEastAsia" w:eastAsiaTheme="minorEastAsia"/>
          <w:sz w:val="24"/>
          <w:szCs w:val="24"/>
          <w:lang w:eastAsia="zh-CN"/>
        </w:rPr>
        <w:t>小时内应甲方要求到达甲方工程地点进行维修，确保生产的顺利进行。</w:t>
      </w:r>
    </w:p>
    <w:p>
      <w:pPr>
        <w:numPr>
          <w:ilvl w:val="0"/>
          <w:numId w:val="7"/>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乙方在施工中不得损坏相关设备，如果损坏甲方设备应该负责修复或承担修复费用；造成甲方生产及其它损失的应对全部损失承担赔偿责任。</w:t>
      </w:r>
    </w:p>
    <w:p>
      <w:pPr>
        <w:numPr>
          <w:ilvl w:val="0"/>
          <w:numId w:val="7"/>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乙方必须遵守甲方各项管理规定，甲方有权对工厂内发生的违反公司规章制度的行为进行处罚。</w:t>
      </w:r>
    </w:p>
    <w:p>
      <w:pPr>
        <w:numPr>
          <w:ilvl w:val="0"/>
          <w:numId w:val="5"/>
        </w:numPr>
        <w:autoSpaceDE/>
        <w:autoSpaceDN/>
        <w:spacing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工期要求：</w:t>
      </w:r>
    </w:p>
    <w:p>
      <w:pPr>
        <w:numPr>
          <w:ilvl w:val="0"/>
          <w:numId w:val="8"/>
        </w:numPr>
        <w:tabs>
          <w:tab w:val="left" w:pos="360"/>
        </w:tabs>
        <w:autoSpaceDE/>
        <w:autoSpaceDN/>
        <w:spacing w:line="360" w:lineRule="auto"/>
        <w:ind w:left="0" w:firstLine="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合同有效期：合同签订之日起24个月，每批次接甲方通知后7 天入场；</w:t>
      </w:r>
    </w:p>
    <w:p>
      <w:pPr>
        <w:numPr>
          <w:ilvl w:val="0"/>
          <w:numId w:val="8"/>
        </w:numPr>
        <w:tabs>
          <w:tab w:val="left" w:pos="284"/>
          <w:tab w:val="left" w:pos="360"/>
        </w:tabs>
        <w:autoSpaceDE/>
        <w:autoSpaceDN/>
        <w:spacing w:line="360" w:lineRule="auto"/>
        <w:ind w:left="0" w:firstLine="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施工的期限应当按照每批次会议纪要约定履行。一方要求提前或延期交付，应当提前与对方协商并签订补充协议，对提前或延期交付的工作成果按补充协议执行，补充协议没有约定或约定不明的仍以原合同为准。因为不可抗力等造成工期延期的，经甲、乙双方签证认可后作出工期调整，以此确定竣工日期。</w:t>
      </w:r>
    </w:p>
    <w:p>
      <w:pPr>
        <w:numPr>
          <w:ilvl w:val="0"/>
          <w:numId w:val="5"/>
        </w:numPr>
        <w:autoSpaceDE/>
        <w:autoSpaceDN/>
        <w:spacing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施工的质量要求</w:t>
      </w:r>
    </w:p>
    <w:p>
      <w:pPr>
        <w:spacing w:line="360" w:lineRule="auto"/>
        <w:ind w:firstLine="463" w:firstLineChars="193"/>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工程质量应当达到</w:t>
      </w:r>
      <w:r>
        <w:rPr>
          <w:rFonts w:hint="eastAsia" w:asciiTheme="minorEastAsia" w:hAnsiTheme="minorEastAsia" w:eastAsiaTheme="minorEastAsia"/>
          <w:sz w:val="24"/>
          <w:szCs w:val="24"/>
          <w:u w:val="single"/>
          <w:lang w:eastAsia="zh-CN"/>
        </w:rPr>
        <w:t>合格</w:t>
      </w:r>
      <w:r>
        <w:rPr>
          <w:rFonts w:hint="eastAsia" w:asciiTheme="minorEastAsia" w:hAnsiTheme="minorEastAsia" w:eastAsiaTheme="minorEastAsia"/>
          <w:sz w:val="24"/>
          <w:szCs w:val="24"/>
          <w:lang w:eastAsia="zh-CN"/>
        </w:rPr>
        <w:t>标准，质量标准的评定以国家或行业的质量检验评定标准为依据。</w:t>
      </w:r>
    </w:p>
    <w:p>
      <w:pPr>
        <w:numPr>
          <w:ilvl w:val="0"/>
          <w:numId w:val="5"/>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原材料的提供办法及规格、数量、质量</w:t>
      </w:r>
    </w:p>
    <w:p>
      <w:pPr>
        <w:numPr>
          <w:ilvl w:val="0"/>
          <w:numId w:val="9"/>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必须依照合同规定选用原材料，并接受甲方检验。乙方隐瞒原材料的缺陷或者使用不符合合同、国家、行业标准的原材料施工影响工程质量时，甲方有权要求乙方更换、重做、减少价款，有关费用由乙方承担，由此造成甲方损失的，乙方应承担赔偿责任。</w:t>
      </w:r>
    </w:p>
    <w:p>
      <w:pPr>
        <w:numPr>
          <w:ilvl w:val="0"/>
          <w:numId w:val="9"/>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乙方使用的材料必须先提供样板并经甲方书面认可，方可采购进场施工。</w:t>
      </w:r>
    </w:p>
    <w:p>
      <w:pPr>
        <w:numPr>
          <w:ilvl w:val="0"/>
          <w:numId w:val="5"/>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技术资料、图纸提供办法</w:t>
      </w:r>
    </w:p>
    <w:p>
      <w:pPr>
        <w:numPr>
          <w:ilvl w:val="0"/>
          <w:numId w:val="10"/>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甲方应当提供技术资料、图纸等文件资料。</w:t>
      </w:r>
    </w:p>
    <w:p>
      <w:pPr>
        <w:numPr>
          <w:ilvl w:val="0"/>
          <w:numId w:val="10"/>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乙方在依照甲方要求进行工作期间，发现提供的图纸或技术要求不合理的，应当立即通知甲方；甲方应当在收到通知起</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日内回复，提出修改意见。乙方在约定的时间内未得到答复的，有权停止工作。</w:t>
      </w:r>
    </w:p>
    <w:p>
      <w:pPr>
        <w:numPr>
          <w:ilvl w:val="0"/>
          <w:numId w:val="10"/>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乙方对于承揽的工作，应当严格保密，未经甲方事先书面同意，不得泄露给任何第三人，也不得留存任何技术资料及其复制品。</w:t>
      </w:r>
    </w:p>
    <w:p>
      <w:pPr>
        <w:numPr>
          <w:ilvl w:val="0"/>
          <w:numId w:val="5"/>
        </w:numPr>
        <w:autoSpaceDE/>
        <w:autoSpaceDN/>
        <w:spacing w:line="360" w:lineRule="auto"/>
        <w:ind w:left="357"/>
        <w:jc w:val="both"/>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rPr>
        <w:t>验收标准和方法</w:t>
      </w:r>
    </w:p>
    <w:p>
      <w:pPr>
        <w:numPr>
          <w:ilvl w:val="0"/>
          <w:numId w:val="11"/>
        </w:numPr>
        <w:autoSpaceDE/>
        <w:autoSpaceDN/>
        <w:spacing w:line="360" w:lineRule="auto"/>
        <w:ind w:left="3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符合现行国家或行业标准并符合甲方使用目的，达到运行标准，以合同明确规定的图纸、质量要求作为验收依据。</w:t>
      </w:r>
    </w:p>
    <w:p>
      <w:pPr>
        <w:numPr>
          <w:ilvl w:val="0"/>
          <w:numId w:val="11"/>
        </w:numPr>
        <w:autoSpaceDE/>
        <w:autoSpaceDN/>
        <w:spacing w:line="360" w:lineRule="auto"/>
        <w:ind w:left="3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乙方在自检合格后向甲方提交书面验收要求，甲方应在15日内对乙方所完成的工作进行验收。验收前乙方应当向甲方提交必须的技术资料和有关质量证明。逾期未经验收而提前进入使用者，视作通过验收。</w:t>
      </w:r>
    </w:p>
    <w:p>
      <w:pPr>
        <w:numPr>
          <w:ilvl w:val="0"/>
          <w:numId w:val="11"/>
        </w:numPr>
        <w:autoSpaceDE/>
        <w:autoSpaceDN/>
        <w:spacing w:line="360" w:lineRule="auto"/>
        <w:ind w:left="3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隐蔽工程必须经甲方检查验收合格后签章。</w:t>
      </w:r>
    </w:p>
    <w:p>
      <w:pPr>
        <w:pStyle w:val="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4、甲方已就本合同项下涉及乙方重大利害关系的条款向乙方作出详细说明，乙方充分理解上述条款含义，并自愿签订本合同。</w:t>
      </w:r>
    </w:p>
    <w:p>
      <w:pPr>
        <w:numPr>
          <w:ilvl w:val="0"/>
          <w:numId w:val="5"/>
        </w:numPr>
        <w:autoSpaceDE/>
        <w:autoSpaceDN/>
        <w:spacing w:line="360" w:lineRule="auto"/>
        <w:ind w:left="357"/>
        <w:jc w:val="both"/>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rPr>
        <w:t>保修期及保修责任</w:t>
      </w:r>
    </w:p>
    <w:p>
      <w:pPr>
        <w:numPr>
          <w:ilvl w:val="0"/>
          <w:numId w:val="12"/>
        </w:numPr>
        <w:autoSpaceDE/>
        <w:autoSpaceDN/>
        <w:spacing w:line="360" w:lineRule="auto"/>
        <w:ind w:left="3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乙方应按法律、行政法规或国家关于工程质量保修的相关规定，对交付甲方使用的工程在质量保修期内承担质量保修责任及维修保养责任。</w:t>
      </w:r>
    </w:p>
    <w:p>
      <w:pPr>
        <w:numPr>
          <w:ilvl w:val="0"/>
          <w:numId w:val="12"/>
        </w:numPr>
        <w:autoSpaceDE/>
        <w:autoSpaceDN/>
        <w:spacing w:line="360" w:lineRule="auto"/>
        <w:ind w:left="357" w:hanging="3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工程保修期为一年，自工程完工并通过甲方及有关部门验收合格之日起计。保修期内，如发现质量问题，除甲方使用、保管不当等原因外，乙方应在甲方指定期限内修复，其一切工料费用均由乙方负责。如乙方未在约定时间内修复，甲方有权自行修复或请第三方进行修复，所发生的一切费用由乙方承担</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且质保期待修复合格后相应顺延。</w:t>
      </w:r>
    </w:p>
    <w:p>
      <w:pPr>
        <w:pStyle w:val="47"/>
        <w:numPr>
          <w:ilvl w:val="0"/>
          <w:numId w:val="12"/>
        </w:numPr>
        <w:tabs>
          <w:tab w:val="left" w:pos="2010"/>
        </w:tabs>
        <w:spacing w:before="0"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双方确定，甲方指定</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为甲方项目联系人，乙方指定</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为乙方项目联系人。项目联系人承担以下责任：</w:t>
      </w:r>
    </w:p>
    <w:p>
      <w:pPr>
        <w:pStyle w:val="47"/>
        <w:tabs>
          <w:tab w:val="left" w:pos="851"/>
        </w:tabs>
        <w:spacing w:before="0" w:line="360" w:lineRule="auto"/>
        <w:ind w:left="360" w:firstLine="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u w:val="single"/>
          <w:lang w:eastAsia="zh-CN"/>
        </w:rPr>
        <w:t xml:space="preserve">  联系具体项目进度并实施</w:t>
      </w:r>
      <w:r>
        <w:rPr>
          <w:rFonts w:asciiTheme="minorEastAsia" w:hAnsiTheme="minorEastAsia" w:eastAsiaTheme="minorEastAsia"/>
          <w:sz w:val="24"/>
          <w:szCs w:val="24"/>
          <w:u w:val="single"/>
          <w:lang w:eastAsia="zh-CN"/>
        </w:rPr>
        <w:t xml:space="preserve">  </w:t>
      </w:r>
    </w:p>
    <w:p>
      <w:pPr>
        <w:spacing w:line="360" w:lineRule="auto"/>
        <w:ind w:left="360" w:hanging="360" w:hanging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4、乙方同意本合同项下甲方对乙方的通知可以邮寄、邮件或公告方式送达。以邮寄送达的，甲方按本合同所载地址向乙方以特快专递方式发出通知后的第</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p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5、在保修期外，如甲方就本工程有关问题委托乙方修复，乙方应按成本计费。</w:t>
      </w:r>
    </w:p>
    <w:p>
      <w:pPr>
        <w:numPr>
          <w:ilvl w:val="0"/>
          <w:numId w:val="5"/>
        </w:numPr>
        <w:autoSpaceDE/>
        <w:autoSpaceDN/>
        <w:spacing w:line="360" w:lineRule="auto"/>
        <w:ind w:left="357" w:hanging="357"/>
        <w:jc w:val="both"/>
        <w:rPr>
          <w:rFonts w:asciiTheme="minorEastAsia" w:hAnsiTheme="minorEastAsia" w:eastAsiaTheme="minorEastAsia"/>
          <w:sz w:val="24"/>
          <w:szCs w:val="24"/>
        </w:rPr>
      </w:pPr>
      <w:r>
        <w:rPr>
          <w:rFonts w:hint="eastAsia" w:asciiTheme="minorEastAsia" w:hAnsiTheme="minorEastAsia" w:eastAsiaTheme="minorEastAsia"/>
          <w:sz w:val="24"/>
          <w:szCs w:val="24"/>
        </w:rPr>
        <w:t>乙方的违约责任</w:t>
      </w:r>
    </w:p>
    <w:p>
      <w:pPr>
        <w:numPr>
          <w:ilvl w:val="0"/>
          <w:numId w:val="13"/>
        </w:numPr>
        <w:autoSpaceDE/>
        <w:autoSpaceDN/>
        <w:spacing w:line="360" w:lineRule="auto"/>
        <w:ind w:left="357" w:hanging="3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未按合同规定的质量完成工作，乙方应当负责修理，如果修理后的交付时间超过合同约定的日期，应当承担逾期交付责任。</w:t>
      </w:r>
    </w:p>
    <w:p>
      <w:pPr>
        <w:numPr>
          <w:ilvl w:val="0"/>
          <w:numId w:val="13"/>
        </w:numPr>
        <w:autoSpaceDE/>
        <w:autoSpaceDN/>
        <w:spacing w:line="360" w:lineRule="auto"/>
        <w:ind w:left="357" w:hanging="3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完成工作的数量少于合同约定，乙方应归档照数补齐施工，因此超过合同约定的交付时间的，应当承担逾期交付责任。</w:t>
      </w:r>
    </w:p>
    <w:p>
      <w:pPr>
        <w:numPr>
          <w:ilvl w:val="0"/>
          <w:numId w:val="13"/>
        </w:numPr>
        <w:autoSpaceDE/>
        <w:autoSpaceDN/>
        <w:spacing w:line="360" w:lineRule="auto"/>
        <w:ind w:left="357" w:hanging="3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在工程现场，乙方进场设备保管责任由乙方承担。由于乙方原因造成甲方提供的原材料、设备、包装物及其他物品毁损、灭失的，应当由乙方承担赔偿责任。</w:t>
      </w:r>
    </w:p>
    <w:p>
      <w:pPr>
        <w:numPr>
          <w:ilvl w:val="0"/>
          <w:numId w:val="13"/>
        </w:numPr>
        <w:autoSpaceDE/>
        <w:autoSpaceDN/>
        <w:spacing w:line="360" w:lineRule="auto"/>
        <w:ind w:left="357" w:hanging="3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逾期交付项目（包括因返修、更换、补交等造成的逾期），应当向甲方偿付违约金，每逾期一天，按合同预估总额的</w:t>
      </w:r>
      <w:r>
        <w:rPr>
          <w:rFonts w:asciiTheme="minorEastAsia" w:hAnsiTheme="minorEastAsia" w:eastAsiaTheme="minorEastAsia"/>
          <w:sz w:val="24"/>
          <w:szCs w:val="24"/>
          <w:lang w:eastAsia="zh-CN"/>
        </w:rPr>
        <w:t>0.</w:t>
      </w:r>
      <w:r>
        <w:rPr>
          <w:rFonts w:hint="eastAsia" w:asciiTheme="minorEastAsia" w:hAnsiTheme="minorEastAsia" w:eastAsiaTheme="minorEastAsia"/>
          <w:sz w:val="24"/>
          <w:szCs w:val="24"/>
          <w:lang w:eastAsia="zh-CN"/>
        </w:rPr>
        <w:t>1％偿付违约金。逾期超过10日，甲方有权要求乙方按第十一条第</w:t>
      </w:r>
      <w:r>
        <w:rPr>
          <w:rFonts w:asciiTheme="minorEastAsia" w:hAnsiTheme="minorEastAsia" w:eastAsiaTheme="minorEastAsia"/>
          <w:sz w:val="24"/>
          <w:szCs w:val="24"/>
          <w:lang w:eastAsia="zh-CN"/>
        </w:rPr>
        <w:t>7</w:t>
      </w:r>
      <w:r>
        <w:rPr>
          <w:rFonts w:hint="eastAsia" w:asciiTheme="minorEastAsia" w:hAnsiTheme="minorEastAsia" w:eastAsiaTheme="minorEastAsia"/>
          <w:sz w:val="24"/>
          <w:szCs w:val="24"/>
          <w:lang w:eastAsia="zh-CN"/>
        </w:rPr>
        <w:t>款承担责任。</w:t>
      </w:r>
    </w:p>
    <w:p>
      <w:pPr>
        <w:numPr>
          <w:ilvl w:val="0"/>
          <w:numId w:val="13"/>
        </w:numPr>
        <w:autoSpaceDE/>
        <w:autoSpaceDN/>
        <w:spacing w:line="360" w:lineRule="auto"/>
        <w:ind w:left="357" w:hanging="3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擅自调换经甲方验收合格的原材料或零部件，乙方按照甲方要求重做并补偿甲方因此造成的损失、超过合同约定的交付期限的，应承担逾期交付的责任。</w:t>
      </w:r>
    </w:p>
    <w:p>
      <w:pPr>
        <w:numPr>
          <w:ilvl w:val="0"/>
          <w:numId w:val="13"/>
        </w:numPr>
        <w:autoSpaceDE/>
        <w:autoSpaceDN/>
        <w:spacing w:line="360" w:lineRule="auto"/>
        <w:ind w:left="357" w:hanging="3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乙方逾期提交必须的技术资料和有关质量证明，应当向甲方偿付违约金，每逾期一天，按合同预估总金额的</w:t>
      </w:r>
      <w:r>
        <w:rPr>
          <w:rFonts w:asciiTheme="minorEastAsia" w:hAnsiTheme="minorEastAsia" w:eastAsiaTheme="minorEastAsia"/>
          <w:sz w:val="24"/>
          <w:szCs w:val="24"/>
          <w:lang w:eastAsia="zh-CN"/>
        </w:rPr>
        <w:t>0.1%</w:t>
      </w:r>
      <w:r>
        <w:rPr>
          <w:rFonts w:hint="eastAsia" w:asciiTheme="minorEastAsia" w:hAnsiTheme="minorEastAsia" w:eastAsiaTheme="minorEastAsia"/>
          <w:sz w:val="24"/>
          <w:szCs w:val="24"/>
          <w:lang w:eastAsia="zh-CN"/>
        </w:rPr>
        <w:t>偿付违约金，逾期超过</w:t>
      </w: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日，甲方有权要求乙方按第十一条第</w:t>
      </w:r>
      <w:r>
        <w:rPr>
          <w:rFonts w:asciiTheme="minorEastAsia" w:hAnsiTheme="minorEastAsia" w:eastAsiaTheme="minorEastAsia"/>
          <w:sz w:val="24"/>
          <w:szCs w:val="24"/>
          <w:lang w:eastAsia="zh-CN"/>
        </w:rPr>
        <w:t>7</w:t>
      </w:r>
      <w:r>
        <w:rPr>
          <w:rFonts w:hint="eastAsia" w:asciiTheme="minorEastAsia" w:hAnsiTheme="minorEastAsia" w:eastAsiaTheme="minorEastAsia"/>
          <w:sz w:val="24"/>
          <w:szCs w:val="24"/>
          <w:lang w:eastAsia="zh-CN"/>
        </w:rPr>
        <w:t>款承担责任。</w:t>
      </w:r>
    </w:p>
    <w:p>
      <w:pPr>
        <w:numPr>
          <w:ilvl w:val="0"/>
          <w:numId w:val="13"/>
        </w:numPr>
        <w:autoSpaceDE/>
        <w:autoSpaceDN/>
        <w:spacing w:line="360" w:lineRule="auto"/>
        <w:ind w:left="357" w:hanging="3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不履行合同约定的义务或履行义务不符合合同约定的，经甲方通知后仍不履行或采取补救措施的，甲方有权要求乙方支付合同预估总价10％的违约金，并有权解除合同，由此给甲方造成的各种损失由乙方承担。</w:t>
      </w:r>
    </w:p>
    <w:p>
      <w:pPr>
        <w:numPr>
          <w:ilvl w:val="0"/>
          <w:numId w:val="5"/>
        </w:numPr>
        <w:autoSpaceDE/>
        <w:autoSpaceDN/>
        <w:spacing w:line="360" w:lineRule="auto"/>
        <w:ind w:left="357" w:hanging="357"/>
        <w:jc w:val="both"/>
        <w:rPr>
          <w:rFonts w:asciiTheme="minorEastAsia" w:hAnsiTheme="minorEastAsia" w:eastAsiaTheme="minorEastAsia"/>
          <w:sz w:val="24"/>
          <w:szCs w:val="24"/>
        </w:rPr>
      </w:pPr>
      <w:r>
        <w:rPr>
          <w:rFonts w:hint="eastAsia" w:asciiTheme="minorEastAsia" w:hAnsiTheme="minorEastAsia" w:eastAsiaTheme="minorEastAsia"/>
          <w:sz w:val="24"/>
          <w:szCs w:val="24"/>
        </w:rPr>
        <w:t>甲方的违约责任</w:t>
      </w:r>
    </w:p>
    <w:p>
      <w:pPr>
        <w:numPr>
          <w:ilvl w:val="0"/>
          <w:numId w:val="14"/>
        </w:numPr>
        <w:autoSpaceDE/>
        <w:autoSpaceDN/>
        <w:spacing w:line="360" w:lineRule="auto"/>
        <w:ind w:left="357" w:hanging="3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如甲方逾期付款，应按全国银行间同业拆借中心公布的贷款市场报价利率向乙方支付利息</w:t>
      </w:r>
      <w:r>
        <w:rPr>
          <w:rFonts w:hint="eastAsia" w:asciiTheme="minorEastAsia" w:hAnsiTheme="minorEastAsia" w:eastAsiaTheme="minorEastAsia"/>
          <w:sz w:val="24"/>
          <w:lang w:eastAsia="zh-CN"/>
        </w:rPr>
        <w:t>。</w:t>
      </w:r>
    </w:p>
    <w:p>
      <w:pPr>
        <w:numPr>
          <w:ilvl w:val="0"/>
          <w:numId w:val="14"/>
        </w:numPr>
        <w:autoSpaceDE/>
        <w:autoSpaceDN/>
        <w:spacing w:line="360" w:lineRule="auto"/>
        <w:ind w:left="357" w:hanging="3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无故拒绝验收工程，应当赔偿乙方因此造成的损失。</w:t>
      </w:r>
    </w:p>
    <w:p>
      <w:pPr>
        <w:numPr>
          <w:ilvl w:val="0"/>
          <w:numId w:val="5"/>
        </w:numPr>
        <w:autoSpaceDE/>
        <w:autoSpaceDN/>
        <w:spacing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廉洁条款</w:t>
      </w:r>
    </w:p>
    <w:p>
      <w:pPr>
        <w:spacing w:line="360" w:lineRule="auto"/>
        <w:ind w:firstLine="36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Pr>
          <w:rFonts w:asciiTheme="minorEastAsia" w:hAnsiTheme="minorEastAsia" w:eastAsiaTheme="minorEastAsia"/>
          <w:sz w:val="24"/>
          <w:szCs w:val="24"/>
          <w:lang w:eastAsia="zh-CN"/>
        </w:rPr>
        <w:t>50</w:t>
      </w:r>
      <w:r>
        <w:rPr>
          <w:rFonts w:hint="eastAsia" w:asciiTheme="minorEastAsia" w:hAnsiTheme="minorEastAsia" w:eastAsiaTheme="minorEastAsia"/>
          <w:sz w:val="24"/>
          <w:szCs w:val="24"/>
          <w:lang w:eastAsia="zh-CN"/>
        </w:rPr>
        <w:t>％的违约金，因解除相关合同给甲方造成损失的，由乙方承担赔偿责任；同时，乙方如有其它违约，仍须承担违约责任。</w:t>
      </w:r>
    </w:p>
    <w:p>
      <w:pPr>
        <w:numPr>
          <w:ilvl w:val="0"/>
          <w:numId w:val="5"/>
        </w:numPr>
        <w:autoSpaceDE/>
        <w:autoSpaceDN/>
        <w:spacing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合同的解除</w:t>
      </w:r>
    </w:p>
    <w:p>
      <w:pPr>
        <w:numPr>
          <w:ilvl w:val="0"/>
          <w:numId w:val="15"/>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乙方有下列情形之一者，甲方有权解除合同：</w:t>
      </w:r>
    </w:p>
    <w:p>
      <w:pPr>
        <w:numPr>
          <w:ilvl w:val="0"/>
          <w:numId w:val="16"/>
        </w:numPr>
        <w:tabs>
          <w:tab w:val="left" w:pos="360"/>
        </w:tabs>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乙方逾约定开工日期</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天，或逾期完工超过5天，或甲方认为不能依限完工时。</w:t>
      </w:r>
    </w:p>
    <w:p>
      <w:pPr>
        <w:numPr>
          <w:ilvl w:val="0"/>
          <w:numId w:val="16"/>
        </w:numPr>
        <w:tabs>
          <w:tab w:val="left" w:pos="360"/>
        </w:tabs>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乙方违反合同约定义务或发生变故不能履行合同时。</w:t>
      </w:r>
    </w:p>
    <w:p>
      <w:pPr>
        <w:numPr>
          <w:ilvl w:val="0"/>
          <w:numId w:val="16"/>
        </w:numPr>
        <w:tabs>
          <w:tab w:val="left" w:pos="360"/>
        </w:tabs>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乙方之施工材料严重不符约定标准，经两次纠正后仍达不到标准时。</w:t>
      </w:r>
    </w:p>
    <w:p>
      <w:pPr>
        <w:numPr>
          <w:ilvl w:val="0"/>
          <w:numId w:val="16"/>
        </w:numPr>
        <w:tabs>
          <w:tab w:val="left" w:pos="360"/>
        </w:tabs>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乙方无正当理由，自停工达</w:t>
      </w:r>
      <w:r>
        <w:rPr>
          <w:rFonts w:asciiTheme="minorEastAsia" w:hAnsiTheme="minorEastAsia" w:eastAsiaTheme="minorEastAsia"/>
          <w:sz w:val="24"/>
          <w:szCs w:val="24"/>
          <w:lang w:eastAsia="zh-CN"/>
        </w:rPr>
        <w:t>48</w:t>
      </w:r>
      <w:r>
        <w:rPr>
          <w:rFonts w:hint="eastAsia" w:asciiTheme="minorEastAsia" w:hAnsiTheme="minorEastAsia" w:eastAsiaTheme="minorEastAsia"/>
          <w:sz w:val="24"/>
          <w:szCs w:val="24"/>
          <w:lang w:eastAsia="zh-CN"/>
        </w:rPr>
        <w:t>小时以上时。</w:t>
      </w:r>
    </w:p>
    <w:p>
      <w:pPr>
        <w:numPr>
          <w:ilvl w:val="0"/>
          <w:numId w:val="15"/>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因上述原因导致合同解除时，乙方应按合同预估总价的10</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向甲方支付违约金，并承担甲方由此造成的一切损失。</w:t>
      </w:r>
    </w:p>
    <w:p>
      <w:pPr>
        <w:numPr>
          <w:ilvl w:val="0"/>
          <w:numId w:val="15"/>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解除合同时，乙方应缴还甲方提供的一切资料，如经甲方要求，乙方应继续承担保密义务。</w:t>
      </w:r>
    </w:p>
    <w:p>
      <w:pPr>
        <w:numPr>
          <w:ilvl w:val="0"/>
          <w:numId w:val="5"/>
        </w:numPr>
        <w:autoSpaceDE/>
        <w:autoSpaceDN/>
        <w:spacing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争议解决</w:t>
      </w:r>
    </w:p>
    <w:p>
      <w:pPr>
        <w:spacing w:line="360" w:lineRule="auto"/>
        <w:ind w:firstLine="36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本合同发生纠纷时，当事人双方应协商解决；协商不成的，双方均应向甲方所在地人民法院提起诉讼。</w:t>
      </w:r>
    </w:p>
    <w:p>
      <w:pPr>
        <w:numPr>
          <w:ilvl w:val="0"/>
          <w:numId w:val="5"/>
        </w:numPr>
        <w:autoSpaceDE/>
        <w:autoSpaceDN/>
        <w:spacing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附则</w:t>
      </w:r>
    </w:p>
    <w:p>
      <w:pPr>
        <w:numPr>
          <w:ilvl w:val="0"/>
          <w:numId w:val="17"/>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本合同如有未尽事宜，经双方友好协商，另签补充协议。经双方签字确认的补充协议等书面材料均为本合同的组成部分，与本合同具同等法律效力，内容如有冲突，以时间在后的为准。</w:t>
      </w:r>
    </w:p>
    <w:p>
      <w:pPr>
        <w:numPr>
          <w:ilvl w:val="0"/>
          <w:numId w:val="17"/>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本合同经双方加盖公章后生效。</w:t>
      </w:r>
    </w:p>
    <w:p>
      <w:pPr>
        <w:numPr>
          <w:ilvl w:val="0"/>
          <w:numId w:val="17"/>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本合同项下的任何权利义务，未经一方书面同意，任何一方均不得转让。</w:t>
      </w:r>
    </w:p>
    <w:p>
      <w:pPr>
        <w:numPr>
          <w:ilvl w:val="0"/>
          <w:numId w:val="17"/>
        </w:numPr>
        <w:autoSpaceDE/>
        <w:autoSpaceDN/>
        <w:spacing w:line="360" w:lineRule="auto"/>
        <w:jc w:val="both"/>
        <w:rPr>
          <w:rFonts w:asciiTheme="minorEastAsia" w:hAnsiTheme="minorEastAsia" w:eastAsiaTheme="minorEastAsia"/>
          <w:b/>
          <w:sz w:val="24"/>
          <w:szCs w:val="24"/>
          <w:lang w:eastAsia="zh-CN"/>
        </w:rPr>
      </w:pPr>
      <w:r>
        <w:rPr>
          <w:rFonts w:hint="eastAsia" w:asciiTheme="minorEastAsia" w:hAnsiTheme="minorEastAsia" w:eastAsiaTheme="minorEastAsia"/>
          <w:sz w:val="24"/>
          <w:szCs w:val="24"/>
          <w:lang w:eastAsia="zh-CN"/>
        </w:rPr>
        <w:t>合同一式6份，甲方执4份，乙方执2份，具有同等法律效力。</w:t>
      </w:r>
    </w:p>
    <w:p>
      <w:pPr>
        <w:spacing w:line="360" w:lineRule="auto"/>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合同附件：</w:t>
      </w:r>
    </w:p>
    <w:p>
      <w:pPr>
        <w:spacing w:line="360" w:lineRule="auto"/>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附件1：储罐清洗基准价格清单</w:t>
      </w:r>
    </w:p>
    <w:p>
      <w:pPr>
        <w:spacing w:line="360" w:lineRule="auto"/>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附件2：储运装置储罐清洗总体要求</w:t>
      </w:r>
    </w:p>
    <w:p>
      <w:pPr>
        <w:spacing w:line="360" w:lineRule="auto"/>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附件3：安全环保协议书</w:t>
      </w:r>
    </w:p>
    <w:p>
      <w:pPr>
        <w:spacing w:line="400" w:lineRule="exact"/>
        <w:ind w:right="-514"/>
        <w:rPr>
          <w:lang w:eastAsia="zh-CN"/>
        </w:rPr>
      </w:pPr>
    </w:p>
    <w:p>
      <w:pPr>
        <w:tabs>
          <w:tab w:val="left" w:pos="2010"/>
        </w:tabs>
        <w:spacing w:line="360" w:lineRule="auto"/>
        <w:ind w:firstLine="964" w:firstLineChars="400"/>
        <w:rPr>
          <w:sz w:val="24"/>
          <w:lang w:eastAsia="zh-CN"/>
        </w:rPr>
      </w:pPr>
      <w:r>
        <w:rPr>
          <w:rFonts w:hint="eastAsia" w:cs="Arial"/>
          <w:b/>
          <w:sz w:val="24"/>
          <w:lang w:eastAsia="zh-CN"/>
        </w:rPr>
        <w:t>以下为签署栏，无正文）</w:t>
      </w:r>
    </w:p>
    <w:p>
      <w:pPr>
        <w:spacing w:line="360" w:lineRule="auto"/>
        <w:ind w:right="-147" w:rightChars="-67"/>
        <w:rPr>
          <w:rFonts w:cs="Arial"/>
          <w:b/>
          <w:sz w:val="24"/>
          <w:lang w:eastAsia="zh-CN"/>
        </w:rPr>
      </w:pPr>
      <w:r>
        <w:rPr>
          <w:rFonts w:hint="eastAsia" w:cs="Arial"/>
          <w:b/>
          <w:sz w:val="24"/>
          <w:lang w:eastAsia="zh-CN"/>
        </w:rPr>
        <w:t>甲方</w:t>
      </w:r>
      <w:r>
        <w:rPr>
          <w:rFonts w:cs="Arial"/>
          <w:b/>
          <w:sz w:val="24"/>
          <w:lang w:eastAsia="zh-CN"/>
        </w:rPr>
        <w:t>：</w:t>
      </w:r>
      <w:r>
        <w:rPr>
          <w:rFonts w:hint="eastAsia" w:cs="Arial"/>
          <w:b/>
          <w:sz w:val="24"/>
          <w:lang w:eastAsia="zh-CN"/>
        </w:rPr>
        <w:t xml:space="preserve">                                    乙方：</w:t>
      </w:r>
      <w:r>
        <w:rPr>
          <w:rFonts w:cs="Arial"/>
          <w:b/>
          <w:sz w:val="24"/>
          <w:lang w:eastAsia="zh-CN"/>
        </w:rPr>
        <w:t xml:space="preserve"> </w:t>
      </w:r>
    </w:p>
    <w:p>
      <w:pPr>
        <w:spacing w:line="240" w:lineRule="atLeast"/>
        <w:ind w:right="-147" w:rightChars="-67"/>
        <w:rPr>
          <w:szCs w:val="21"/>
          <w:lang w:eastAsia="zh-CN"/>
        </w:rPr>
      </w:pPr>
      <w:r>
        <w:rPr>
          <w:rFonts w:hint="eastAsia"/>
          <w:b/>
          <w:spacing w:val="20"/>
          <w:sz w:val="24"/>
          <w:lang w:eastAsia="zh-CN"/>
        </w:rPr>
        <w:t xml:space="preserve">腾龙芳烃（漳州）有限公司          </w:t>
      </w:r>
      <w:r>
        <w:rPr>
          <w:rFonts w:cs="Arial"/>
          <w:b/>
          <w:sz w:val="24"/>
          <w:lang w:eastAsia="zh-CN"/>
        </w:rPr>
        <w:br w:type="textWrapping"/>
      </w:r>
      <w:r>
        <w:rPr>
          <w:rFonts w:hint="eastAsia"/>
          <w:szCs w:val="21"/>
          <w:lang w:eastAsia="zh-CN"/>
        </w:rPr>
        <w:t>地</w:t>
      </w:r>
      <w:r>
        <w:rPr>
          <w:szCs w:val="21"/>
          <w:lang w:eastAsia="zh-CN"/>
        </w:rPr>
        <w:t xml:space="preserve">  </w:t>
      </w:r>
      <w:r>
        <w:rPr>
          <w:rFonts w:hint="eastAsia"/>
          <w:szCs w:val="21"/>
          <w:lang w:eastAsia="zh-CN"/>
        </w:rPr>
        <w:t>址：</w:t>
      </w:r>
      <w:r>
        <w:rPr>
          <w:rFonts w:hint="eastAsia" w:hAnsi="Courier New" w:cs="Courier New"/>
          <w:szCs w:val="21"/>
          <w:lang w:eastAsia="zh-CN"/>
        </w:rPr>
        <w:t>福建省漳州市古雷港经济开发区</w:t>
      </w:r>
      <w:r>
        <w:rPr>
          <w:rFonts w:hint="eastAsia"/>
          <w:szCs w:val="21"/>
          <w:lang w:eastAsia="zh-CN"/>
        </w:rPr>
        <w:t xml:space="preserve">         地</w:t>
      </w:r>
      <w:r>
        <w:rPr>
          <w:szCs w:val="21"/>
          <w:lang w:eastAsia="zh-CN"/>
        </w:rPr>
        <w:t xml:space="preserve"> </w:t>
      </w:r>
      <w:r>
        <w:rPr>
          <w:rFonts w:hint="eastAsia"/>
          <w:szCs w:val="21"/>
          <w:lang w:eastAsia="zh-CN"/>
        </w:rPr>
        <w:t xml:space="preserve"> 址：</w:t>
      </w:r>
      <w:r>
        <w:rPr>
          <w:szCs w:val="21"/>
          <w:lang w:eastAsia="zh-CN"/>
        </w:rPr>
        <w:t xml:space="preserve"> </w:t>
      </w:r>
    </w:p>
    <w:p>
      <w:pPr>
        <w:spacing w:line="240" w:lineRule="atLeast"/>
        <w:ind w:right="-147" w:rightChars="-67"/>
        <w:rPr>
          <w:szCs w:val="21"/>
          <w:lang w:eastAsia="zh-CN"/>
        </w:rPr>
      </w:pPr>
      <w:r>
        <w:rPr>
          <w:rFonts w:hint="eastAsia"/>
          <w:szCs w:val="21"/>
          <w:lang w:eastAsia="zh-CN"/>
        </w:rPr>
        <w:t xml:space="preserve">          </w:t>
      </w:r>
      <w:r>
        <w:rPr>
          <w:szCs w:val="21"/>
          <w:lang w:eastAsia="zh-CN"/>
        </w:rPr>
        <w:t xml:space="preserve"> </w:t>
      </w:r>
      <w:r>
        <w:rPr>
          <w:rFonts w:hint="eastAsia"/>
          <w:szCs w:val="21"/>
          <w:lang w:eastAsia="zh-CN"/>
        </w:rPr>
        <w:t>腾龙路84号</w:t>
      </w:r>
    </w:p>
    <w:p>
      <w:pPr>
        <w:spacing w:line="240" w:lineRule="atLeast"/>
        <w:ind w:left="1038" w:right="-147" w:rightChars="-67" w:hanging="1038" w:hangingChars="472"/>
        <w:rPr>
          <w:szCs w:val="21"/>
          <w:lang w:eastAsia="zh-CN"/>
        </w:rPr>
      </w:pPr>
      <w:r>
        <w:rPr>
          <w:rFonts w:hint="eastAsia"/>
          <w:szCs w:val="21"/>
          <w:lang w:eastAsia="zh-CN"/>
        </w:rPr>
        <w:t>开户行：兴业银行漳州古雷支行                 开户行：</w:t>
      </w:r>
      <w:r>
        <w:rPr>
          <w:szCs w:val="21"/>
          <w:lang w:eastAsia="zh-CN"/>
        </w:rPr>
        <w:t xml:space="preserve"> </w:t>
      </w:r>
    </w:p>
    <w:p>
      <w:pPr>
        <w:spacing w:line="240" w:lineRule="atLeast"/>
        <w:ind w:right="-147" w:rightChars="-67"/>
        <w:rPr>
          <w:szCs w:val="21"/>
          <w:lang w:eastAsia="zh-CN"/>
        </w:rPr>
      </w:pPr>
      <w:r>
        <w:rPr>
          <w:rFonts w:hint="eastAsia"/>
          <w:szCs w:val="21"/>
          <w:lang w:eastAsia="zh-CN"/>
        </w:rPr>
        <w:t>帐</w:t>
      </w:r>
      <w:r>
        <w:rPr>
          <w:szCs w:val="21"/>
          <w:lang w:eastAsia="zh-CN"/>
        </w:rPr>
        <w:t xml:space="preserve">  </w:t>
      </w:r>
      <w:r>
        <w:rPr>
          <w:rFonts w:hint="eastAsia"/>
          <w:szCs w:val="21"/>
          <w:lang w:eastAsia="zh-CN"/>
        </w:rPr>
        <w:t>号： 162070100100021071                  帐</w:t>
      </w:r>
      <w:r>
        <w:rPr>
          <w:szCs w:val="21"/>
          <w:lang w:eastAsia="zh-CN"/>
        </w:rPr>
        <w:t xml:space="preserve">  </w:t>
      </w:r>
      <w:r>
        <w:rPr>
          <w:rFonts w:hint="eastAsia"/>
          <w:szCs w:val="21"/>
          <w:lang w:eastAsia="zh-CN"/>
        </w:rPr>
        <w:t>号：</w:t>
      </w:r>
    </w:p>
    <w:p>
      <w:pPr>
        <w:spacing w:line="240" w:lineRule="atLeast"/>
        <w:ind w:right="-147" w:rightChars="-67"/>
        <w:rPr>
          <w:szCs w:val="21"/>
          <w:lang w:eastAsia="zh-CN"/>
        </w:rPr>
      </w:pPr>
      <w:r>
        <w:rPr>
          <w:rFonts w:hint="eastAsia"/>
          <w:szCs w:val="21"/>
          <w:lang w:eastAsia="zh-CN"/>
        </w:rPr>
        <w:t>税</w:t>
      </w:r>
      <w:r>
        <w:rPr>
          <w:szCs w:val="21"/>
          <w:lang w:eastAsia="zh-CN"/>
        </w:rPr>
        <w:t xml:space="preserve">  </w:t>
      </w:r>
      <w:r>
        <w:rPr>
          <w:rFonts w:hint="eastAsia"/>
          <w:szCs w:val="21"/>
          <w:lang w:eastAsia="zh-CN"/>
        </w:rPr>
        <w:t>号： 91350600717866709A                  税</w:t>
      </w:r>
      <w:r>
        <w:rPr>
          <w:szCs w:val="21"/>
          <w:lang w:eastAsia="zh-CN"/>
        </w:rPr>
        <w:t xml:space="preserve"> </w:t>
      </w:r>
      <w:r>
        <w:rPr>
          <w:rFonts w:hint="eastAsia"/>
          <w:szCs w:val="21"/>
          <w:lang w:eastAsia="zh-CN"/>
        </w:rPr>
        <w:t xml:space="preserve"> 号：</w:t>
      </w:r>
    </w:p>
    <w:p>
      <w:pPr>
        <w:spacing w:line="240" w:lineRule="atLeast"/>
        <w:ind w:right="-147" w:rightChars="-67"/>
        <w:rPr>
          <w:szCs w:val="21"/>
          <w:lang w:eastAsia="zh-CN"/>
        </w:rPr>
      </w:pPr>
      <w:r>
        <w:rPr>
          <w:rFonts w:hint="eastAsia"/>
          <w:szCs w:val="21"/>
          <w:lang w:eastAsia="zh-CN"/>
        </w:rPr>
        <w:t>电</w:t>
      </w:r>
      <w:r>
        <w:rPr>
          <w:szCs w:val="21"/>
          <w:lang w:eastAsia="zh-CN"/>
        </w:rPr>
        <w:t xml:space="preserve">  </w:t>
      </w:r>
      <w:r>
        <w:rPr>
          <w:rFonts w:hint="eastAsia"/>
          <w:szCs w:val="21"/>
          <w:lang w:eastAsia="zh-CN"/>
        </w:rPr>
        <w:t>话：  0596-6311083                       电</w:t>
      </w:r>
      <w:r>
        <w:rPr>
          <w:szCs w:val="21"/>
          <w:lang w:eastAsia="zh-CN"/>
        </w:rPr>
        <w:t xml:space="preserve">  </w:t>
      </w:r>
      <w:r>
        <w:rPr>
          <w:rFonts w:hint="eastAsia"/>
          <w:szCs w:val="21"/>
          <w:lang w:eastAsia="zh-CN"/>
        </w:rPr>
        <w:t>话：</w:t>
      </w:r>
    </w:p>
    <w:p>
      <w:pPr>
        <w:pStyle w:val="2"/>
      </w:pPr>
      <w:r>
        <w:rPr>
          <w:rFonts w:hint="eastAsia"/>
          <w:b/>
          <w:sz w:val="28"/>
          <w:szCs w:val="28"/>
        </w:rPr>
        <w:t>附件1：</w:t>
      </w:r>
    </w:p>
    <w:p>
      <w:pPr>
        <w:widowControl/>
        <w:spacing w:line="360" w:lineRule="auto"/>
        <w:jc w:val="center"/>
        <w:rPr>
          <w:rFonts w:asciiTheme="majorEastAsia" w:hAnsiTheme="majorEastAsia" w:eastAsiaTheme="majorEastAsia"/>
          <w:b/>
          <w:sz w:val="32"/>
          <w:szCs w:val="32"/>
          <w:lang w:eastAsia="zh-CN"/>
        </w:rPr>
      </w:pPr>
      <w:r>
        <w:rPr>
          <w:rFonts w:hint="eastAsia" w:cs="Arial" w:asciiTheme="minorEastAsia" w:hAnsiTheme="minorEastAsia" w:eastAsiaTheme="minorEastAsia"/>
          <w:sz w:val="32"/>
          <w:szCs w:val="32"/>
          <w:lang w:eastAsia="zh-CN"/>
        </w:rPr>
        <w:t>储罐清洗基准价格清单</w:t>
      </w:r>
    </w:p>
    <w:p>
      <w:pPr>
        <w:spacing w:line="360" w:lineRule="auto"/>
        <w:rPr>
          <w:b/>
          <w:sz w:val="28"/>
          <w:szCs w:val="28"/>
          <w:lang w:eastAsia="zh-CN"/>
        </w:rPr>
      </w:pPr>
      <w:r>
        <w:rPr>
          <w:rFonts w:hint="eastAsia"/>
          <w:b/>
          <w:sz w:val="28"/>
          <w:szCs w:val="28"/>
          <w:lang w:eastAsia="zh-CN"/>
        </w:rPr>
        <w:t>附件2：</w:t>
      </w:r>
    </w:p>
    <w:p>
      <w:pPr>
        <w:spacing w:before="240" w:after="156" w:line="420" w:lineRule="exact"/>
        <w:jc w:val="center"/>
        <w:rPr>
          <w:b/>
          <w:bCs/>
          <w:sz w:val="48"/>
          <w:szCs w:val="48"/>
          <w:lang w:eastAsia="zh-CN"/>
        </w:rPr>
      </w:pPr>
      <w:r>
        <w:rPr>
          <w:rFonts w:hint="eastAsia" w:cs="仿宋_GB2312" w:asciiTheme="majorEastAsia" w:hAnsiTheme="majorEastAsia" w:eastAsiaTheme="majorEastAsia"/>
          <w:kern w:val="59"/>
          <w:lang w:eastAsia="zh-CN"/>
        </w:rPr>
        <w:t xml:space="preserve">    </w:t>
      </w:r>
      <w:r>
        <w:rPr>
          <w:rFonts w:hint="eastAsia"/>
          <w:b/>
          <w:bCs/>
          <w:sz w:val="48"/>
          <w:szCs w:val="48"/>
          <w:lang w:eastAsia="zh-CN"/>
        </w:rPr>
        <w:t>储运团队储罐清洗总体要求</w:t>
      </w:r>
    </w:p>
    <w:p>
      <w:pPr>
        <w:spacing w:before="240" w:after="156" w:line="420" w:lineRule="exact"/>
        <w:rPr>
          <w:b/>
          <w:bCs/>
          <w:sz w:val="30"/>
          <w:szCs w:val="30"/>
          <w:lang w:eastAsia="zh-CN"/>
        </w:rPr>
      </w:pPr>
    </w:p>
    <w:p>
      <w:pPr>
        <w:spacing w:after="156" w:line="420" w:lineRule="exact"/>
        <w:jc w:val="center"/>
        <w:rPr>
          <w:b/>
          <w:bCs/>
          <w:sz w:val="28"/>
          <w:szCs w:val="28"/>
          <w:lang w:eastAsia="zh-CN"/>
        </w:rPr>
      </w:pPr>
    </w:p>
    <w:p>
      <w:pPr>
        <w:spacing w:after="156" w:line="420" w:lineRule="exact"/>
        <w:jc w:val="center"/>
        <w:rPr>
          <w:b/>
          <w:bCs/>
          <w:sz w:val="28"/>
          <w:szCs w:val="28"/>
          <w:lang w:eastAsia="zh-CN"/>
        </w:rPr>
      </w:pPr>
    </w:p>
    <w:p>
      <w:pPr>
        <w:spacing w:after="156" w:line="420" w:lineRule="exact"/>
        <w:jc w:val="center"/>
        <w:rPr>
          <w:b/>
          <w:bCs/>
          <w:sz w:val="28"/>
          <w:szCs w:val="28"/>
          <w:lang w:eastAsia="zh-CN"/>
        </w:rPr>
      </w:pPr>
    </w:p>
    <w:p>
      <w:pPr>
        <w:spacing w:after="156" w:line="420" w:lineRule="exact"/>
        <w:jc w:val="center"/>
        <w:rPr>
          <w:b/>
          <w:bCs/>
          <w:sz w:val="28"/>
          <w:szCs w:val="28"/>
          <w:lang w:eastAsia="zh-CN"/>
        </w:rPr>
      </w:pPr>
    </w:p>
    <w:p>
      <w:pPr>
        <w:spacing w:after="156" w:line="420" w:lineRule="exact"/>
        <w:jc w:val="center"/>
        <w:rPr>
          <w:b/>
          <w:bCs/>
          <w:sz w:val="28"/>
          <w:szCs w:val="28"/>
          <w:lang w:eastAsia="zh-CN"/>
        </w:rPr>
      </w:pPr>
    </w:p>
    <w:p>
      <w:pPr>
        <w:spacing w:after="156" w:line="420" w:lineRule="exact"/>
        <w:jc w:val="center"/>
        <w:rPr>
          <w:b/>
          <w:bCs/>
          <w:sz w:val="28"/>
          <w:szCs w:val="28"/>
          <w:lang w:eastAsia="zh-CN"/>
        </w:rPr>
      </w:pPr>
    </w:p>
    <w:p>
      <w:pPr>
        <w:spacing w:after="156" w:line="420" w:lineRule="exact"/>
        <w:jc w:val="center"/>
        <w:rPr>
          <w:b/>
          <w:bCs/>
          <w:sz w:val="28"/>
          <w:szCs w:val="28"/>
          <w:lang w:eastAsia="zh-CN"/>
        </w:rPr>
      </w:pPr>
    </w:p>
    <w:p>
      <w:pPr>
        <w:spacing w:after="156" w:line="420" w:lineRule="exact"/>
        <w:jc w:val="center"/>
        <w:rPr>
          <w:b/>
          <w:bCs/>
          <w:sz w:val="28"/>
          <w:szCs w:val="28"/>
          <w:lang w:eastAsia="zh-CN"/>
        </w:rPr>
      </w:pPr>
    </w:p>
    <w:p>
      <w:pPr>
        <w:spacing w:after="156" w:line="420" w:lineRule="exact"/>
        <w:jc w:val="center"/>
        <w:rPr>
          <w:b/>
          <w:bCs/>
          <w:sz w:val="28"/>
          <w:szCs w:val="28"/>
          <w:lang w:eastAsia="zh-CN"/>
        </w:rPr>
      </w:pPr>
    </w:p>
    <w:p>
      <w:pPr>
        <w:spacing w:after="156" w:line="420" w:lineRule="exact"/>
        <w:jc w:val="center"/>
        <w:rPr>
          <w:b/>
          <w:bCs/>
          <w:sz w:val="28"/>
          <w:szCs w:val="28"/>
          <w:lang w:eastAsia="zh-CN"/>
        </w:rPr>
      </w:pPr>
    </w:p>
    <w:p>
      <w:pPr>
        <w:spacing w:after="156" w:line="420" w:lineRule="exact"/>
        <w:jc w:val="center"/>
        <w:rPr>
          <w:b/>
          <w:bCs/>
          <w:sz w:val="28"/>
          <w:szCs w:val="28"/>
          <w:lang w:eastAsia="zh-CN"/>
        </w:rPr>
      </w:pPr>
      <w:r>
        <w:rPr>
          <w:rFonts w:hint="eastAsia"/>
          <w:b/>
          <w:bCs/>
          <w:sz w:val="28"/>
          <w:szCs w:val="28"/>
          <w:lang w:eastAsia="zh-CN"/>
        </w:rPr>
        <w:t>2021年06月01日</w:t>
      </w:r>
    </w:p>
    <w:p>
      <w:pPr>
        <w:spacing w:line="360" w:lineRule="auto"/>
        <w:ind w:firstLine="550" w:firstLineChars="250"/>
        <w:rPr>
          <w:rFonts w:asciiTheme="minorEastAsia" w:hAnsiTheme="minorEastAsia" w:eastAsiaTheme="minorEastAsia"/>
          <w:sz w:val="24"/>
          <w:szCs w:val="24"/>
          <w:lang w:eastAsia="zh-CN"/>
        </w:rPr>
      </w:pPr>
      <w:r>
        <w:rPr>
          <w:lang w:val="zh-CN" w:eastAsia="zh-CN"/>
        </w:rPr>
        <w:br w:type="page"/>
      </w:r>
      <w:r>
        <w:rPr>
          <w:rFonts w:hint="eastAsia" w:asciiTheme="minorEastAsia" w:hAnsiTheme="minorEastAsia" w:eastAsiaTheme="minorEastAsia"/>
          <w:sz w:val="24"/>
          <w:szCs w:val="24"/>
          <w:lang w:eastAsia="zh-CN"/>
        </w:rPr>
        <w:t>根据公司对于储运团队储罐储存物料质量要求及储罐检修要求，</w:t>
      </w:r>
      <w:r>
        <w:rPr>
          <w:rFonts w:asciiTheme="minorEastAsia" w:hAnsiTheme="minorEastAsia" w:eastAsiaTheme="minorEastAsia"/>
          <w:sz w:val="24"/>
          <w:szCs w:val="24"/>
          <w:lang w:eastAsia="zh-CN"/>
        </w:rPr>
        <w:t>储运团队共有储罐96台，部分储罐在开工期间不合格物料及杂质进罐较多，对后期物料质量有影响，</w:t>
      </w:r>
      <w:r>
        <w:rPr>
          <w:rFonts w:hint="eastAsia" w:asciiTheme="minorEastAsia" w:hAnsiTheme="minorEastAsia" w:eastAsiaTheme="minorEastAsia"/>
          <w:sz w:val="24"/>
          <w:szCs w:val="24"/>
          <w:lang w:eastAsia="zh-CN"/>
        </w:rPr>
        <w:t>还有部分储罐要进行检修作业，需对有影响的储罐进行清罐。为了保证清罐的安全及质量，针对清罐工作提出了具体的要求，特编此总体要求。</w:t>
      </w:r>
    </w:p>
    <w:p>
      <w:pPr>
        <w:pStyle w:val="3"/>
        <w:keepNext/>
        <w:keepLines/>
        <w:numPr>
          <w:ilvl w:val="0"/>
          <w:numId w:val="18"/>
        </w:numPr>
        <w:autoSpaceDE/>
        <w:autoSpaceDN/>
        <w:spacing w:line="360" w:lineRule="auto"/>
        <w:jc w:val="both"/>
        <w:rPr>
          <w:rFonts w:asciiTheme="minorEastAsia" w:hAnsiTheme="minorEastAsia" w:eastAsiaTheme="minorEastAsia"/>
          <w:b w:val="0"/>
          <w:sz w:val="24"/>
          <w:szCs w:val="24"/>
        </w:rPr>
      </w:pPr>
      <w:bookmarkStart w:id="9" w:name="_Toc476640956"/>
      <w:r>
        <w:rPr>
          <w:rFonts w:hint="eastAsia" w:asciiTheme="minorEastAsia" w:hAnsiTheme="minorEastAsia" w:eastAsiaTheme="minorEastAsia"/>
          <w:b w:val="0"/>
          <w:sz w:val="24"/>
          <w:szCs w:val="24"/>
        </w:rPr>
        <w:t>编制依据</w:t>
      </w:r>
      <w:bookmarkEnd w:id="9"/>
    </w:p>
    <w:p>
      <w:pPr>
        <w:numPr>
          <w:ilvl w:val="1"/>
          <w:numId w:val="19"/>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《成品油罐清洗安全技术规程》Q/SH0519-2013；</w:t>
      </w:r>
    </w:p>
    <w:p>
      <w:pPr>
        <w:numPr>
          <w:ilvl w:val="1"/>
          <w:numId w:val="19"/>
        </w:numPr>
        <w:autoSpaceDE/>
        <w:autoSpaceDN/>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《安全、环境与健康（</w:t>
      </w:r>
      <w:r>
        <w:rPr>
          <w:rFonts w:asciiTheme="minorEastAsia" w:hAnsiTheme="minorEastAsia" w:eastAsiaTheme="minorEastAsia"/>
          <w:sz w:val="24"/>
          <w:szCs w:val="24"/>
        </w:rPr>
        <w:t>QHSE</w:t>
      </w:r>
      <w:r>
        <w:rPr>
          <w:rFonts w:hint="eastAsia" w:asciiTheme="minorEastAsia" w:hAnsiTheme="minorEastAsia" w:eastAsiaTheme="minorEastAsia"/>
          <w:sz w:val="24"/>
          <w:szCs w:val="24"/>
        </w:rPr>
        <w:t>）管理体系》</w:t>
      </w:r>
      <w:r>
        <w:rPr>
          <w:rFonts w:asciiTheme="minorEastAsia" w:hAnsiTheme="minorEastAsia" w:eastAsiaTheme="minorEastAsia"/>
          <w:sz w:val="24"/>
          <w:szCs w:val="24"/>
        </w:rPr>
        <w:t>Q/SHS 0001.1——2001</w:t>
      </w:r>
    </w:p>
    <w:p>
      <w:pPr>
        <w:numPr>
          <w:ilvl w:val="1"/>
          <w:numId w:val="19"/>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福海创石油化工有限公司相关管理制度。</w:t>
      </w:r>
    </w:p>
    <w:p>
      <w:pPr>
        <w:pStyle w:val="3"/>
        <w:keepNext/>
        <w:keepLines/>
        <w:numPr>
          <w:ilvl w:val="0"/>
          <w:numId w:val="18"/>
        </w:numPr>
        <w:autoSpaceDE/>
        <w:autoSpaceDN/>
        <w:spacing w:line="360" w:lineRule="auto"/>
        <w:jc w:val="both"/>
        <w:rPr>
          <w:rFonts w:asciiTheme="minorEastAsia" w:hAnsiTheme="minorEastAsia" w:eastAsiaTheme="minorEastAsia"/>
          <w:b w:val="0"/>
          <w:sz w:val="24"/>
          <w:szCs w:val="24"/>
        </w:rPr>
      </w:pPr>
      <w:bookmarkStart w:id="10" w:name="_Toc476640957"/>
      <w:r>
        <w:rPr>
          <w:rFonts w:hint="eastAsia" w:asciiTheme="minorEastAsia" w:hAnsiTheme="minorEastAsia" w:eastAsiaTheme="minorEastAsia"/>
          <w:b w:val="0"/>
          <w:sz w:val="24"/>
          <w:szCs w:val="24"/>
        </w:rPr>
        <w:t>适用范围</w:t>
      </w:r>
      <w:bookmarkEnd w:id="10"/>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本要求适用于福海创储运团队储罐清洗。</w:t>
      </w:r>
    </w:p>
    <w:p>
      <w:pPr>
        <w:pStyle w:val="3"/>
        <w:keepNext/>
        <w:keepLines/>
        <w:numPr>
          <w:ilvl w:val="0"/>
          <w:numId w:val="18"/>
        </w:numPr>
        <w:autoSpaceDE/>
        <w:autoSpaceDN/>
        <w:spacing w:line="360" w:lineRule="auto"/>
        <w:jc w:val="both"/>
        <w:rPr>
          <w:rFonts w:asciiTheme="minorEastAsia" w:hAnsiTheme="minorEastAsia" w:eastAsiaTheme="minorEastAsia"/>
          <w:b w:val="0"/>
          <w:sz w:val="24"/>
          <w:szCs w:val="24"/>
        </w:rPr>
      </w:pPr>
      <w:bookmarkStart w:id="11" w:name="_Toc476640958"/>
      <w:r>
        <w:rPr>
          <w:rFonts w:hint="eastAsia" w:asciiTheme="minorEastAsia" w:hAnsiTheme="minorEastAsia" w:eastAsiaTheme="minorEastAsia"/>
          <w:b w:val="0"/>
          <w:sz w:val="24"/>
          <w:szCs w:val="24"/>
        </w:rPr>
        <w:t>清罐目的</w:t>
      </w:r>
      <w:bookmarkEnd w:id="11"/>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对储罐底积存的杂质及残油进行清理、清洗，使储罐达到进入受限空间及动火作业的条件；</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对储罐的相关设施进行检查及修</w:t>
      </w:r>
      <w:r>
        <w:rPr>
          <w:rStyle w:val="37"/>
          <w:rFonts w:asciiTheme="minorEastAsia" w:hAnsiTheme="minorEastAsia" w:eastAsiaTheme="minorEastAsia"/>
          <w:sz w:val="24"/>
          <w:szCs w:val="24"/>
          <w:lang w:eastAsia="zh-CN"/>
        </w:rPr>
        <w:t>复</w:t>
      </w:r>
      <w:r>
        <w:rPr>
          <w:rFonts w:hint="eastAsia" w:asciiTheme="minorEastAsia" w:hAnsiTheme="minorEastAsia" w:eastAsiaTheme="minorEastAsia"/>
          <w:sz w:val="24"/>
          <w:szCs w:val="24"/>
          <w:lang w:eastAsia="zh-CN"/>
        </w:rPr>
        <w:t>以保证储罐后期的运行安全。</w:t>
      </w:r>
    </w:p>
    <w:p>
      <w:pPr>
        <w:pStyle w:val="3"/>
        <w:keepNext/>
        <w:keepLines/>
        <w:numPr>
          <w:ilvl w:val="0"/>
          <w:numId w:val="18"/>
        </w:numPr>
        <w:autoSpaceDE/>
        <w:autoSpaceDN/>
        <w:spacing w:line="360" w:lineRule="auto"/>
        <w:jc w:val="both"/>
        <w:rPr>
          <w:rFonts w:asciiTheme="minorEastAsia" w:hAnsiTheme="minorEastAsia" w:eastAsiaTheme="minorEastAsia"/>
          <w:b w:val="0"/>
          <w:sz w:val="24"/>
          <w:szCs w:val="24"/>
        </w:rPr>
      </w:pPr>
      <w:bookmarkStart w:id="12" w:name="_Toc476640959"/>
      <w:r>
        <w:rPr>
          <w:rFonts w:hint="eastAsia" w:asciiTheme="minorEastAsia" w:hAnsiTheme="minorEastAsia" w:eastAsiaTheme="minorEastAsia"/>
          <w:b w:val="0"/>
          <w:sz w:val="24"/>
          <w:szCs w:val="24"/>
        </w:rPr>
        <w:t>清罐公司的资质</w:t>
      </w:r>
      <w:bookmarkEnd w:id="12"/>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储罐清洗公司成立需3年以上；</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具备清洗重质油储罐、轻质油储罐及球罐的资质；</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清罐公司需同时具备以下业绩：</w:t>
      </w:r>
    </w:p>
    <w:p>
      <w:pPr>
        <w:numPr>
          <w:ilvl w:val="2"/>
          <w:numId w:val="18"/>
        </w:numPr>
        <w:autoSpaceDE/>
        <w:autoSpaceDN/>
        <w:spacing w:line="360" w:lineRule="auto"/>
        <w:jc w:val="both"/>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具有大型拱顶储罐、内浮顶储罐、外浮顶储罐、醋酸罐、烧碱罐的清洗经验；</w:t>
      </w:r>
    </w:p>
    <w:p>
      <w:pPr>
        <w:numPr>
          <w:ilvl w:val="2"/>
          <w:numId w:val="18"/>
        </w:numPr>
        <w:autoSpaceDE/>
        <w:autoSpaceDN/>
        <w:spacing w:line="360" w:lineRule="auto"/>
        <w:jc w:val="both"/>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2万m³重质油品储罐清理、清洗，且不少于3台</w:t>
      </w:r>
    </w:p>
    <w:p>
      <w:pPr>
        <w:numPr>
          <w:ilvl w:val="2"/>
          <w:numId w:val="18"/>
        </w:numPr>
        <w:autoSpaceDE/>
        <w:autoSpaceDN/>
        <w:spacing w:line="360" w:lineRule="auto"/>
        <w:jc w:val="both"/>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2万m³轻质油品储罐清理、清洗，且不少于3台</w:t>
      </w:r>
    </w:p>
    <w:p>
      <w:pPr>
        <w:numPr>
          <w:ilvl w:val="2"/>
          <w:numId w:val="18"/>
        </w:numPr>
        <w:autoSpaceDE/>
        <w:autoSpaceDN/>
        <w:spacing w:line="360" w:lineRule="auto"/>
        <w:jc w:val="both"/>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2万m³以上储罐清洗，且不少于3台</w:t>
      </w:r>
    </w:p>
    <w:p>
      <w:pPr>
        <w:pStyle w:val="3"/>
        <w:keepNext/>
        <w:keepLines/>
        <w:numPr>
          <w:ilvl w:val="0"/>
          <w:numId w:val="18"/>
        </w:numPr>
        <w:autoSpaceDE/>
        <w:autoSpaceDN/>
        <w:spacing w:line="360" w:lineRule="auto"/>
        <w:jc w:val="both"/>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清罐公司的技术要求</w:t>
      </w:r>
    </w:p>
    <w:p>
      <w:pPr>
        <w:numPr>
          <w:ilvl w:val="1"/>
          <w:numId w:val="18"/>
        </w:numPr>
        <w:autoSpaceDE/>
        <w:autoSpaceDN/>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工作范围和工作内容</w:t>
      </w:r>
    </w:p>
    <w:p>
      <w:pPr>
        <w:spacing w:line="360" w:lineRule="auto"/>
        <w:ind w:left="567"/>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应确认其报价所包含的工作范围和服务范围中没有包括的工作内容。如果有任何与</w:t>
      </w:r>
      <w:r>
        <w:rPr>
          <w:rFonts w:hint="eastAsia" w:asciiTheme="minorEastAsia" w:hAnsiTheme="minorEastAsia" w:eastAsiaTheme="minorEastAsia"/>
          <w:sz w:val="24"/>
          <w:szCs w:val="24"/>
          <w:lang w:eastAsia="zh-CN"/>
        </w:rPr>
        <w:t>技术</w:t>
      </w:r>
      <w:r>
        <w:rPr>
          <w:rFonts w:asciiTheme="minorEastAsia" w:hAnsiTheme="minorEastAsia" w:eastAsiaTheme="minorEastAsia"/>
          <w:sz w:val="24"/>
          <w:szCs w:val="24"/>
          <w:lang w:eastAsia="zh-CN"/>
        </w:rPr>
        <w:t>文件不一致处，须另外提供说明详细描述。</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技术说明（包含本工程难点分析及拟采取的相应措施）</w:t>
      </w:r>
      <w:bookmarkStart w:id="13" w:name="_Toc476640960"/>
    </w:p>
    <w:p>
      <w:pPr>
        <w:numPr>
          <w:ilvl w:val="2"/>
          <w:numId w:val="18"/>
        </w:numPr>
        <w:autoSpaceDE/>
        <w:autoSpaceDN/>
        <w:spacing w:line="360" w:lineRule="auto"/>
        <w:jc w:val="both"/>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清罐公司应仔细研究我司的设计文件和技术要求，并明确表示充分理解并接受这些设计文件和要求。</w:t>
      </w:r>
      <w:r>
        <w:rPr>
          <w:rFonts w:cs="Arial" w:asciiTheme="minorEastAsia" w:hAnsiTheme="minorEastAsia" w:eastAsiaTheme="minorEastAsia"/>
          <w:sz w:val="24"/>
          <w:szCs w:val="24"/>
          <w:lang w:eastAsia="zh-CN"/>
        </w:rPr>
        <w:t>对</w:t>
      </w:r>
      <w:r>
        <w:rPr>
          <w:rFonts w:hint="eastAsia" w:cs="Arial" w:asciiTheme="minorEastAsia" w:hAnsiTheme="minorEastAsia" w:eastAsiaTheme="minorEastAsia"/>
          <w:sz w:val="24"/>
          <w:szCs w:val="24"/>
          <w:lang w:eastAsia="zh-CN"/>
        </w:rPr>
        <w:t>我司</w:t>
      </w:r>
      <w:r>
        <w:rPr>
          <w:rFonts w:cs="Arial" w:asciiTheme="minorEastAsia" w:hAnsiTheme="minorEastAsia" w:eastAsiaTheme="minorEastAsia"/>
          <w:sz w:val="24"/>
          <w:szCs w:val="24"/>
          <w:lang w:eastAsia="zh-CN"/>
        </w:rPr>
        <w:t>的设计文件和其它技术要求的任何补充、修改或完善需详细描述，须另外提供说明详细描述。</w:t>
      </w:r>
    </w:p>
    <w:p>
      <w:pPr>
        <w:numPr>
          <w:ilvl w:val="2"/>
          <w:numId w:val="18"/>
        </w:numPr>
        <w:autoSpaceDE/>
        <w:autoSpaceDN/>
        <w:spacing w:line="360" w:lineRule="auto"/>
        <w:jc w:val="both"/>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清罐公司</w:t>
      </w:r>
      <w:r>
        <w:rPr>
          <w:rFonts w:cs="Arial" w:asciiTheme="minorEastAsia" w:hAnsiTheme="minorEastAsia" w:eastAsiaTheme="minorEastAsia"/>
          <w:sz w:val="24"/>
          <w:szCs w:val="24"/>
          <w:lang w:eastAsia="zh-CN"/>
        </w:rPr>
        <w:t>需认真分析本工程施工难点和重点，并结合自身以往的施工经验提出拟采取的相应措施。</w:t>
      </w:r>
    </w:p>
    <w:p>
      <w:pPr>
        <w:numPr>
          <w:ilvl w:val="2"/>
          <w:numId w:val="18"/>
        </w:numPr>
        <w:autoSpaceDE/>
        <w:autoSpaceDN/>
        <w:spacing w:line="360" w:lineRule="auto"/>
        <w:jc w:val="both"/>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清罐公司</w:t>
      </w:r>
      <w:r>
        <w:rPr>
          <w:rFonts w:cs="Arial" w:asciiTheme="minorEastAsia" w:hAnsiTheme="minorEastAsia" w:eastAsiaTheme="minorEastAsia"/>
          <w:sz w:val="24"/>
          <w:szCs w:val="24"/>
          <w:lang w:eastAsia="zh-CN"/>
        </w:rPr>
        <w:t>计划在本项目设置的项目管理机构、项目经理资质证明书、简历及其近几年的主要工作业绩，主要管理人员、工程技术人员安排情况及其简历、近几年主要工作业绩</w:t>
      </w:r>
      <w:r>
        <w:rPr>
          <w:rFonts w:hint="eastAsia" w:cs="Arial" w:asciiTheme="minorEastAsia" w:hAnsiTheme="minorEastAsia" w:eastAsiaTheme="minorEastAsia"/>
          <w:sz w:val="24"/>
          <w:szCs w:val="24"/>
          <w:lang w:eastAsia="zh-CN"/>
        </w:rPr>
        <w:t>。</w:t>
      </w:r>
    </w:p>
    <w:p>
      <w:pPr>
        <w:numPr>
          <w:ilvl w:val="2"/>
          <w:numId w:val="18"/>
        </w:numPr>
        <w:autoSpaceDE/>
        <w:autoSpaceDN/>
        <w:spacing w:line="360" w:lineRule="auto"/>
        <w:jc w:val="both"/>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清罐公司</w:t>
      </w:r>
      <w:r>
        <w:rPr>
          <w:rFonts w:cs="Arial" w:asciiTheme="minorEastAsia" w:hAnsiTheme="minorEastAsia" w:eastAsiaTheme="minorEastAsia"/>
          <w:sz w:val="24"/>
          <w:szCs w:val="24"/>
          <w:lang w:eastAsia="zh-CN"/>
        </w:rPr>
        <w:t>应根据本工程的特点，认真设置本项目的项目管理机构，并编制本项目的组织机构图，该图能清晰的反映该项目的组织机构和各部门间的上下级报告和交流关系,作相应的说明。</w:t>
      </w:r>
    </w:p>
    <w:p>
      <w:pPr>
        <w:numPr>
          <w:ilvl w:val="2"/>
          <w:numId w:val="18"/>
        </w:numPr>
        <w:autoSpaceDE/>
        <w:autoSpaceDN/>
        <w:spacing w:line="360" w:lineRule="auto"/>
        <w:jc w:val="both"/>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清罐公司</w:t>
      </w:r>
      <w:r>
        <w:rPr>
          <w:rFonts w:cs="Arial" w:asciiTheme="minorEastAsia" w:hAnsiTheme="minorEastAsia" w:eastAsiaTheme="minorEastAsia"/>
          <w:sz w:val="24"/>
          <w:szCs w:val="24"/>
          <w:lang w:eastAsia="zh-CN"/>
        </w:rPr>
        <w:t>应选派符合招标人资质要求的人员担任本项目的项目经理，在投标文件中应将该项目经理的资质证明书、简历及其近几年的主要工作业绩作为投标文件的组成部分。</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清罐公司</w:t>
      </w:r>
      <w:r>
        <w:rPr>
          <w:rFonts w:asciiTheme="minorEastAsia" w:hAnsiTheme="minorEastAsia" w:eastAsiaTheme="minorEastAsia"/>
          <w:sz w:val="24"/>
          <w:szCs w:val="24"/>
          <w:lang w:eastAsia="zh-CN"/>
        </w:rPr>
        <w:t>应选派符合资质要求的人员担任本项目的主要项目管理人员，这些人员包括：质量负责人、SHE负责人、技术负责人、文档资料管理员；在投标文件中应将这些主要的项目管理人员的资质证明书、简历及其近几年的主要工作业绩作为投标文件的组成部分。</w:t>
      </w:r>
    </w:p>
    <w:p>
      <w:pPr>
        <w:numPr>
          <w:ilvl w:val="1"/>
          <w:numId w:val="18"/>
        </w:numPr>
        <w:autoSpaceDE/>
        <w:autoSpaceDN/>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项目执行</w:t>
      </w:r>
    </w:p>
    <w:p>
      <w:pPr>
        <w:numPr>
          <w:ilvl w:val="2"/>
          <w:numId w:val="18"/>
        </w:numPr>
        <w:autoSpaceDE/>
        <w:autoSpaceDN/>
        <w:spacing w:line="360" w:lineRule="auto"/>
        <w:jc w:val="both"/>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施工组织设计及检测技术方案；</w:t>
      </w:r>
    </w:p>
    <w:p>
      <w:pPr>
        <w:numPr>
          <w:ilvl w:val="2"/>
          <w:numId w:val="18"/>
        </w:numPr>
        <w:autoSpaceDE/>
        <w:autoSpaceDN/>
        <w:spacing w:line="360" w:lineRule="auto"/>
        <w:jc w:val="both"/>
        <w:rPr>
          <w:rFonts w:cs="Arial" w:asciiTheme="minorEastAsia" w:hAnsiTheme="minorEastAsia" w:eastAsiaTheme="minorEastAsia"/>
          <w:sz w:val="24"/>
          <w:szCs w:val="24"/>
        </w:rPr>
      </w:pPr>
      <w:r>
        <w:rPr>
          <w:rFonts w:cs="Arial" w:asciiTheme="minorEastAsia" w:hAnsiTheme="minorEastAsia" w:eastAsiaTheme="minorEastAsia"/>
          <w:sz w:val="24"/>
          <w:szCs w:val="24"/>
        </w:rPr>
        <w:t>质量保证；</w:t>
      </w:r>
    </w:p>
    <w:p>
      <w:pPr>
        <w:spacing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清罐公司</w:t>
      </w:r>
      <w:r>
        <w:rPr>
          <w:rFonts w:cs="Arial" w:asciiTheme="minorEastAsia" w:hAnsiTheme="minorEastAsia" w:eastAsiaTheme="minorEastAsia"/>
          <w:sz w:val="24"/>
          <w:szCs w:val="24"/>
        </w:rPr>
        <w:t>应提供：</w:t>
      </w:r>
    </w:p>
    <w:p>
      <w:pPr>
        <w:pStyle w:val="47"/>
        <w:numPr>
          <w:ilvl w:val="0"/>
          <w:numId w:val="20"/>
        </w:numPr>
        <w:autoSpaceDE/>
        <w:autoSpaceDN/>
        <w:spacing w:before="0" w:line="360" w:lineRule="auto"/>
        <w:jc w:val="both"/>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质量管理体系认证证书及近三年的监督/复评审核报告（复印件）</w:t>
      </w:r>
    </w:p>
    <w:p>
      <w:pPr>
        <w:pStyle w:val="47"/>
        <w:numPr>
          <w:ilvl w:val="0"/>
          <w:numId w:val="20"/>
        </w:numPr>
        <w:autoSpaceDE/>
        <w:autoSpaceDN/>
        <w:spacing w:before="0" w:line="360" w:lineRule="auto"/>
        <w:jc w:val="both"/>
        <w:rPr>
          <w:rFonts w:cs="Arial" w:asciiTheme="minorEastAsia" w:hAnsiTheme="minorEastAsia" w:eastAsiaTheme="minorEastAsia"/>
          <w:sz w:val="24"/>
          <w:szCs w:val="24"/>
        </w:rPr>
      </w:pPr>
      <w:r>
        <w:rPr>
          <w:rFonts w:cs="Arial" w:asciiTheme="minorEastAsia" w:hAnsiTheme="minorEastAsia" w:eastAsiaTheme="minorEastAsia"/>
          <w:sz w:val="24"/>
          <w:szCs w:val="24"/>
        </w:rPr>
        <w:t>质量方针和质量目标</w:t>
      </w:r>
    </w:p>
    <w:p>
      <w:pPr>
        <w:pStyle w:val="47"/>
        <w:numPr>
          <w:ilvl w:val="0"/>
          <w:numId w:val="20"/>
        </w:numPr>
        <w:autoSpaceDE/>
        <w:autoSpaceDN/>
        <w:spacing w:before="0" w:line="360" w:lineRule="auto"/>
        <w:jc w:val="both"/>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质量保证组织机构和职责</w:t>
      </w:r>
    </w:p>
    <w:p>
      <w:pPr>
        <w:pStyle w:val="47"/>
        <w:numPr>
          <w:ilvl w:val="0"/>
          <w:numId w:val="20"/>
        </w:numPr>
        <w:autoSpaceDE/>
        <w:autoSpaceDN/>
        <w:spacing w:before="0" w:line="360" w:lineRule="auto"/>
        <w:jc w:val="both"/>
        <w:rPr>
          <w:rFonts w:cs="Arial" w:asciiTheme="minorEastAsia" w:hAnsiTheme="minorEastAsia" w:eastAsiaTheme="minorEastAsia"/>
          <w:sz w:val="24"/>
          <w:szCs w:val="24"/>
        </w:rPr>
      </w:pPr>
      <w:r>
        <w:rPr>
          <w:rFonts w:cs="Arial" w:asciiTheme="minorEastAsia" w:hAnsiTheme="minorEastAsia" w:eastAsiaTheme="minorEastAsia"/>
          <w:sz w:val="24"/>
          <w:szCs w:val="24"/>
        </w:rPr>
        <w:t>质量手册和程序文件</w:t>
      </w:r>
    </w:p>
    <w:p>
      <w:pPr>
        <w:pStyle w:val="47"/>
        <w:numPr>
          <w:ilvl w:val="0"/>
          <w:numId w:val="20"/>
        </w:numPr>
        <w:autoSpaceDE/>
        <w:autoSpaceDN/>
        <w:spacing w:before="0" w:line="360" w:lineRule="auto"/>
        <w:jc w:val="both"/>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过去的项目质量管理执行记录清单</w:t>
      </w:r>
    </w:p>
    <w:p>
      <w:pPr>
        <w:spacing w:line="360" w:lineRule="auto"/>
        <w:rPr>
          <w:rFonts w:cs="Arial" w:asciiTheme="minorEastAsia" w:hAnsiTheme="minorEastAsia" w:eastAsiaTheme="minorEastAsia"/>
          <w:sz w:val="24"/>
          <w:szCs w:val="24"/>
        </w:rPr>
      </w:pPr>
      <w:r>
        <w:rPr>
          <w:rFonts w:cs="Arial" w:asciiTheme="minorEastAsia" w:hAnsiTheme="minorEastAsia" w:eastAsiaTheme="minorEastAsia"/>
          <w:sz w:val="24"/>
          <w:szCs w:val="24"/>
        </w:rPr>
        <w:t>还应说明：</w:t>
      </w:r>
    </w:p>
    <w:p>
      <w:pPr>
        <w:pStyle w:val="47"/>
        <w:numPr>
          <w:ilvl w:val="0"/>
          <w:numId w:val="20"/>
        </w:numPr>
        <w:autoSpaceDE/>
        <w:autoSpaceDN/>
        <w:spacing w:before="0" w:line="360" w:lineRule="auto"/>
        <w:jc w:val="both"/>
        <w:rPr>
          <w:rFonts w:cs="Arial" w:asciiTheme="minorEastAsia" w:hAnsiTheme="minorEastAsia" w:eastAsiaTheme="minorEastAsia"/>
          <w:sz w:val="24"/>
          <w:szCs w:val="24"/>
        </w:rPr>
      </w:pPr>
      <w:r>
        <w:rPr>
          <w:rFonts w:cs="Arial" w:asciiTheme="minorEastAsia" w:hAnsiTheme="minorEastAsia" w:eastAsiaTheme="minorEastAsia"/>
          <w:sz w:val="24"/>
          <w:szCs w:val="24"/>
        </w:rPr>
        <w:t>本项目的质量计划</w:t>
      </w:r>
    </w:p>
    <w:p>
      <w:pPr>
        <w:pStyle w:val="47"/>
        <w:numPr>
          <w:ilvl w:val="0"/>
          <w:numId w:val="20"/>
        </w:numPr>
        <w:autoSpaceDE/>
        <w:autoSpaceDN/>
        <w:spacing w:before="0" w:line="360" w:lineRule="auto"/>
        <w:jc w:val="both"/>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在本项目中如何使用其质量管理体系</w:t>
      </w:r>
    </w:p>
    <w:p>
      <w:pPr>
        <w:pStyle w:val="47"/>
        <w:numPr>
          <w:ilvl w:val="0"/>
          <w:numId w:val="20"/>
        </w:numPr>
        <w:autoSpaceDE/>
        <w:autoSpaceDN/>
        <w:spacing w:before="0" w:line="360" w:lineRule="auto"/>
        <w:jc w:val="both"/>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任何使质量管理覆盖所有有关应用方面</w:t>
      </w:r>
    </w:p>
    <w:p>
      <w:pPr>
        <w:pStyle w:val="47"/>
        <w:numPr>
          <w:ilvl w:val="0"/>
          <w:numId w:val="20"/>
        </w:numPr>
        <w:autoSpaceDE/>
        <w:autoSpaceDN/>
        <w:spacing w:before="0" w:line="360" w:lineRule="auto"/>
        <w:jc w:val="both"/>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在施工阶段对相关过程或作业的质量控制方法</w:t>
      </w:r>
    </w:p>
    <w:p>
      <w:pPr>
        <w:numPr>
          <w:ilvl w:val="2"/>
          <w:numId w:val="18"/>
        </w:numPr>
        <w:autoSpaceDE/>
        <w:autoSpaceDN/>
        <w:spacing w:line="360" w:lineRule="auto"/>
        <w:jc w:val="both"/>
        <w:rPr>
          <w:rFonts w:cs="Arial" w:asciiTheme="minorEastAsia" w:hAnsiTheme="minorEastAsia" w:eastAsiaTheme="minorEastAsia"/>
          <w:sz w:val="24"/>
          <w:szCs w:val="24"/>
        </w:rPr>
      </w:pPr>
      <w:r>
        <w:rPr>
          <w:rFonts w:cs="Arial" w:asciiTheme="minorEastAsia" w:hAnsiTheme="minorEastAsia" w:eastAsiaTheme="minorEastAsia"/>
          <w:sz w:val="24"/>
          <w:szCs w:val="24"/>
        </w:rPr>
        <w:t>QHSE管理</w:t>
      </w:r>
    </w:p>
    <w:p>
      <w:pPr>
        <w:spacing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清罐公司</w:t>
      </w:r>
      <w:r>
        <w:rPr>
          <w:rFonts w:cs="Arial" w:asciiTheme="minorEastAsia" w:hAnsiTheme="minorEastAsia" w:eastAsiaTheme="minorEastAsia"/>
          <w:sz w:val="24"/>
          <w:szCs w:val="24"/>
        </w:rPr>
        <w:t>应说明：</w:t>
      </w:r>
    </w:p>
    <w:p>
      <w:pPr>
        <w:tabs>
          <w:tab w:val="left" w:pos="2401"/>
        </w:tabs>
        <w:spacing w:line="360" w:lineRule="auto"/>
        <w:rPr>
          <w:rFonts w:cs="Arial" w:asciiTheme="minorEastAsia" w:hAnsiTheme="minorEastAsia" w:eastAsiaTheme="minorEastAsia"/>
          <w:sz w:val="24"/>
          <w:szCs w:val="24"/>
        </w:rPr>
      </w:pPr>
      <w:r>
        <w:rPr>
          <w:rFonts w:cs="Arial" w:asciiTheme="minorEastAsia" w:hAnsiTheme="minorEastAsia" w:eastAsiaTheme="minorEastAsia"/>
          <w:sz w:val="24"/>
          <w:szCs w:val="24"/>
        </w:rPr>
        <w:t>QHSE方针和目标</w:t>
      </w:r>
    </w:p>
    <w:p>
      <w:pPr>
        <w:tabs>
          <w:tab w:val="left" w:pos="2401"/>
        </w:tabs>
        <w:spacing w:line="360" w:lineRule="auto"/>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QHSE机构、职责及资源配置</w:t>
      </w:r>
    </w:p>
    <w:p>
      <w:pPr>
        <w:tabs>
          <w:tab w:val="left" w:pos="2401"/>
        </w:tabs>
        <w:spacing w:line="360" w:lineRule="auto"/>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危害识别和风险评估及其控制方法</w:t>
      </w:r>
    </w:p>
    <w:p>
      <w:pPr>
        <w:tabs>
          <w:tab w:val="left" w:pos="2401"/>
        </w:tabs>
        <w:spacing w:line="360" w:lineRule="auto"/>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过去三年的QHSE 业绩（包括过去三年中发生的工伤人数、经济损失在一万元以上的QHSE事故次数、相关QHSE法律法规符合状况）</w:t>
      </w:r>
    </w:p>
    <w:p>
      <w:pPr>
        <w:tabs>
          <w:tab w:val="left" w:pos="2401"/>
        </w:tabs>
        <w:spacing w:line="360" w:lineRule="auto"/>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个人防护用品使用计划</w:t>
      </w:r>
    </w:p>
    <w:p>
      <w:pPr>
        <w:tabs>
          <w:tab w:val="left" w:pos="2401"/>
        </w:tabs>
        <w:spacing w:line="360" w:lineRule="auto"/>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QHSE培训计划</w:t>
      </w:r>
    </w:p>
    <w:p>
      <w:pPr>
        <w:tabs>
          <w:tab w:val="left" w:pos="2401"/>
        </w:tabs>
        <w:spacing w:line="360" w:lineRule="auto"/>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QHSE规章制度和操作规程</w:t>
      </w:r>
    </w:p>
    <w:p>
      <w:pPr>
        <w:tabs>
          <w:tab w:val="left" w:pos="2401"/>
        </w:tabs>
        <w:spacing w:line="360" w:lineRule="auto"/>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QHSE检查监督程序</w:t>
      </w:r>
    </w:p>
    <w:p>
      <w:pPr>
        <w:tabs>
          <w:tab w:val="left" w:pos="2401"/>
        </w:tabs>
        <w:spacing w:line="360" w:lineRule="auto"/>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事故事件报告、调查和处理管理规定</w:t>
      </w:r>
    </w:p>
    <w:p>
      <w:pPr>
        <w:tabs>
          <w:tab w:val="left" w:pos="2401"/>
        </w:tabs>
        <w:spacing w:line="360" w:lineRule="auto"/>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近三年QHSE管理体系认证证书及近两年的复评审核报告（如果有）</w:t>
      </w:r>
    </w:p>
    <w:p>
      <w:pPr>
        <w:numPr>
          <w:ilvl w:val="2"/>
          <w:numId w:val="18"/>
        </w:numPr>
        <w:autoSpaceDE/>
        <w:autoSpaceDN/>
        <w:spacing w:line="360" w:lineRule="auto"/>
        <w:jc w:val="both"/>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与计划相适应的劳动力及主要检测机具配备</w:t>
      </w:r>
    </w:p>
    <w:p>
      <w:pPr>
        <w:tabs>
          <w:tab w:val="left" w:pos="2401"/>
        </w:tabs>
        <w:spacing w:line="360" w:lineRule="auto"/>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清罐公司</w:t>
      </w:r>
      <w:r>
        <w:rPr>
          <w:rFonts w:cs="Arial" w:asciiTheme="minorEastAsia" w:hAnsiTheme="minorEastAsia" w:eastAsiaTheme="minorEastAsia"/>
          <w:sz w:val="24"/>
          <w:szCs w:val="24"/>
          <w:lang w:eastAsia="zh-CN"/>
        </w:rPr>
        <w:t>应提供：</w:t>
      </w:r>
    </w:p>
    <w:p>
      <w:pPr>
        <w:tabs>
          <w:tab w:val="left" w:pos="2401"/>
        </w:tabs>
        <w:spacing w:line="360" w:lineRule="auto"/>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本项目的劳动力安排计划表</w:t>
      </w:r>
    </w:p>
    <w:p>
      <w:pPr>
        <w:tabs>
          <w:tab w:val="left" w:pos="2401"/>
        </w:tabs>
        <w:spacing w:line="360" w:lineRule="auto"/>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本项目拟投入的主要检测机具设备表</w:t>
      </w:r>
    </w:p>
    <w:p>
      <w:pPr>
        <w:numPr>
          <w:ilvl w:val="2"/>
          <w:numId w:val="18"/>
        </w:numPr>
        <w:autoSpaceDE/>
        <w:autoSpaceDN/>
        <w:spacing w:line="360" w:lineRule="auto"/>
        <w:jc w:val="both"/>
        <w:rPr>
          <w:rFonts w:cs="Arial" w:asciiTheme="minorEastAsia" w:hAnsiTheme="minorEastAsia" w:eastAsiaTheme="minorEastAsia"/>
          <w:sz w:val="24"/>
          <w:szCs w:val="24"/>
        </w:rPr>
      </w:pPr>
      <w:r>
        <w:rPr>
          <w:rFonts w:cs="Arial" w:asciiTheme="minorEastAsia" w:hAnsiTheme="minorEastAsia" w:eastAsiaTheme="minorEastAsia"/>
          <w:sz w:val="24"/>
          <w:szCs w:val="24"/>
        </w:rPr>
        <w:t>施工平面图</w:t>
      </w:r>
    </w:p>
    <w:p>
      <w:pPr>
        <w:tabs>
          <w:tab w:val="left" w:pos="2401"/>
        </w:tabs>
        <w:spacing w:line="360" w:lineRule="auto"/>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清罐公司</w:t>
      </w:r>
      <w:r>
        <w:rPr>
          <w:rFonts w:cs="Arial" w:asciiTheme="minorEastAsia" w:hAnsiTheme="minorEastAsia" w:eastAsiaTheme="minorEastAsia"/>
          <w:sz w:val="24"/>
          <w:szCs w:val="24"/>
          <w:lang w:eastAsia="zh-CN"/>
        </w:rPr>
        <w:t>应根据现场实际情况提供一份施工平面图。</w:t>
      </w:r>
    </w:p>
    <w:p>
      <w:pPr>
        <w:numPr>
          <w:ilvl w:val="2"/>
          <w:numId w:val="18"/>
        </w:numPr>
        <w:autoSpaceDE/>
        <w:autoSpaceDN/>
        <w:spacing w:line="360" w:lineRule="auto"/>
        <w:jc w:val="both"/>
        <w:rPr>
          <w:rFonts w:cs="Arial" w:asciiTheme="minorEastAsia" w:hAnsiTheme="minorEastAsia" w:eastAsiaTheme="minorEastAsia"/>
          <w:sz w:val="24"/>
          <w:szCs w:val="24"/>
        </w:rPr>
      </w:pPr>
      <w:r>
        <w:rPr>
          <w:rFonts w:cs="Arial" w:asciiTheme="minorEastAsia" w:hAnsiTheme="minorEastAsia" w:eastAsiaTheme="minorEastAsia"/>
          <w:sz w:val="24"/>
          <w:szCs w:val="24"/>
        </w:rPr>
        <w:t>风雨季主要施工措施</w:t>
      </w:r>
    </w:p>
    <w:p>
      <w:pPr>
        <w:tabs>
          <w:tab w:val="left" w:pos="2401"/>
        </w:tabs>
        <w:spacing w:line="360" w:lineRule="auto"/>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清罐公司</w:t>
      </w:r>
      <w:r>
        <w:rPr>
          <w:rFonts w:cs="Arial" w:asciiTheme="minorEastAsia" w:hAnsiTheme="minorEastAsia" w:eastAsiaTheme="minorEastAsia"/>
          <w:sz w:val="24"/>
          <w:szCs w:val="24"/>
          <w:lang w:eastAsia="zh-CN"/>
        </w:rPr>
        <w:t>应着重说明现场风雨季施工期间的特殊安排和方案。</w:t>
      </w:r>
    </w:p>
    <w:p>
      <w:pPr>
        <w:numPr>
          <w:ilvl w:val="1"/>
          <w:numId w:val="18"/>
        </w:numPr>
        <w:autoSpaceDE/>
        <w:autoSpaceDN/>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施工进度计划安排</w:t>
      </w:r>
    </w:p>
    <w:p>
      <w:pPr>
        <w:spacing w:line="360" w:lineRule="auto"/>
        <w:ind w:left="567"/>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清罐公司</w:t>
      </w:r>
      <w:r>
        <w:rPr>
          <w:rFonts w:asciiTheme="minorEastAsia" w:hAnsiTheme="minorEastAsia" w:eastAsiaTheme="minorEastAsia"/>
          <w:sz w:val="24"/>
          <w:szCs w:val="24"/>
          <w:lang w:eastAsia="zh-CN"/>
        </w:rPr>
        <w:t>应按照</w:t>
      </w:r>
      <w:r>
        <w:rPr>
          <w:rFonts w:hint="eastAsia" w:asciiTheme="minorEastAsia" w:hAnsiTheme="minorEastAsia" w:eastAsiaTheme="minorEastAsia"/>
          <w:sz w:val="24"/>
          <w:szCs w:val="24"/>
          <w:lang w:eastAsia="zh-CN"/>
        </w:rPr>
        <w:t>我司</w:t>
      </w:r>
      <w:r>
        <w:rPr>
          <w:rFonts w:asciiTheme="minorEastAsia" w:hAnsiTheme="minorEastAsia" w:eastAsiaTheme="minorEastAsia"/>
          <w:sz w:val="24"/>
          <w:szCs w:val="24"/>
          <w:lang w:eastAsia="zh-CN"/>
        </w:rPr>
        <w:t>的工期要求和所提供的工程建设进度计划及主要里程碑控制的要求，编制施工进度计划，并指出进度计划中的关键路线，同时要分析延误的风险，以及风险出现后的预案。</w:t>
      </w:r>
    </w:p>
    <w:p>
      <w:pPr>
        <w:numPr>
          <w:ilvl w:val="1"/>
          <w:numId w:val="18"/>
        </w:numPr>
        <w:autoSpaceDE/>
        <w:autoSpaceDN/>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施工分包</w:t>
      </w:r>
    </w:p>
    <w:p>
      <w:pPr>
        <w:spacing w:line="360" w:lineRule="auto"/>
        <w:ind w:left="567"/>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本工程不允许分包、转包。</w:t>
      </w:r>
    </w:p>
    <w:p>
      <w:pPr>
        <w:numPr>
          <w:ilvl w:val="1"/>
          <w:numId w:val="18"/>
        </w:numPr>
        <w:autoSpaceDE/>
        <w:autoSpaceDN/>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法人代表证书或法人代表委托授权书</w:t>
      </w:r>
    </w:p>
    <w:p>
      <w:pPr>
        <w:spacing w:line="360" w:lineRule="auto"/>
        <w:ind w:left="567"/>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清罐公司</w:t>
      </w:r>
      <w:r>
        <w:rPr>
          <w:rFonts w:asciiTheme="minorEastAsia" w:hAnsiTheme="minorEastAsia" w:eastAsiaTheme="minorEastAsia"/>
          <w:sz w:val="24"/>
          <w:szCs w:val="24"/>
          <w:lang w:eastAsia="zh-CN"/>
        </w:rPr>
        <w:t>应提供法人代表证书或法人代表委托授权书。</w:t>
      </w:r>
    </w:p>
    <w:p>
      <w:pPr>
        <w:numPr>
          <w:ilvl w:val="1"/>
          <w:numId w:val="18"/>
        </w:numPr>
        <w:autoSpaceDE/>
        <w:autoSpaceDN/>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一致性声明</w:t>
      </w:r>
    </w:p>
    <w:p>
      <w:pPr>
        <w:spacing w:line="360" w:lineRule="auto"/>
        <w:ind w:left="567"/>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清罐公司</w:t>
      </w:r>
      <w:r>
        <w:rPr>
          <w:rFonts w:asciiTheme="minorEastAsia" w:hAnsiTheme="minorEastAsia" w:eastAsiaTheme="minorEastAsia"/>
          <w:sz w:val="24"/>
          <w:szCs w:val="24"/>
          <w:lang w:eastAsia="zh-CN"/>
        </w:rPr>
        <w:t>应在商务标书中附上一份一致性声明，明确其报价与招标文件的一致性。</w:t>
      </w:r>
    </w:p>
    <w:p>
      <w:pPr>
        <w:numPr>
          <w:ilvl w:val="1"/>
          <w:numId w:val="18"/>
        </w:numPr>
        <w:autoSpaceDE/>
        <w:autoSpaceDN/>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企业营业执照、资质证书、安全生产许可证、税务登记证、企业代码证、质量体系认证证书、QHSE体系认证证书等。</w:t>
      </w:r>
    </w:p>
    <w:p>
      <w:pPr>
        <w:spacing w:line="360" w:lineRule="auto"/>
        <w:ind w:left="567"/>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清罐公司</w:t>
      </w:r>
      <w:r>
        <w:rPr>
          <w:rFonts w:asciiTheme="minorEastAsia" w:hAnsiTheme="minorEastAsia" w:eastAsiaTheme="minorEastAsia"/>
          <w:sz w:val="24"/>
          <w:szCs w:val="24"/>
          <w:lang w:eastAsia="zh-CN"/>
        </w:rPr>
        <w:t>应提供上述文件的复印件或电子扫描件。</w:t>
      </w:r>
    </w:p>
    <w:p>
      <w:pPr>
        <w:numPr>
          <w:ilvl w:val="1"/>
          <w:numId w:val="18"/>
        </w:numPr>
        <w:autoSpaceDE/>
        <w:autoSpaceDN/>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三年内</w:t>
      </w:r>
      <w:r>
        <w:rPr>
          <w:rFonts w:hint="eastAsia" w:asciiTheme="minorEastAsia" w:hAnsiTheme="minorEastAsia" w:eastAsiaTheme="minorEastAsia"/>
          <w:sz w:val="24"/>
          <w:szCs w:val="24"/>
          <w:lang w:eastAsia="zh-CN"/>
        </w:rPr>
        <w:t>清罐公司</w:t>
      </w:r>
      <w:r>
        <w:rPr>
          <w:rFonts w:asciiTheme="minorEastAsia" w:hAnsiTheme="minorEastAsia" w:eastAsiaTheme="minorEastAsia"/>
          <w:sz w:val="24"/>
          <w:szCs w:val="24"/>
          <w:lang w:eastAsia="zh-CN"/>
        </w:rPr>
        <w:t>获得的国家或省、市（不含县级市）颁发的信誉、质量、安全管理等方面的荣誉证书和“重合同守信用”证书。</w:t>
      </w:r>
    </w:p>
    <w:p>
      <w:pPr>
        <w:spacing w:line="360" w:lineRule="auto"/>
        <w:ind w:left="567"/>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清罐公司</w:t>
      </w:r>
      <w:r>
        <w:rPr>
          <w:rFonts w:asciiTheme="minorEastAsia" w:hAnsiTheme="minorEastAsia" w:eastAsiaTheme="minorEastAsia"/>
          <w:sz w:val="24"/>
          <w:szCs w:val="24"/>
          <w:lang w:eastAsia="zh-CN"/>
        </w:rPr>
        <w:t>应提供上述文件的复印件或电子扫描件。</w:t>
      </w:r>
    </w:p>
    <w:p>
      <w:pPr>
        <w:numPr>
          <w:ilvl w:val="1"/>
          <w:numId w:val="18"/>
        </w:numPr>
        <w:autoSpaceDE/>
        <w:autoSpaceDN/>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三年内</w:t>
      </w:r>
      <w:r>
        <w:rPr>
          <w:rFonts w:hint="eastAsia" w:asciiTheme="minorEastAsia" w:hAnsiTheme="minorEastAsia" w:eastAsiaTheme="minorEastAsia"/>
          <w:sz w:val="24"/>
          <w:szCs w:val="24"/>
          <w:lang w:eastAsia="zh-CN"/>
        </w:rPr>
        <w:t>清罐公司</w:t>
      </w:r>
      <w:r>
        <w:rPr>
          <w:rFonts w:asciiTheme="minorEastAsia" w:hAnsiTheme="minorEastAsia" w:eastAsiaTheme="minorEastAsia"/>
          <w:sz w:val="24"/>
          <w:szCs w:val="24"/>
          <w:lang w:eastAsia="zh-CN"/>
        </w:rPr>
        <w:t>所完成的类似工程项目和业主（用户）的评价意见</w:t>
      </w:r>
      <w:r>
        <w:rPr>
          <w:rFonts w:hint="eastAsia" w:asciiTheme="minorEastAsia" w:hAnsiTheme="minorEastAsia" w:eastAsiaTheme="minorEastAsia"/>
          <w:sz w:val="24"/>
          <w:szCs w:val="24"/>
          <w:lang w:eastAsia="zh-CN"/>
        </w:rPr>
        <w:t>。</w:t>
      </w:r>
    </w:p>
    <w:p>
      <w:pPr>
        <w:spacing w:line="360" w:lineRule="auto"/>
        <w:ind w:left="567"/>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清罐公司</w:t>
      </w:r>
      <w:r>
        <w:rPr>
          <w:rFonts w:asciiTheme="minorEastAsia" w:hAnsiTheme="minorEastAsia" w:eastAsiaTheme="minorEastAsia"/>
          <w:sz w:val="24"/>
          <w:szCs w:val="24"/>
          <w:lang w:eastAsia="zh-CN"/>
        </w:rPr>
        <w:t>应提供上述文件的复印件或电子扫描件。</w:t>
      </w:r>
    </w:p>
    <w:p>
      <w:pPr>
        <w:numPr>
          <w:ilvl w:val="1"/>
          <w:numId w:val="18"/>
        </w:numPr>
        <w:autoSpaceDE/>
        <w:autoSpaceDN/>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近期</w:t>
      </w:r>
      <w:r>
        <w:rPr>
          <w:rFonts w:hint="eastAsia" w:asciiTheme="minorEastAsia" w:hAnsiTheme="minorEastAsia" w:eastAsiaTheme="minorEastAsia"/>
          <w:sz w:val="24"/>
          <w:szCs w:val="24"/>
          <w:lang w:eastAsia="zh-CN"/>
        </w:rPr>
        <w:t>清罐公司</w:t>
      </w:r>
      <w:r>
        <w:rPr>
          <w:rFonts w:asciiTheme="minorEastAsia" w:hAnsiTheme="minorEastAsia" w:eastAsiaTheme="minorEastAsia"/>
          <w:sz w:val="24"/>
          <w:szCs w:val="24"/>
          <w:lang w:eastAsia="zh-CN"/>
        </w:rPr>
        <w:t>正在施工的工程项目及管理、施工人员计划安排</w:t>
      </w:r>
      <w:r>
        <w:rPr>
          <w:rFonts w:hint="eastAsia" w:asciiTheme="minorEastAsia" w:hAnsiTheme="minorEastAsia" w:eastAsiaTheme="minorEastAsia"/>
          <w:sz w:val="24"/>
          <w:szCs w:val="24"/>
          <w:lang w:eastAsia="zh-CN"/>
        </w:rPr>
        <w:t>。</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清罐公司</w:t>
      </w:r>
      <w:r>
        <w:rPr>
          <w:rFonts w:asciiTheme="minorEastAsia" w:hAnsiTheme="minorEastAsia" w:eastAsiaTheme="minorEastAsia"/>
          <w:sz w:val="24"/>
          <w:szCs w:val="24"/>
          <w:lang w:eastAsia="zh-CN"/>
        </w:rPr>
        <w:t>应说明在近期已承担或拟承担施工任务的工程项目名称和所在地，并列出拟安排的主要施工管理和技术人员名单，以说明承担本项目的主要项目管理人员的工作安排不与未来项目相冲突，以确保本项目的人力资源符合</w:t>
      </w:r>
      <w:r>
        <w:rPr>
          <w:rFonts w:hint="eastAsia" w:asciiTheme="minorEastAsia" w:hAnsiTheme="minorEastAsia" w:eastAsiaTheme="minorEastAsia"/>
          <w:sz w:val="24"/>
          <w:szCs w:val="24"/>
          <w:lang w:eastAsia="zh-CN"/>
        </w:rPr>
        <w:t>我司</w:t>
      </w:r>
      <w:r>
        <w:rPr>
          <w:rFonts w:asciiTheme="minorEastAsia" w:hAnsiTheme="minorEastAsia" w:eastAsiaTheme="minorEastAsia"/>
          <w:sz w:val="24"/>
          <w:szCs w:val="24"/>
          <w:lang w:eastAsia="zh-CN"/>
        </w:rPr>
        <w:t>的相关要求。</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清罐公司</w:t>
      </w:r>
      <w:r>
        <w:rPr>
          <w:rFonts w:asciiTheme="minorEastAsia" w:hAnsiTheme="minorEastAsia" w:eastAsiaTheme="minorEastAsia"/>
          <w:sz w:val="24"/>
          <w:szCs w:val="24"/>
          <w:lang w:eastAsia="zh-CN"/>
        </w:rPr>
        <w:t>需要说明的其它问题</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清罐公司</w:t>
      </w:r>
      <w:r>
        <w:rPr>
          <w:rFonts w:asciiTheme="minorEastAsia" w:hAnsiTheme="minorEastAsia" w:eastAsiaTheme="minorEastAsia"/>
          <w:sz w:val="24"/>
          <w:szCs w:val="24"/>
          <w:lang w:eastAsia="zh-CN"/>
        </w:rPr>
        <w:t>应充分满足</w:t>
      </w:r>
      <w:r>
        <w:rPr>
          <w:rFonts w:hint="eastAsia" w:asciiTheme="minorEastAsia" w:hAnsiTheme="minorEastAsia" w:eastAsiaTheme="minorEastAsia"/>
          <w:sz w:val="24"/>
          <w:szCs w:val="24"/>
          <w:lang w:eastAsia="zh-CN"/>
        </w:rPr>
        <w:t>技术</w:t>
      </w:r>
      <w:r>
        <w:rPr>
          <w:rFonts w:asciiTheme="minorEastAsia" w:hAnsiTheme="minorEastAsia" w:eastAsiaTheme="minorEastAsia"/>
          <w:sz w:val="24"/>
          <w:szCs w:val="24"/>
          <w:lang w:eastAsia="zh-CN"/>
        </w:rPr>
        <w:t>文件的要求，但是，如果</w:t>
      </w:r>
      <w:r>
        <w:rPr>
          <w:rFonts w:hint="eastAsia" w:asciiTheme="minorEastAsia" w:hAnsiTheme="minorEastAsia" w:eastAsiaTheme="minorEastAsia"/>
          <w:sz w:val="24"/>
          <w:szCs w:val="24"/>
          <w:lang w:eastAsia="zh-CN"/>
        </w:rPr>
        <w:t>清罐公司</w:t>
      </w:r>
      <w:r>
        <w:rPr>
          <w:rFonts w:asciiTheme="minorEastAsia" w:hAnsiTheme="minorEastAsia" w:eastAsiaTheme="minorEastAsia"/>
          <w:sz w:val="24"/>
          <w:szCs w:val="24"/>
          <w:lang w:eastAsia="zh-CN"/>
        </w:rPr>
        <w:t>有可优化进度和费用的备选方案和其它建议，</w:t>
      </w:r>
      <w:r>
        <w:rPr>
          <w:rFonts w:hint="eastAsia" w:asciiTheme="minorEastAsia" w:hAnsiTheme="minorEastAsia" w:eastAsiaTheme="minorEastAsia"/>
          <w:sz w:val="24"/>
          <w:szCs w:val="24"/>
          <w:lang w:eastAsia="zh-CN"/>
        </w:rPr>
        <w:t>清罐公司</w:t>
      </w:r>
      <w:r>
        <w:rPr>
          <w:rFonts w:asciiTheme="minorEastAsia" w:hAnsiTheme="minorEastAsia" w:eastAsiaTheme="minorEastAsia"/>
          <w:sz w:val="24"/>
          <w:szCs w:val="24"/>
          <w:lang w:eastAsia="zh-CN"/>
        </w:rPr>
        <w:t>可在其技术标书中予以详细描述。</w:t>
      </w:r>
    </w:p>
    <w:p>
      <w:pPr>
        <w:numPr>
          <w:ilvl w:val="1"/>
          <w:numId w:val="18"/>
        </w:numPr>
        <w:autoSpaceDE/>
        <w:autoSpaceDN/>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各种承诺（如进度保证、人员到位率、质量控制、职业操守、保密等）</w:t>
      </w:r>
      <w:r>
        <w:rPr>
          <w:rFonts w:hint="eastAsia" w:asciiTheme="minorEastAsia" w:hAnsiTheme="minorEastAsia" w:eastAsiaTheme="minorEastAsia"/>
          <w:sz w:val="24"/>
          <w:szCs w:val="24"/>
          <w:lang w:eastAsia="zh-CN"/>
        </w:rPr>
        <w:t>。</w:t>
      </w:r>
    </w:p>
    <w:p>
      <w:pPr>
        <w:pStyle w:val="3"/>
        <w:keepNext/>
        <w:keepLines/>
        <w:numPr>
          <w:ilvl w:val="0"/>
          <w:numId w:val="18"/>
        </w:numPr>
        <w:autoSpaceDE/>
        <w:autoSpaceDN/>
        <w:spacing w:line="360" w:lineRule="auto"/>
        <w:jc w:val="both"/>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交付清罐的条件</w:t>
      </w:r>
      <w:bookmarkEnd w:id="13"/>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各储罐剩余残料以清罐前储运计量专业出具的数据为准；</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各储罐采用盲板与外界进行安全隔离； </w:t>
      </w:r>
    </w:p>
    <w:p>
      <w:pPr>
        <w:numPr>
          <w:ilvl w:val="1"/>
          <w:numId w:val="18"/>
        </w:numPr>
        <w:autoSpaceDE/>
        <w:autoSpaceDN/>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储罐下人孔已打开。</w:t>
      </w:r>
    </w:p>
    <w:p>
      <w:pPr>
        <w:pStyle w:val="3"/>
        <w:keepNext/>
        <w:keepLines/>
        <w:numPr>
          <w:ilvl w:val="0"/>
          <w:numId w:val="18"/>
        </w:numPr>
        <w:autoSpaceDE/>
        <w:autoSpaceDN/>
        <w:spacing w:line="360" w:lineRule="auto"/>
        <w:jc w:val="both"/>
        <w:rPr>
          <w:rFonts w:asciiTheme="minorEastAsia" w:hAnsiTheme="minorEastAsia" w:eastAsiaTheme="minorEastAsia"/>
          <w:b w:val="0"/>
          <w:sz w:val="24"/>
          <w:szCs w:val="24"/>
        </w:rPr>
      </w:pPr>
      <w:bookmarkStart w:id="14" w:name="_Toc476640962"/>
      <w:r>
        <w:rPr>
          <w:rFonts w:hint="eastAsia" w:asciiTheme="minorEastAsia" w:hAnsiTheme="minorEastAsia" w:eastAsiaTheme="minorEastAsia"/>
          <w:b w:val="0"/>
          <w:sz w:val="24"/>
          <w:szCs w:val="24"/>
        </w:rPr>
        <w:t>公用工程的提供</w:t>
      </w:r>
    </w:p>
    <w:p>
      <w:pPr>
        <w:numPr>
          <w:ilvl w:val="1"/>
          <w:numId w:val="18"/>
        </w:numPr>
        <w:autoSpaceDE/>
        <w:autoSpaceDN/>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有动力电源供应；</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有惰性气体</w:t>
      </w:r>
      <w:r>
        <w:rPr>
          <w:rFonts w:hint="eastAsia" w:asciiTheme="minorEastAsia" w:hAnsiTheme="minorEastAsia" w:eastAsiaTheme="minorEastAsia"/>
          <w:sz w:val="24"/>
          <w:szCs w:val="24"/>
          <w:highlight w:val="yellow"/>
          <w:lang w:eastAsia="zh-CN"/>
        </w:rPr>
        <w:t>（氮气）</w:t>
      </w:r>
      <w:r>
        <w:rPr>
          <w:rFonts w:hint="eastAsia" w:asciiTheme="minorEastAsia" w:hAnsiTheme="minorEastAsia" w:eastAsiaTheme="minorEastAsia"/>
          <w:sz w:val="24"/>
          <w:szCs w:val="24"/>
          <w:lang w:eastAsia="zh-CN"/>
        </w:rPr>
        <w:t>供应；</w:t>
      </w:r>
    </w:p>
    <w:p>
      <w:pPr>
        <w:numPr>
          <w:ilvl w:val="1"/>
          <w:numId w:val="18"/>
        </w:numPr>
        <w:autoSpaceDE/>
        <w:autoSpaceDN/>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有供给清洗用的水源。</w:t>
      </w:r>
    </w:p>
    <w:p>
      <w:pPr>
        <w:pStyle w:val="3"/>
        <w:keepNext/>
        <w:keepLines/>
        <w:numPr>
          <w:ilvl w:val="0"/>
          <w:numId w:val="18"/>
        </w:numPr>
        <w:autoSpaceDE/>
        <w:autoSpaceDN/>
        <w:spacing w:line="360" w:lineRule="auto"/>
        <w:jc w:val="both"/>
        <w:rPr>
          <w:rFonts w:asciiTheme="minorEastAsia" w:hAnsiTheme="minorEastAsia" w:eastAsiaTheme="minorEastAsia"/>
          <w:b w:val="0"/>
          <w:sz w:val="24"/>
          <w:szCs w:val="24"/>
          <w:lang w:eastAsia="zh-CN"/>
        </w:rPr>
      </w:pPr>
      <w:r>
        <w:rPr>
          <w:rFonts w:hint="eastAsia" w:asciiTheme="minorEastAsia" w:hAnsiTheme="minorEastAsia" w:eastAsiaTheme="minorEastAsia"/>
          <w:b w:val="0"/>
          <w:sz w:val="24"/>
          <w:szCs w:val="24"/>
          <w:lang w:eastAsia="zh-CN"/>
        </w:rPr>
        <w:t>罐底残料及清罐含油污水的去向</w:t>
      </w:r>
      <w:bookmarkEnd w:id="14"/>
    </w:p>
    <w:p>
      <w:pPr>
        <w:numPr>
          <w:ilvl w:val="1"/>
          <w:numId w:val="18"/>
        </w:numPr>
        <w:autoSpaceDE/>
        <w:autoSpaceDN/>
        <w:spacing w:line="360" w:lineRule="auto"/>
        <w:rPr>
          <w:rFonts w:asciiTheme="minorEastAsia" w:hAnsiTheme="minorEastAsia" w:eastAsiaTheme="minorEastAsia"/>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罐底残料由清罐公司负责清理并集中存放；（由福海创石油化工有限公司指定地点存放或处理）</w:t>
      </w:r>
    </w:p>
    <w:p>
      <w:pPr>
        <w:numPr>
          <w:ilvl w:val="1"/>
          <w:numId w:val="18"/>
        </w:numPr>
        <w:autoSpaceDE/>
        <w:autoSpaceDN/>
        <w:spacing w:line="360" w:lineRule="auto"/>
        <w:rPr>
          <w:rFonts w:asciiTheme="minorEastAsia" w:hAnsiTheme="minorEastAsia" w:eastAsiaTheme="minorEastAsia"/>
          <w:color w:val="000000" w:themeColor="text1"/>
          <w:sz w:val="24"/>
          <w:szCs w:val="24"/>
          <w:lang w:eastAsia="zh-CN"/>
        </w:rPr>
      </w:pPr>
      <w:r>
        <w:rPr>
          <w:rFonts w:asciiTheme="minorEastAsia" w:hAnsiTheme="minorEastAsia" w:eastAsiaTheme="minorEastAsia"/>
          <w:color w:val="000000" w:themeColor="text1"/>
          <w:sz w:val="24"/>
          <w:szCs w:val="24"/>
          <w:lang w:eastAsia="zh-CN"/>
        </w:rPr>
        <w:t>清罐产生的含油污水由储运团队通过罐区含油污水系统管网送至</w:t>
      </w:r>
      <w:r>
        <w:rPr>
          <w:rFonts w:hint="eastAsia" w:asciiTheme="minorEastAsia" w:hAnsiTheme="minorEastAsia" w:eastAsiaTheme="minorEastAsia"/>
          <w:color w:val="000000" w:themeColor="text1"/>
          <w:sz w:val="24"/>
          <w:szCs w:val="24"/>
          <w:lang w:eastAsia="zh-CN"/>
        </w:rPr>
        <w:t>水汽团队</w:t>
      </w:r>
      <w:r>
        <w:rPr>
          <w:rFonts w:asciiTheme="minorEastAsia" w:hAnsiTheme="minorEastAsia" w:eastAsiaTheme="minorEastAsia"/>
          <w:color w:val="000000" w:themeColor="text1"/>
          <w:sz w:val="24"/>
          <w:szCs w:val="24"/>
          <w:lang w:eastAsia="zh-CN"/>
        </w:rPr>
        <w:t>含油污水处理系统进行处理。</w:t>
      </w:r>
    </w:p>
    <w:p>
      <w:pPr>
        <w:pStyle w:val="3"/>
        <w:keepNext/>
        <w:keepLines/>
        <w:numPr>
          <w:ilvl w:val="0"/>
          <w:numId w:val="18"/>
        </w:numPr>
        <w:autoSpaceDE/>
        <w:autoSpaceDN/>
        <w:spacing w:line="360" w:lineRule="auto"/>
        <w:jc w:val="both"/>
        <w:rPr>
          <w:rFonts w:asciiTheme="minorEastAsia" w:hAnsiTheme="minorEastAsia" w:eastAsiaTheme="minorEastAsia"/>
          <w:b w:val="0"/>
          <w:sz w:val="24"/>
          <w:szCs w:val="24"/>
        </w:rPr>
      </w:pPr>
      <w:bookmarkStart w:id="15" w:name="_Toc476640963"/>
      <w:r>
        <w:rPr>
          <w:rFonts w:hint="eastAsia" w:asciiTheme="minorEastAsia" w:hAnsiTheme="minorEastAsia" w:eastAsiaTheme="minorEastAsia"/>
          <w:b w:val="0"/>
          <w:sz w:val="24"/>
          <w:szCs w:val="24"/>
        </w:rPr>
        <w:t>作业前的准备工作</w:t>
      </w:r>
      <w:bookmarkEnd w:id="15"/>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清罐公司应进行作业危害识别；</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对操作人员进行现场技术交底，上岗培训；</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应急物资准备齐全，工器具的准备。</w:t>
      </w:r>
    </w:p>
    <w:p>
      <w:pPr>
        <w:pStyle w:val="3"/>
        <w:keepNext/>
        <w:keepLines/>
        <w:numPr>
          <w:ilvl w:val="0"/>
          <w:numId w:val="18"/>
        </w:numPr>
        <w:autoSpaceDE/>
        <w:autoSpaceDN/>
        <w:spacing w:line="360" w:lineRule="auto"/>
        <w:jc w:val="both"/>
        <w:rPr>
          <w:rFonts w:asciiTheme="minorEastAsia" w:hAnsiTheme="minorEastAsia" w:eastAsiaTheme="minorEastAsia"/>
          <w:b w:val="0"/>
          <w:sz w:val="24"/>
          <w:szCs w:val="24"/>
        </w:rPr>
      </w:pPr>
      <w:bookmarkStart w:id="16" w:name="_Toc476640964"/>
      <w:r>
        <w:rPr>
          <w:rFonts w:hint="eastAsia" w:asciiTheme="minorEastAsia" w:hAnsiTheme="minorEastAsia" w:eastAsiaTheme="minorEastAsia"/>
          <w:b w:val="0"/>
          <w:sz w:val="24"/>
          <w:szCs w:val="24"/>
        </w:rPr>
        <w:t>清洗设备安装要求</w:t>
      </w:r>
      <w:bookmarkEnd w:id="16"/>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清洗回收设备、油水分离设备的设置，与清洗罐连接应合理布置工艺管线。</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先从清洗回收设备、过滤器、油水分离设备、惰性气体、加热供给系统等难以移动的设备接口进行安装，继之按主管线、辅管线的顺序连接。</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清洗罐及附属管线应安装临时阀门，阀门后应安装金属波纹管。</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连接管线前应先清除管内异物。</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管线应安装在管托上，避免直接接触地面或错位，管托的间距宜为6m。</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回收油管线末端应安装止回阀。</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设备主管线连接处应标识介质流动方向。</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输送高粘度油品时，管线应包裹保温材料。</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罐上拆装作业时应使用防爆工具。</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设置清洗机的台数应以每台清洗机的有效作业半径20m为基准计算，设置的起点宜从距罐壁8m-10m位置上的支柱口开始依次向内确定安装位置，保证各个清洗机的有效清洗范围相互重叠。严格采用支柱安装清洗机，杜绝采用浮盘开孔等存在安全隐患的方式安装清洗机。</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浮顶支柱口、人孔等均可安装清洗机，在安装位置以标记。</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支柱的拔出数应在支柱总数的25%以下，且均匀分布。</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直径50m以上的油罐至少应有3个均布且不小于DN100的抽吸管口。抽吸口和罐底板的距离应小于50mm。</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惰性气体注入管线可分两处由罐顶或罐壁人孔通入罐内。</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泄漏试验时，应关闭真空表和真空压力信号发生器的总阀、真空泵阀、清洗机进口阀、水槽和真空罐的出入口阀。</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泄漏试验采用气压或水压，压力不得超出实验压力。</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泄漏性试验应重点检验阀门填料函、法兰或螺纹连接处、放空阀、排气阀、排水阀等。以发泡剂检验不泄漏为合格。</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进行设备试运行，确认电动机、空压机、真空泵、清洗泵等运转正常。</w:t>
      </w:r>
    </w:p>
    <w:p>
      <w:pPr>
        <w:pStyle w:val="3"/>
        <w:keepNext/>
        <w:keepLines/>
        <w:numPr>
          <w:ilvl w:val="0"/>
          <w:numId w:val="18"/>
        </w:numPr>
        <w:autoSpaceDE/>
        <w:autoSpaceDN/>
        <w:spacing w:line="360" w:lineRule="auto"/>
        <w:jc w:val="both"/>
        <w:rPr>
          <w:rFonts w:asciiTheme="minorEastAsia" w:hAnsiTheme="minorEastAsia" w:eastAsiaTheme="minorEastAsia"/>
          <w:b w:val="0"/>
          <w:sz w:val="24"/>
          <w:szCs w:val="24"/>
        </w:rPr>
      </w:pPr>
      <w:bookmarkStart w:id="17" w:name="_Toc476640965"/>
      <w:r>
        <w:rPr>
          <w:rFonts w:hint="eastAsia" w:asciiTheme="minorEastAsia" w:hAnsiTheme="minorEastAsia" w:eastAsiaTheme="minorEastAsia"/>
          <w:b w:val="0"/>
          <w:sz w:val="24"/>
          <w:szCs w:val="24"/>
        </w:rPr>
        <w:t>清罐原则</w:t>
      </w:r>
      <w:bookmarkEnd w:id="17"/>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为做好油罐清洗工作，保障清洗人员的作业安全和身体健康，防止发生各类事故，根据“预防为主”的方针，特制定本技术要求。</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清罐应根据作业现场的不同情况,制定具体的切实可行的清罐方案和安全措施，由清罐公司提供。</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清罐的方案及安全措施，经讨论并由各职能部门会签后，报分管领导批准后执行。</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清罐指挥人员（清罐公司1人，储运团队1人），在清罐作业期间必须亲临现场，及时解决和处理所发现的问题。</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清罐作业之前，应根据分工情况对有关人员进行安全和有关操作技术的岗前教育，并经考核合格后方准上岗。</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安全（监护）员应加强现场的安全巡回检查，并有权制止违章指挥和违章作业并及时报告上级领导。</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清罐公司班（组）负责人和安全（监护）员应做好交接班的现场安全检查、清点人员及其工具器材等工作。</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作业场所应确定安全距离，设置安全界标或栅栏，并应有专人负责对所设置的安全界标或栅栏进行监护。</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作业前充分做好安全措施及物资、工具、器材的检查与准备工作。</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储罐清罐作业前，要完成储罐安全附件、仪表保护工作。</w:t>
      </w:r>
    </w:p>
    <w:p>
      <w:pPr>
        <w:pStyle w:val="3"/>
        <w:keepNext/>
        <w:keepLines/>
        <w:numPr>
          <w:ilvl w:val="0"/>
          <w:numId w:val="18"/>
        </w:numPr>
        <w:autoSpaceDE/>
        <w:autoSpaceDN/>
        <w:spacing w:line="360" w:lineRule="auto"/>
        <w:jc w:val="both"/>
        <w:rPr>
          <w:rFonts w:asciiTheme="minorEastAsia" w:hAnsiTheme="minorEastAsia" w:eastAsiaTheme="minorEastAsia"/>
          <w:b w:val="0"/>
          <w:sz w:val="24"/>
          <w:szCs w:val="24"/>
        </w:rPr>
      </w:pPr>
      <w:bookmarkStart w:id="18" w:name="_Toc476640966"/>
      <w:r>
        <w:rPr>
          <w:rFonts w:hint="eastAsia" w:asciiTheme="minorEastAsia" w:hAnsiTheme="minorEastAsia" w:eastAsiaTheme="minorEastAsia"/>
          <w:b w:val="0"/>
          <w:sz w:val="24"/>
          <w:szCs w:val="24"/>
        </w:rPr>
        <w:t>QHSE管理要求</w:t>
      </w:r>
      <w:bookmarkEnd w:id="18"/>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凡有作业人员进罐检查或作业时，油罐人孔外均须设专职监护人员，且一名监护人员不得同时监护两个作业点，严格按照QHSE管理制度执行：办理进入受限空间作业票。</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根据不同场所，选择的防毒用具和防护用品，其规格尺寸应保证佩戴合适，性能良好，在使用中必须严格遵守“产品说明书”中的各项事项。呼吸软管内外表面不应被油类等污染。</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防毒用具、防护用品及清罐工具每次使用之后，必须清洗干净。防毒用具和防护用品使用之前应仔细试验与检查，确保完好有效。</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严禁在作业场所用膳或饮水。作业人员每天饭前且下班后应在指定地点更衣洗澡。</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作业场所应备有人员抢救用急救箱，并应有专人值守。</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由于作业影响而使罐内油气浓度超过允许值时，作业人员应迅速撤离现场。重新通风，直到油气浓度降到规定值时，方可继续作业。</w:t>
      </w:r>
    </w:p>
    <w:p>
      <w:pPr>
        <w:numPr>
          <w:ilvl w:val="1"/>
          <w:numId w:val="18"/>
        </w:numPr>
        <w:autoSpaceDE/>
        <w:autoSpaceDN/>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当油罐及其作业场所油气浓度超过该油品爆炸下限的20％时，其35米范围（卧式油罐可缩小50％）内均为火灾和爆炸危险场所。进入该场所进行清罐作业时，必须做到引入该场所的电气设备及其安装，应符合国家有关的安全用电规定。</w:t>
      </w:r>
      <w:r>
        <w:rPr>
          <w:rFonts w:hint="eastAsia" w:asciiTheme="minorEastAsia" w:hAnsiTheme="minorEastAsia" w:eastAsiaTheme="minorEastAsia"/>
          <w:sz w:val="24"/>
          <w:szCs w:val="24"/>
        </w:rPr>
        <w:t>在该场所应严防铁器等相撞击。</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当作业场所的油气浓度超过该油品爆炸下限的40％时，禁止入罐清洗作业。 </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禁止在雷雨天（或气压低）或风力在五级以上的大风天进行油罐的通风或清洗作业。</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电气设备检查、试验时，必须在距作业油罐35米范围（卧式油罐可缩小50％）以外的安全地带进行。</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垫水或充水使用的进水管线，不应采用输油管线,以防油品进入罐内。</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油罐清洗作业前，应在作业场所的上风向处配置好适量的消防器材，现场消防值班人员应充分做好灭火的准备。</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清罐作业人员严禁穿着化纤服装。不得使用化纤绳索及化纤抹布等。气体检测人员必须穿着防静电服及鞋。</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当油气浓度超过该油品爆炸下限的20％时,清罐作业时严禁使用压缩空气，禁止使用喷射蒸汽及使用高压水枪冲刷罐壁或从油罐顶部进行喷溅式注水。</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引入油罐的空气、水及蒸汽管线的喷嘴等金属部份以及用于排出油品的胶管都应与油罐作电气连接，并应做好可靠的接地。引入罐内的金属管线，当法兰间电阻值大于0.03欧姆时，应进行金属跨接。</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机械通风机应与油罐做电气连接并接地。</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风管应使用不产生静电的材质,禁止使用塑料管；并应与罐底或地面接触，以使静电很快消散。</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清罐作业工作人员必须穿戴工作鞋和安全帽等防护用品。</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下列人员严禁从事清罐作业：</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在经期、孕期、哺乳期的妇女。      </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有聋、哑、呆傻等严重生理缺陷者。</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患有深度近视、巅痫、高血压、过敏性气管炎、哮喘、心脏病和其他严重慢性病以及年老体弱不适应清罐作业者。</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有外伤疮口尚未愈合者。</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禁止与清罐作业无关人员进入施工现场。</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专业清罐人员，每年应体检一次并建立健康档案。</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废水排放需经采样分析，符合装置出水标准并取得生产管理部和公用部同意后方可排放废水。需制订具体排放流程，以免造成对污水处理场造成冲击。</w:t>
      </w:r>
    </w:p>
    <w:p>
      <w:pPr>
        <w:numPr>
          <w:ilvl w:val="1"/>
          <w:numId w:val="18"/>
        </w:numPr>
        <w:autoSpaceDE/>
        <w:autoSpaceDN/>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判定为危险废物的罐底泥必须妥善收集</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采取密闭包装措施</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在包装物上贴好标签</w:t>
      </w:r>
      <w:r>
        <w:rPr>
          <w:rFonts w:hint="eastAsia" w:asciiTheme="minorEastAsia" w:hAnsiTheme="minorEastAsia" w:eastAsiaTheme="minorEastAsia"/>
          <w:sz w:val="24"/>
          <w:szCs w:val="24"/>
          <w:lang w:eastAsia="zh-CN"/>
        </w:rPr>
        <w:t>，并</w:t>
      </w:r>
      <w:r>
        <w:rPr>
          <w:rFonts w:asciiTheme="minorEastAsia" w:hAnsiTheme="minorEastAsia" w:eastAsiaTheme="minorEastAsia"/>
          <w:sz w:val="24"/>
          <w:szCs w:val="24"/>
          <w:lang w:eastAsia="zh-CN"/>
        </w:rPr>
        <w:t>建立相应台账</w:t>
      </w:r>
      <w:r>
        <w:rPr>
          <w:rFonts w:hint="eastAsia" w:asciiTheme="minorEastAsia" w:hAnsiTheme="minorEastAsia" w:eastAsiaTheme="minorEastAsia"/>
          <w:sz w:val="24"/>
          <w:szCs w:val="24"/>
          <w:lang w:eastAsia="zh-CN"/>
        </w:rPr>
        <w:t>。</w:t>
      </w:r>
    </w:p>
    <w:p>
      <w:pPr>
        <w:numPr>
          <w:ilvl w:val="1"/>
          <w:numId w:val="18"/>
        </w:numPr>
        <w:autoSpaceDE/>
        <w:autoSpaceDN/>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需有污油和</w:t>
      </w:r>
      <w:r>
        <w:rPr>
          <w:rFonts w:hint="eastAsia" w:asciiTheme="minorEastAsia" w:hAnsiTheme="minorEastAsia" w:eastAsiaTheme="minorEastAsia"/>
          <w:sz w:val="24"/>
          <w:szCs w:val="24"/>
        </w:rPr>
        <w:t>罐底</w:t>
      </w:r>
      <w:r>
        <w:rPr>
          <w:rFonts w:asciiTheme="minorEastAsia" w:hAnsiTheme="minorEastAsia" w:eastAsiaTheme="minorEastAsia"/>
          <w:sz w:val="24"/>
          <w:szCs w:val="24"/>
        </w:rPr>
        <w:t>污泥分离措施</w:t>
      </w:r>
      <w:r>
        <w:rPr>
          <w:rFonts w:hint="eastAsia" w:asciiTheme="minorEastAsia" w:hAnsiTheme="minorEastAsia" w:eastAsiaTheme="minorEastAsia"/>
          <w:sz w:val="24"/>
          <w:szCs w:val="24"/>
        </w:rPr>
        <w:t>。</w:t>
      </w:r>
    </w:p>
    <w:p>
      <w:pPr>
        <w:numPr>
          <w:ilvl w:val="1"/>
          <w:numId w:val="18"/>
        </w:numPr>
        <w:autoSpaceDE/>
        <w:autoSpaceDN/>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清罐过程中</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应本着产废最小化的原则进行</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减少罐底污泥</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废吸油毡</w:t>
      </w:r>
      <w:r>
        <w:rPr>
          <w:rFonts w:hint="eastAsia" w:asciiTheme="minorEastAsia" w:hAnsiTheme="minorEastAsia" w:eastAsiaTheme="minorEastAsia"/>
          <w:sz w:val="24"/>
          <w:szCs w:val="24"/>
          <w:lang w:eastAsia="zh-CN"/>
        </w:rPr>
        <w:t>等其他废物产生。</w:t>
      </w:r>
    </w:p>
    <w:p>
      <w:pPr>
        <w:numPr>
          <w:ilvl w:val="1"/>
          <w:numId w:val="18"/>
        </w:numPr>
        <w:autoSpaceDE/>
        <w:autoSpaceDN/>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防止造成环境污染的应急方案和措施</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并配备吸油毡</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接油盆等应急物资</w:t>
      </w:r>
      <w:r>
        <w:rPr>
          <w:rFonts w:hint="eastAsia" w:asciiTheme="minorEastAsia" w:hAnsiTheme="minorEastAsia" w:eastAsiaTheme="minorEastAsia"/>
          <w:sz w:val="24"/>
          <w:szCs w:val="24"/>
          <w:lang w:eastAsia="zh-CN"/>
        </w:rPr>
        <w:t>。</w:t>
      </w:r>
    </w:p>
    <w:p>
      <w:pPr>
        <w:pStyle w:val="3"/>
        <w:keepNext/>
        <w:keepLines/>
        <w:numPr>
          <w:ilvl w:val="0"/>
          <w:numId w:val="18"/>
        </w:numPr>
        <w:autoSpaceDE/>
        <w:autoSpaceDN/>
        <w:spacing w:line="360" w:lineRule="auto"/>
        <w:jc w:val="both"/>
        <w:rPr>
          <w:rFonts w:asciiTheme="minorEastAsia" w:hAnsiTheme="minorEastAsia" w:eastAsiaTheme="minorEastAsia"/>
          <w:b w:val="0"/>
          <w:sz w:val="24"/>
          <w:szCs w:val="24"/>
        </w:rPr>
      </w:pPr>
      <w:bookmarkStart w:id="19" w:name="_Toc476640967"/>
      <w:r>
        <w:rPr>
          <w:rFonts w:hint="eastAsia" w:asciiTheme="minorEastAsia" w:hAnsiTheme="minorEastAsia" w:eastAsiaTheme="minorEastAsia"/>
          <w:b w:val="0"/>
          <w:sz w:val="24"/>
          <w:szCs w:val="24"/>
        </w:rPr>
        <w:t>储罐验收</w:t>
      </w:r>
      <w:bookmarkEnd w:id="19"/>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清洗后的油罐一般应达到：</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清罐应达到无明显铁锈、杂质、水份、油垢，用洁布擦拭时，应不呈现显著的脏污油泥、铁钙痕迹。</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应清除罐底、罐壁及其附件表面残料,达到无明显残料。</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属于检修及内防腐需要清洗的油罐,应将油污、锈蚀积垢彻底清除干净，用洁布擦拭无脏污、油泥、铁锈痕迹且应露出金属本色，即可进行内防腐和检修。</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验收合格后的油罐在有监督的条件下，立即封闭人孔、光孔等处，连接好有关管线，恢复油罐原来的系统。一般应采取谁拆谁装，谁装谁拆的作法以防止遗漏。</w:t>
      </w:r>
    </w:p>
    <w:p>
      <w:pPr>
        <w:pStyle w:val="3"/>
        <w:keepNext/>
        <w:keepLines/>
        <w:numPr>
          <w:ilvl w:val="0"/>
          <w:numId w:val="18"/>
        </w:numPr>
        <w:autoSpaceDE/>
        <w:autoSpaceDN/>
        <w:spacing w:line="360" w:lineRule="auto"/>
        <w:jc w:val="both"/>
        <w:rPr>
          <w:rFonts w:asciiTheme="minorEastAsia" w:hAnsiTheme="minorEastAsia" w:eastAsiaTheme="minorEastAsia"/>
          <w:b w:val="0"/>
          <w:sz w:val="24"/>
          <w:szCs w:val="24"/>
        </w:rPr>
      </w:pPr>
      <w:bookmarkStart w:id="20" w:name="_Toc476640968"/>
      <w:r>
        <w:rPr>
          <w:rFonts w:hint="eastAsia" w:asciiTheme="minorEastAsia" w:hAnsiTheme="minorEastAsia" w:eastAsiaTheme="minorEastAsia"/>
          <w:b w:val="0"/>
          <w:sz w:val="24"/>
          <w:szCs w:val="24"/>
        </w:rPr>
        <w:t>具体操作应注意事项</w:t>
      </w:r>
      <w:bookmarkEnd w:id="20"/>
    </w:p>
    <w:p>
      <w:pPr>
        <w:pStyle w:val="4"/>
        <w:keepNext/>
        <w:keepLines/>
        <w:numPr>
          <w:ilvl w:val="1"/>
          <w:numId w:val="18"/>
        </w:numPr>
        <w:autoSpaceDE/>
        <w:autoSpaceDN/>
        <w:spacing w:line="360" w:lineRule="auto"/>
        <w:jc w:val="both"/>
        <w:rPr>
          <w:rFonts w:asciiTheme="minorEastAsia" w:hAnsiTheme="minorEastAsia" w:eastAsiaTheme="minorEastAsia"/>
          <w:b w:val="0"/>
        </w:rPr>
      </w:pPr>
      <w:bookmarkStart w:id="21" w:name="_Toc476640969"/>
      <w:r>
        <w:rPr>
          <w:rFonts w:hint="eastAsia" w:asciiTheme="minorEastAsia" w:hAnsiTheme="minorEastAsia" w:eastAsiaTheme="minorEastAsia"/>
          <w:b w:val="0"/>
        </w:rPr>
        <w:t>排出罐底油</w:t>
      </w:r>
      <w:bookmarkEnd w:id="21"/>
    </w:p>
    <w:p>
      <w:pPr>
        <w:numPr>
          <w:ilvl w:val="2"/>
          <w:numId w:val="18"/>
        </w:numPr>
        <w:autoSpaceDE/>
        <w:autoSpaceDN/>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采用机械抽、吸排出底油的具体做法是：</w:t>
      </w:r>
    </w:p>
    <w:p>
      <w:pPr>
        <w:numPr>
          <w:ilvl w:val="3"/>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通过排污阀（脱水阀）自流排油，直至油不再排出时为止。</w:t>
      </w:r>
    </w:p>
    <w:p>
      <w:pPr>
        <w:numPr>
          <w:ilvl w:val="3"/>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卸下进（出）油管线阀门，切断与其它输油管线或油罐的通路并应将与油罐脱离开的管线法兰用盲板封住。</w:t>
      </w:r>
    </w:p>
    <w:p>
      <w:pPr>
        <w:numPr>
          <w:ilvl w:val="3"/>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将胶管由进（出）油管线的另一端插人罐底，用手摇泵或真空泵（配套电机应为隔爆型，并置于孔口三米以外）抽吸底油，防止投标商制定容器。此间通过计量，若确认底油排空完毕三十分钟后，应通过量油孔、排油孔等处对罐内油气浓度进行测试并记录。</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底油排空后，宜采用真空泵将罐底存水抽吸至排污池等处，严禁直接排入下水道。</w:t>
      </w:r>
    </w:p>
    <w:p>
      <w:pPr>
        <w:pStyle w:val="4"/>
        <w:keepNext/>
        <w:keepLines/>
        <w:numPr>
          <w:ilvl w:val="1"/>
          <w:numId w:val="18"/>
        </w:numPr>
        <w:autoSpaceDE/>
        <w:autoSpaceDN/>
        <w:spacing w:line="360" w:lineRule="auto"/>
        <w:jc w:val="both"/>
        <w:rPr>
          <w:rFonts w:asciiTheme="minorEastAsia" w:hAnsiTheme="minorEastAsia" w:eastAsiaTheme="minorEastAsia"/>
          <w:b w:val="0"/>
        </w:rPr>
      </w:pPr>
      <w:bookmarkStart w:id="22" w:name="_Toc476640970"/>
      <w:r>
        <w:rPr>
          <w:rFonts w:hint="eastAsia" w:asciiTheme="minorEastAsia" w:hAnsiTheme="minorEastAsia" w:eastAsiaTheme="minorEastAsia"/>
          <w:b w:val="0"/>
        </w:rPr>
        <w:t>排除油蒸汽</w:t>
      </w:r>
      <w:bookmarkEnd w:id="22"/>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排除油气前应认真检查：</w:t>
      </w:r>
    </w:p>
    <w:p>
      <w:pPr>
        <w:numPr>
          <w:ilvl w:val="3"/>
          <w:numId w:val="18"/>
        </w:numPr>
        <w:autoSpaceDE/>
        <w:autoSpaceDN/>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是否已按要求排出底油（水）。</w:t>
      </w:r>
    </w:p>
    <w:p>
      <w:pPr>
        <w:numPr>
          <w:ilvl w:val="3"/>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是否切实断开（拆断或已加盲板）油罐的所有管路系统。</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为了提高油气的扩散效果、应尽可能地使油气向高空排放。</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作业过程中，应始终进行机械或良好的自然通风。</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机械通风排出油气时，通风量应大于残油的散发量。机械通风应采取正压通风，不得采取负压吸风。防爆风机应安装在上风口。</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机械通风的一般作业程序：</w:t>
      </w:r>
    </w:p>
    <w:p>
      <w:pPr>
        <w:numPr>
          <w:ilvl w:val="3"/>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打开罐顶上部光孔、量油孔，卸下呼吸阀等。</w:t>
      </w:r>
    </w:p>
    <w:p>
      <w:pPr>
        <w:numPr>
          <w:ilvl w:val="3"/>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打开油罐下部人孔，以风筒连接风机与油罐下部人孔。经检查无误后，启动风机，进行强制机械通风。</w:t>
      </w:r>
    </w:p>
    <w:p>
      <w:pPr>
        <w:numPr>
          <w:ilvl w:val="3"/>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逆行间歇式通风。即每通风四小时，间隔一小时，连续通风二十四小时以上，每小时通风量宜大于油罐容积的十倍以上，直至油气浓度达到规定数值后，方可佩戴相应的呼吸器具和采取必要的防护措施入罐进行作业。</w:t>
      </w:r>
    </w:p>
    <w:p>
      <w:pPr>
        <w:numPr>
          <w:ilvl w:val="3"/>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对于空气流通良好的油罐，可采用自然通风十天以上，经测试，油气浓度达到规定数值后佩戴相应的呼吸器具和防护措施，方可入罐作业.但如需动火时，则必须进行机械通风 </w:t>
      </w:r>
    </w:p>
    <w:p>
      <w:pPr>
        <w:pStyle w:val="4"/>
        <w:keepNext/>
        <w:keepLines/>
        <w:numPr>
          <w:ilvl w:val="1"/>
          <w:numId w:val="18"/>
        </w:numPr>
        <w:autoSpaceDE/>
        <w:autoSpaceDN/>
        <w:spacing w:line="360" w:lineRule="auto"/>
        <w:jc w:val="both"/>
        <w:rPr>
          <w:rFonts w:asciiTheme="minorEastAsia" w:hAnsiTheme="minorEastAsia" w:eastAsiaTheme="minorEastAsia"/>
          <w:b w:val="0"/>
        </w:rPr>
      </w:pPr>
      <w:bookmarkStart w:id="23" w:name="_Toc476640971"/>
      <w:r>
        <w:rPr>
          <w:rFonts w:hint="eastAsia" w:asciiTheme="minorEastAsia" w:hAnsiTheme="minorEastAsia" w:eastAsiaTheme="minorEastAsia"/>
          <w:b w:val="0"/>
        </w:rPr>
        <w:t>气体检测</w:t>
      </w:r>
      <w:bookmarkEnd w:id="23"/>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气体检测的范围，应包括甲类、乙类、丙A类油品的储罐内等作业场所及附近35米范围内可能存留油品蒸汽的油气浓度。</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必须采用两台以上相同型号规格的防爆型可燃气体测试仪，并应由经过训练的专门人员进行操作，若两台仪器数据相差较大时，应重新调整测试。如需动火作业时，尚应增加一台防爆型可燃气体测爆仪。</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气体检测应沿油罐圆周方向进行，并应注意选择易于聚集油气的低洼部位和死角。对于浮顶油罐还应测试浮盘上方的油气浓度。</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每次通风（包括间隙通风后的再通风）前以及作业人员入罐前都应认真进行油气浓度的测试，并应做好详细记录。</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作业期间，应定时进行油气浓度的测试。正常作业中每两小时一次,以确保油气浓度在规定范围之内。</w:t>
      </w:r>
    </w:p>
    <w:p>
      <w:pPr>
        <w:numPr>
          <w:ilvl w:val="2"/>
          <w:numId w:val="18"/>
        </w:numPr>
        <w:autoSpaceDE/>
        <w:autoSpaceDN/>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对于动火分析的油气浓度测试，应采用可燃气体测试仪和测爆仪同时测定,并于动火前三十分钟之内进行。如果动火中断三十分钟以上，必须重新做动火分析。</w:t>
      </w:r>
      <w:r>
        <w:rPr>
          <w:rFonts w:hint="eastAsia" w:asciiTheme="minorEastAsia" w:hAnsiTheme="minorEastAsia" w:eastAsiaTheme="minorEastAsia"/>
          <w:sz w:val="24"/>
          <w:szCs w:val="24"/>
        </w:rPr>
        <w:t xml:space="preserve">试样均应保留到动火结束之后。 </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测试仪器必须在有效检定期之内，方可使用。</w:t>
      </w:r>
    </w:p>
    <w:p>
      <w:pPr>
        <w:pStyle w:val="4"/>
        <w:keepNext/>
        <w:keepLines/>
        <w:numPr>
          <w:ilvl w:val="1"/>
          <w:numId w:val="18"/>
        </w:numPr>
        <w:autoSpaceDE/>
        <w:autoSpaceDN/>
        <w:spacing w:line="360" w:lineRule="auto"/>
        <w:jc w:val="both"/>
        <w:rPr>
          <w:rFonts w:asciiTheme="minorEastAsia" w:hAnsiTheme="minorEastAsia" w:eastAsiaTheme="minorEastAsia"/>
          <w:b w:val="0"/>
        </w:rPr>
      </w:pPr>
      <w:bookmarkStart w:id="24" w:name="_Toc476640972"/>
      <w:r>
        <w:rPr>
          <w:rFonts w:hint="eastAsia" w:asciiTheme="minorEastAsia" w:hAnsiTheme="minorEastAsia" w:eastAsiaTheme="minorEastAsia"/>
          <w:b w:val="0"/>
        </w:rPr>
        <w:t>入罐作业</w:t>
      </w:r>
      <w:bookmarkEnd w:id="24"/>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检测人员应在进罐作业前三十分钟再进行一次油气浓度检测，确认油气浓度符合规定的允许值，并做好记录。清罐作业指挥人员会同安全检查人员进行一次现场检查。</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安全（监护）人员，进入作业岗位后，作业人员即可进罐作业。</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作业人员在佩戴隔离式呼吸器具进罐作业时，一般以三十分钟左右轮换一次。</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作业人员腰部宜系有救生信号绳索,绳的末端留在罐外，以便随时抢救作业人员。</w:t>
      </w:r>
    </w:p>
    <w:p>
      <w:pPr>
        <w:numPr>
          <w:ilvl w:val="2"/>
          <w:numId w:val="18"/>
        </w:numPr>
        <w:autoSpaceDE/>
        <w:autoSpaceDN/>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清除污杂的通常做法：</w:t>
      </w:r>
    </w:p>
    <w:p>
      <w:pPr>
        <w:numPr>
          <w:ilvl w:val="3"/>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人工用特制铜(铝）铲（撮子）或者钉有硬橡胶的木耙子，清除罐底和罐壁的污杂及铁锈.</w:t>
      </w:r>
    </w:p>
    <w:p>
      <w:pPr>
        <w:numPr>
          <w:ilvl w:val="3"/>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用特制加盖铝桶盛装污杂，并用适宜的方法人工挑运或以手推车搬运等运出罐外。   </w:t>
      </w:r>
    </w:p>
    <w:p>
      <w:pPr>
        <w:numPr>
          <w:ilvl w:val="3"/>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以白灰或锯末撤入罐底后，用铜铲或竹扫帚进行清扫。</w:t>
      </w:r>
    </w:p>
    <w:p>
      <w:pPr>
        <w:numPr>
          <w:ilvl w:val="3"/>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对于罐壁严重锈蚀的油罐，当油气浓度降到爆炸下限的20％以下，可用高压水进行冲刷。</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如油罐需进行无损探伤或做内防腐时，应用铜刷进一步清除铁锈和积垢，再用金属洗涤剂清洗，并用棉质拖布擦拭干净。</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油罐残料，在作业期间应淋水，以防自燃。</w:t>
      </w:r>
    </w:p>
    <w:p>
      <w:pPr>
        <w:numPr>
          <w:ilvl w:val="2"/>
          <w:numId w:val="18"/>
        </w:numPr>
        <w:autoSpaceDE/>
        <w:autoSpaceDN/>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照明和通讯</w:t>
      </w:r>
    </w:p>
    <w:p>
      <w:pPr>
        <w:numPr>
          <w:ilvl w:val="3"/>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必须采用防爆型照明设备。其最低悬挂高度一般不宜小于2.5米，且固定牢靠。供电电压不应超过12伏特，且应配置漏电保护器，做到一灯一闸一保护。</w:t>
      </w:r>
    </w:p>
    <w:p>
      <w:pPr>
        <w:numPr>
          <w:ilvl w:val="3"/>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油罐清洗作业时的照明，一般应采用防爆手电筒作局部照明。手提行灯的电压不应超过12伏特。</w:t>
      </w:r>
    </w:p>
    <w:p>
      <w:pPr>
        <w:numPr>
          <w:ilvl w:val="3"/>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油罐清洗作业中应加强联系,宜采用防爆型的通讯设备。          </w:t>
      </w:r>
    </w:p>
    <w:p>
      <w:pPr>
        <w:pStyle w:val="84"/>
        <w:rPr>
          <w:b/>
          <w:sz w:val="22"/>
          <w:szCs w:val="22"/>
        </w:rPr>
      </w:pPr>
      <w:r>
        <w:rPr>
          <w:rFonts w:hint="eastAsia" w:asciiTheme="majorEastAsia" w:hAnsiTheme="majorEastAsia" w:eastAsiaTheme="majorEastAsia"/>
          <w:sz w:val="22"/>
          <w:szCs w:val="22"/>
        </w:rPr>
        <w:t>15、</w:t>
      </w:r>
      <w:r>
        <w:rPr>
          <w:rFonts w:hint="eastAsia"/>
          <w:b/>
          <w:sz w:val="22"/>
          <w:szCs w:val="22"/>
        </w:rPr>
        <w:t>辅助资料</w:t>
      </w:r>
    </w:p>
    <w:p>
      <w:pPr>
        <w:pStyle w:val="28"/>
        <w:numPr>
          <w:ilvl w:val="1"/>
          <w:numId w:val="21"/>
        </w:numPr>
        <w:spacing w:before="0" w:after="0"/>
        <w:rPr>
          <w:sz w:val="22"/>
          <w:szCs w:val="22"/>
        </w:rPr>
      </w:pPr>
      <w:bookmarkStart w:id="25" w:name="_Toc269308343"/>
      <w:bookmarkStart w:id="26" w:name="_Toc33188463"/>
      <w:r>
        <w:rPr>
          <w:rFonts w:hint="eastAsia"/>
          <w:sz w:val="22"/>
          <w:szCs w:val="22"/>
        </w:rPr>
        <w:t>项目经理委任书</w:t>
      </w:r>
      <w:bookmarkEnd w:id="25"/>
      <w:bookmarkEnd w:id="26"/>
    </w:p>
    <w:p>
      <w:pPr>
        <w:pStyle w:val="84"/>
        <w:snapToGrid w:val="0"/>
        <w:spacing w:line="360" w:lineRule="auto"/>
        <w:ind w:firstLine="422"/>
        <w:jc w:val="center"/>
        <w:rPr>
          <w:rFonts w:hAnsi="宋体" w:cs="Times New Roman"/>
          <w:b/>
          <w:color w:val="auto"/>
          <w:sz w:val="22"/>
          <w:szCs w:val="22"/>
        </w:rPr>
      </w:pPr>
    </w:p>
    <w:p>
      <w:pPr>
        <w:pStyle w:val="84"/>
        <w:snapToGrid w:val="0"/>
        <w:spacing w:line="360" w:lineRule="auto"/>
        <w:ind w:firstLine="422"/>
        <w:jc w:val="center"/>
        <w:rPr>
          <w:rFonts w:hAnsi="宋体"/>
          <w:color w:val="auto"/>
          <w:sz w:val="28"/>
          <w:szCs w:val="28"/>
        </w:rPr>
      </w:pPr>
      <w:r>
        <w:rPr>
          <w:rFonts w:hint="eastAsia" w:hAnsi="宋体" w:cs="Times New Roman"/>
          <w:b/>
          <w:color w:val="auto"/>
          <w:sz w:val="28"/>
          <w:szCs w:val="28"/>
        </w:rPr>
        <w:t>项目经理委任书</w:t>
      </w:r>
    </w:p>
    <w:p>
      <w:pPr>
        <w:pStyle w:val="84"/>
        <w:snapToGrid w:val="0"/>
        <w:spacing w:line="360" w:lineRule="auto"/>
        <w:ind w:firstLine="420"/>
        <w:jc w:val="both"/>
        <w:rPr>
          <w:rFonts w:hAnsi="宋体"/>
          <w:color w:val="auto"/>
          <w:sz w:val="22"/>
          <w:szCs w:val="22"/>
        </w:rPr>
      </w:pPr>
      <w:r>
        <w:rPr>
          <w:rFonts w:hint="eastAsia" w:hAnsi="宋体"/>
          <w:color w:val="auto"/>
          <w:sz w:val="22"/>
          <w:szCs w:val="22"/>
        </w:rPr>
        <w:t>致：腾龙芳烃（漳州）有限公司</w:t>
      </w:r>
    </w:p>
    <w:p>
      <w:pPr>
        <w:pStyle w:val="84"/>
        <w:snapToGrid w:val="0"/>
        <w:spacing w:line="360" w:lineRule="auto"/>
        <w:ind w:firstLine="420"/>
        <w:jc w:val="both"/>
        <w:rPr>
          <w:rFonts w:hAnsi="宋体"/>
          <w:color w:val="auto"/>
          <w:sz w:val="22"/>
          <w:szCs w:val="22"/>
        </w:rPr>
      </w:pPr>
      <w:r>
        <w:rPr>
          <w:rFonts w:hint="eastAsia" w:hAnsi="宋体"/>
          <w:color w:val="auto"/>
          <w:sz w:val="22"/>
          <w:szCs w:val="22"/>
        </w:rPr>
        <w:t>兹委托我公司为本工程项目的项目经理。代表本公司常驻施工现场，负责处理本工程承包合同履行过程中涉及到本公司权利和义务的一切工作。</w:t>
      </w:r>
    </w:p>
    <w:p>
      <w:pPr>
        <w:pStyle w:val="84"/>
        <w:snapToGrid w:val="0"/>
        <w:spacing w:line="360" w:lineRule="auto"/>
        <w:ind w:firstLine="420"/>
        <w:jc w:val="both"/>
        <w:rPr>
          <w:rFonts w:hAnsi="宋体"/>
          <w:color w:val="auto"/>
          <w:sz w:val="22"/>
          <w:szCs w:val="22"/>
        </w:rPr>
      </w:pPr>
    </w:p>
    <w:p>
      <w:pPr>
        <w:pStyle w:val="84"/>
        <w:snapToGrid w:val="0"/>
        <w:spacing w:line="360" w:lineRule="auto"/>
        <w:ind w:firstLine="420"/>
        <w:jc w:val="both"/>
        <w:rPr>
          <w:rFonts w:hAnsi="宋体"/>
          <w:color w:val="auto"/>
          <w:sz w:val="22"/>
          <w:szCs w:val="22"/>
        </w:rPr>
      </w:pPr>
      <w:r>
        <w:rPr>
          <w:rFonts w:hint="eastAsia" w:hAnsi="宋体"/>
          <w:color w:val="auto"/>
          <w:sz w:val="22"/>
          <w:szCs w:val="22"/>
        </w:rPr>
        <w:t>投标人（盖章）：</w:t>
      </w:r>
    </w:p>
    <w:p>
      <w:pPr>
        <w:pStyle w:val="84"/>
        <w:snapToGrid w:val="0"/>
        <w:spacing w:line="360" w:lineRule="auto"/>
        <w:ind w:firstLine="420"/>
        <w:jc w:val="both"/>
        <w:rPr>
          <w:rFonts w:hAnsi="宋体"/>
          <w:color w:val="auto"/>
          <w:sz w:val="22"/>
          <w:szCs w:val="22"/>
        </w:rPr>
      </w:pPr>
      <w:r>
        <w:rPr>
          <w:rFonts w:hint="eastAsia" w:hAnsi="宋体"/>
          <w:color w:val="auto"/>
          <w:sz w:val="22"/>
          <w:szCs w:val="22"/>
        </w:rPr>
        <w:t>法定代表人（盖章、签字）：</w:t>
      </w:r>
    </w:p>
    <w:p>
      <w:pPr>
        <w:pStyle w:val="84"/>
        <w:snapToGrid w:val="0"/>
        <w:spacing w:line="360" w:lineRule="auto"/>
        <w:ind w:firstLine="420"/>
        <w:jc w:val="both"/>
        <w:rPr>
          <w:rFonts w:hAnsi="宋体"/>
          <w:color w:val="auto"/>
          <w:sz w:val="22"/>
          <w:szCs w:val="22"/>
        </w:rPr>
      </w:pPr>
      <w:r>
        <w:rPr>
          <w:rFonts w:hint="eastAsia" w:hAnsi="宋体"/>
          <w:color w:val="auto"/>
          <w:sz w:val="22"/>
          <w:szCs w:val="22"/>
        </w:rPr>
        <w:t>项目经理（盖章、签字）：</w:t>
      </w:r>
    </w:p>
    <w:p>
      <w:pPr>
        <w:pStyle w:val="84"/>
        <w:snapToGrid w:val="0"/>
        <w:spacing w:line="360" w:lineRule="auto"/>
        <w:ind w:firstLine="420"/>
        <w:jc w:val="both"/>
        <w:rPr>
          <w:rFonts w:hAnsi="宋体"/>
          <w:color w:val="auto"/>
          <w:sz w:val="22"/>
          <w:szCs w:val="22"/>
        </w:rPr>
      </w:pPr>
      <w:r>
        <w:rPr>
          <w:rFonts w:hint="eastAsia" w:hAnsi="宋体"/>
          <w:color w:val="auto"/>
          <w:sz w:val="22"/>
          <w:szCs w:val="22"/>
        </w:rPr>
        <w:t>日期：年月日</w:t>
      </w:r>
    </w:p>
    <w:p>
      <w:pPr>
        <w:pStyle w:val="84"/>
        <w:snapToGrid w:val="0"/>
        <w:spacing w:line="360" w:lineRule="auto"/>
        <w:ind w:firstLine="420"/>
        <w:jc w:val="both"/>
      </w:pPr>
      <w:r>
        <w:rPr>
          <w:rFonts w:hint="eastAsia" w:hAnsi="宋体"/>
          <w:color w:val="auto"/>
          <w:sz w:val="22"/>
          <w:szCs w:val="22"/>
        </w:rPr>
        <w:t>（注：合同实施过程中，更改本项目经理须经招标人同意。）</w:t>
      </w:r>
      <w:r>
        <w:rPr>
          <w:rFonts w:hAnsi="宋体"/>
          <w:color w:val="auto"/>
          <w:sz w:val="22"/>
          <w:szCs w:val="22"/>
        </w:rPr>
        <w:br w:type="textWrapping"/>
      </w:r>
      <w:bookmarkStart w:id="27" w:name="_Toc269308344"/>
      <w:bookmarkStart w:id="28" w:name="_Toc33188464"/>
      <w:r>
        <w:rPr>
          <w:rFonts w:hint="eastAsia"/>
        </w:rPr>
        <w:t>15.2  投标人组织机构表</w:t>
      </w:r>
      <w:bookmarkEnd w:id="27"/>
      <w:bookmarkEnd w:id="28"/>
    </w:p>
    <w:p>
      <w:pPr>
        <w:pStyle w:val="84"/>
        <w:ind w:firstLine="422"/>
        <w:jc w:val="center"/>
        <w:rPr>
          <w:rFonts w:hAnsi="宋体" w:cs="Times New Roman"/>
          <w:b/>
          <w:color w:val="auto"/>
          <w:sz w:val="21"/>
          <w:szCs w:val="21"/>
        </w:rPr>
      </w:pPr>
      <w:r>
        <w:rPr>
          <w:rFonts w:hint="eastAsia" w:hAnsi="宋体" w:cs="Times New Roman"/>
          <w:b/>
          <w:color w:val="auto"/>
          <w:sz w:val="30"/>
          <w:szCs w:val="30"/>
        </w:rPr>
        <w:t>投标人组织机构表</w:t>
      </w:r>
    </w:p>
    <w:tbl>
      <w:tblPr>
        <w:tblStyle w:val="30"/>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57" w:type="dxa"/>
          <w:left w:w="85" w:type="dxa"/>
          <w:bottom w:w="57" w:type="dxa"/>
          <w:right w:w="85" w:type="dxa"/>
        </w:tblCellMar>
      </w:tblPr>
      <w:tblGrid>
        <w:gridCol w:w="2666"/>
        <w:gridCol w:w="1247"/>
        <w:gridCol w:w="500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c>
          <w:tcPr>
            <w:tcW w:w="8916" w:type="dxa"/>
            <w:gridSpan w:val="3"/>
            <w:vAlign w:val="center"/>
          </w:tcPr>
          <w:p>
            <w:pPr>
              <w:pStyle w:val="84"/>
              <w:snapToGrid w:val="0"/>
              <w:ind w:firstLine="420"/>
              <w:jc w:val="center"/>
              <w:rPr>
                <w:rFonts w:hAnsi="宋体"/>
                <w:color w:val="auto"/>
                <w:sz w:val="22"/>
                <w:szCs w:val="22"/>
              </w:rPr>
            </w:pPr>
            <w:r>
              <w:rPr>
                <w:rFonts w:hint="eastAsia" w:hAnsi="宋体"/>
                <w:color w:val="auto"/>
                <w:sz w:val="22"/>
                <w:szCs w:val="22"/>
              </w:rPr>
              <w:t>投标人名称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c>
          <w:tcPr>
            <w:tcW w:w="2666" w:type="dxa"/>
            <w:vAlign w:val="center"/>
          </w:tcPr>
          <w:p>
            <w:pPr>
              <w:pStyle w:val="84"/>
              <w:snapToGrid w:val="0"/>
              <w:ind w:firstLine="420"/>
              <w:jc w:val="center"/>
              <w:rPr>
                <w:rFonts w:hAnsi="宋体"/>
                <w:color w:val="auto"/>
                <w:sz w:val="22"/>
                <w:szCs w:val="22"/>
              </w:rPr>
            </w:pPr>
            <w:r>
              <w:rPr>
                <w:rFonts w:hint="eastAsia" w:hAnsi="宋体"/>
                <w:color w:val="auto"/>
                <w:sz w:val="22"/>
                <w:szCs w:val="22"/>
              </w:rPr>
              <w:t>企业资质</w:t>
            </w:r>
          </w:p>
        </w:tc>
        <w:tc>
          <w:tcPr>
            <w:tcW w:w="6250" w:type="dxa"/>
            <w:gridSpan w:val="2"/>
            <w:vAlign w:val="center"/>
          </w:tcPr>
          <w:p>
            <w:pPr>
              <w:pStyle w:val="84"/>
              <w:snapToGrid w:val="0"/>
              <w:ind w:firstLine="420"/>
              <w:jc w:val="both"/>
              <w:rPr>
                <w:rFonts w:hAnsi="宋体"/>
                <w:color w:val="auto"/>
                <w:sz w:val="22"/>
                <w:szCs w:val="22"/>
              </w:rPr>
            </w:pPr>
            <w:r>
              <w:rPr>
                <w:rFonts w:hAnsi="宋体" w:cs="Times New Roman"/>
                <w:color w:val="auto"/>
                <w:sz w:val="22"/>
                <w:szCs w:val="22"/>
              </w:rPr>
              <w:t>1</w:t>
            </w:r>
            <w:r>
              <w:rPr>
                <w:rFonts w:hint="eastAsia" w:hAnsi="宋体"/>
                <w:color w:val="auto"/>
                <w:sz w:val="22"/>
                <w:szCs w:val="22"/>
              </w:rPr>
              <w:t>、等级：</w:t>
            </w:r>
            <w:r>
              <w:rPr>
                <w:rFonts w:hAnsi="宋体" w:cs="Times New Roman"/>
                <w:color w:val="auto"/>
                <w:sz w:val="22"/>
                <w:szCs w:val="22"/>
              </w:rPr>
              <w:t>2</w:t>
            </w:r>
            <w:r>
              <w:rPr>
                <w:rFonts w:hint="eastAsia" w:hAnsi="宋体"/>
                <w:color w:val="auto"/>
                <w:sz w:val="22"/>
                <w:szCs w:val="22"/>
              </w:rPr>
              <w:t>、证书号：</w:t>
            </w:r>
            <w:r>
              <w:rPr>
                <w:rFonts w:hAnsi="宋体" w:cs="Times New Roman"/>
                <w:color w:val="auto"/>
                <w:sz w:val="22"/>
                <w:szCs w:val="22"/>
              </w:rPr>
              <w:t>3</w:t>
            </w:r>
            <w:r>
              <w:rPr>
                <w:rFonts w:hint="eastAsia" w:hAnsi="宋体"/>
                <w:color w:val="auto"/>
                <w:sz w:val="22"/>
                <w:szCs w:val="22"/>
              </w:rPr>
              <w:t>、发证单位：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c>
          <w:tcPr>
            <w:tcW w:w="2666" w:type="dxa"/>
            <w:vAlign w:val="center"/>
          </w:tcPr>
          <w:p>
            <w:pPr>
              <w:pStyle w:val="84"/>
              <w:snapToGrid w:val="0"/>
              <w:ind w:firstLine="420"/>
              <w:jc w:val="center"/>
              <w:rPr>
                <w:rFonts w:hAnsi="宋体"/>
                <w:color w:val="auto"/>
                <w:sz w:val="22"/>
                <w:szCs w:val="22"/>
              </w:rPr>
            </w:pPr>
            <w:r>
              <w:rPr>
                <w:rFonts w:hint="eastAsia" w:hAnsi="宋体"/>
                <w:color w:val="auto"/>
                <w:sz w:val="22"/>
                <w:szCs w:val="22"/>
              </w:rPr>
              <w:t>营业执照</w:t>
            </w:r>
          </w:p>
        </w:tc>
        <w:tc>
          <w:tcPr>
            <w:tcW w:w="6250" w:type="dxa"/>
            <w:gridSpan w:val="2"/>
            <w:vAlign w:val="center"/>
          </w:tcPr>
          <w:p>
            <w:pPr>
              <w:pStyle w:val="84"/>
              <w:snapToGrid w:val="0"/>
              <w:ind w:firstLine="420"/>
              <w:jc w:val="both"/>
              <w:rPr>
                <w:rFonts w:hAnsi="宋体"/>
                <w:color w:val="auto"/>
                <w:sz w:val="22"/>
                <w:szCs w:val="22"/>
              </w:rPr>
            </w:pPr>
            <w:r>
              <w:rPr>
                <w:rFonts w:hAnsi="宋体" w:cs="Times New Roman"/>
                <w:color w:val="auto"/>
                <w:sz w:val="22"/>
                <w:szCs w:val="22"/>
              </w:rPr>
              <w:t>1</w:t>
            </w:r>
            <w:r>
              <w:rPr>
                <w:rFonts w:hint="eastAsia" w:hAnsi="宋体"/>
                <w:color w:val="auto"/>
                <w:sz w:val="22"/>
                <w:szCs w:val="22"/>
              </w:rPr>
              <w:t>、编号：</w:t>
            </w:r>
            <w:r>
              <w:rPr>
                <w:rFonts w:hAnsi="宋体" w:cs="Times New Roman"/>
                <w:color w:val="auto"/>
                <w:sz w:val="22"/>
                <w:szCs w:val="22"/>
              </w:rPr>
              <w:t>2</w:t>
            </w:r>
            <w:r>
              <w:rPr>
                <w:rFonts w:hint="eastAsia" w:hAnsi="宋体"/>
                <w:color w:val="auto"/>
                <w:sz w:val="22"/>
                <w:szCs w:val="22"/>
              </w:rPr>
              <w:t>、发照单位：</w:t>
            </w:r>
            <w:r>
              <w:rPr>
                <w:rFonts w:hAnsi="宋体" w:cs="Times New Roman"/>
                <w:color w:val="auto"/>
                <w:sz w:val="22"/>
                <w:szCs w:val="22"/>
              </w:rPr>
              <w:t>3</w:t>
            </w:r>
            <w:r>
              <w:rPr>
                <w:rFonts w:hint="eastAsia" w:hAnsi="宋体"/>
                <w:color w:val="auto"/>
                <w:sz w:val="22"/>
                <w:szCs w:val="22"/>
              </w:rPr>
              <w:t>、营业范围：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c>
          <w:tcPr>
            <w:tcW w:w="2666" w:type="dxa"/>
            <w:vAlign w:val="center"/>
          </w:tcPr>
          <w:p>
            <w:pPr>
              <w:pStyle w:val="84"/>
              <w:snapToGrid w:val="0"/>
              <w:ind w:firstLine="420"/>
              <w:jc w:val="center"/>
              <w:rPr>
                <w:rFonts w:hAnsi="宋体"/>
                <w:color w:val="auto"/>
                <w:sz w:val="22"/>
                <w:szCs w:val="22"/>
              </w:rPr>
            </w:pPr>
            <w:r>
              <w:rPr>
                <w:rFonts w:hint="eastAsia" w:hAnsi="宋体"/>
                <w:color w:val="auto"/>
                <w:sz w:val="22"/>
                <w:szCs w:val="22"/>
              </w:rPr>
              <w:t>建立日期</w:t>
            </w:r>
          </w:p>
        </w:tc>
        <w:tc>
          <w:tcPr>
            <w:tcW w:w="1247" w:type="dxa"/>
            <w:vAlign w:val="center"/>
          </w:tcPr>
          <w:p>
            <w:pPr>
              <w:pStyle w:val="84"/>
              <w:snapToGrid w:val="0"/>
              <w:rPr>
                <w:rFonts w:hAnsi="宋体"/>
                <w:color w:val="auto"/>
                <w:sz w:val="22"/>
                <w:szCs w:val="22"/>
              </w:rPr>
            </w:pPr>
            <w:r>
              <w:rPr>
                <w:rFonts w:hint="eastAsia" w:hAnsi="宋体"/>
                <w:color w:val="auto"/>
                <w:sz w:val="22"/>
                <w:szCs w:val="22"/>
              </w:rPr>
              <w:t>现有职工</w:t>
            </w:r>
          </w:p>
        </w:tc>
        <w:tc>
          <w:tcPr>
            <w:tcW w:w="5003" w:type="dxa"/>
            <w:vAlign w:val="center"/>
          </w:tcPr>
          <w:p>
            <w:pPr>
              <w:pStyle w:val="84"/>
              <w:snapToGrid w:val="0"/>
              <w:ind w:firstLine="420"/>
              <w:jc w:val="center"/>
              <w:rPr>
                <w:rFonts w:hAnsi="宋体"/>
                <w:color w:val="auto"/>
                <w:sz w:val="22"/>
                <w:szCs w:val="22"/>
              </w:rPr>
            </w:pPr>
            <w:r>
              <w:rPr>
                <w:rFonts w:hint="eastAsia" w:hAnsi="宋体"/>
                <w:color w:val="auto"/>
                <w:sz w:val="22"/>
                <w:szCs w:val="22"/>
              </w:rPr>
              <w:t>固定资产净值（万元）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c>
          <w:tcPr>
            <w:tcW w:w="2666" w:type="dxa"/>
            <w:vAlign w:val="center"/>
          </w:tcPr>
          <w:p>
            <w:pPr>
              <w:pStyle w:val="84"/>
              <w:snapToGrid w:val="0"/>
              <w:ind w:firstLine="420"/>
              <w:jc w:val="center"/>
              <w:rPr>
                <w:rFonts w:hAnsi="宋体"/>
                <w:color w:val="auto"/>
                <w:sz w:val="22"/>
                <w:szCs w:val="22"/>
              </w:rPr>
            </w:pPr>
            <w:r>
              <w:rPr>
                <w:rFonts w:hint="eastAsia" w:hAnsi="宋体"/>
                <w:color w:val="auto"/>
                <w:sz w:val="22"/>
                <w:szCs w:val="22"/>
              </w:rPr>
              <w:t>行政负责人</w:t>
            </w:r>
          </w:p>
        </w:tc>
        <w:tc>
          <w:tcPr>
            <w:tcW w:w="6250" w:type="dxa"/>
            <w:gridSpan w:val="2"/>
            <w:vAlign w:val="center"/>
          </w:tcPr>
          <w:p>
            <w:pPr>
              <w:pStyle w:val="84"/>
              <w:snapToGrid w:val="0"/>
              <w:ind w:firstLine="420"/>
              <w:jc w:val="both"/>
              <w:rPr>
                <w:rFonts w:hAnsi="宋体"/>
                <w:color w:val="auto"/>
                <w:sz w:val="22"/>
                <w:szCs w:val="22"/>
              </w:rPr>
            </w:pPr>
            <w:r>
              <w:rPr>
                <w:rFonts w:hint="eastAsia" w:hAnsi="宋体"/>
                <w:color w:val="auto"/>
                <w:sz w:val="22"/>
                <w:szCs w:val="22"/>
              </w:rPr>
              <w:t>姓名：职务：职称：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c>
          <w:tcPr>
            <w:tcW w:w="2666" w:type="dxa"/>
            <w:vAlign w:val="center"/>
          </w:tcPr>
          <w:p>
            <w:pPr>
              <w:pStyle w:val="84"/>
              <w:snapToGrid w:val="0"/>
              <w:ind w:firstLine="420"/>
              <w:jc w:val="center"/>
              <w:rPr>
                <w:rFonts w:hAnsi="宋体"/>
                <w:color w:val="auto"/>
                <w:sz w:val="22"/>
                <w:szCs w:val="22"/>
              </w:rPr>
            </w:pPr>
            <w:r>
              <w:rPr>
                <w:rFonts w:hint="eastAsia" w:hAnsi="宋体"/>
                <w:color w:val="auto"/>
                <w:sz w:val="22"/>
                <w:szCs w:val="22"/>
              </w:rPr>
              <w:t>技术负责人</w:t>
            </w:r>
          </w:p>
        </w:tc>
        <w:tc>
          <w:tcPr>
            <w:tcW w:w="6250" w:type="dxa"/>
            <w:gridSpan w:val="2"/>
            <w:vAlign w:val="center"/>
          </w:tcPr>
          <w:p>
            <w:pPr>
              <w:pStyle w:val="84"/>
              <w:snapToGrid w:val="0"/>
              <w:ind w:firstLine="420"/>
              <w:jc w:val="both"/>
              <w:rPr>
                <w:rFonts w:hAnsi="宋体"/>
                <w:color w:val="auto"/>
                <w:sz w:val="22"/>
                <w:szCs w:val="22"/>
              </w:rPr>
            </w:pPr>
            <w:r>
              <w:rPr>
                <w:rFonts w:hint="eastAsia" w:hAnsi="宋体"/>
                <w:color w:val="auto"/>
                <w:sz w:val="22"/>
                <w:szCs w:val="22"/>
              </w:rPr>
              <w:t>姓名：职务：职称：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c>
          <w:tcPr>
            <w:tcW w:w="2666" w:type="dxa"/>
            <w:vAlign w:val="center"/>
          </w:tcPr>
          <w:p>
            <w:pPr>
              <w:pStyle w:val="84"/>
              <w:snapToGrid w:val="0"/>
              <w:ind w:firstLine="420"/>
              <w:jc w:val="center"/>
              <w:rPr>
                <w:rFonts w:hAnsi="宋体"/>
                <w:color w:val="auto"/>
                <w:sz w:val="22"/>
                <w:szCs w:val="22"/>
              </w:rPr>
            </w:pPr>
            <w:r>
              <w:rPr>
                <w:rFonts w:hint="eastAsia" w:hAnsi="宋体"/>
                <w:color w:val="auto"/>
                <w:sz w:val="22"/>
                <w:szCs w:val="22"/>
              </w:rPr>
              <w:t>联系方式</w:t>
            </w:r>
          </w:p>
        </w:tc>
        <w:tc>
          <w:tcPr>
            <w:tcW w:w="6250" w:type="dxa"/>
            <w:gridSpan w:val="2"/>
            <w:vAlign w:val="center"/>
          </w:tcPr>
          <w:p>
            <w:pPr>
              <w:pStyle w:val="84"/>
              <w:snapToGrid w:val="0"/>
              <w:ind w:firstLine="420"/>
              <w:jc w:val="both"/>
              <w:rPr>
                <w:rFonts w:hAnsi="宋体"/>
                <w:color w:val="auto"/>
                <w:sz w:val="22"/>
                <w:szCs w:val="22"/>
              </w:rPr>
            </w:pPr>
            <w:r>
              <w:rPr>
                <w:rFonts w:hint="eastAsia" w:hAnsi="宋体"/>
                <w:color w:val="auto"/>
                <w:sz w:val="22"/>
                <w:szCs w:val="22"/>
              </w:rPr>
              <w:t>地址：邮编：</w:t>
            </w:r>
          </w:p>
          <w:p>
            <w:pPr>
              <w:pStyle w:val="84"/>
              <w:snapToGrid w:val="0"/>
              <w:ind w:firstLine="420"/>
              <w:jc w:val="both"/>
              <w:rPr>
                <w:rFonts w:hAnsi="宋体"/>
                <w:color w:val="auto"/>
                <w:sz w:val="22"/>
                <w:szCs w:val="22"/>
              </w:rPr>
            </w:pPr>
            <w:r>
              <w:rPr>
                <w:rFonts w:hint="eastAsia" w:hAnsi="宋体"/>
                <w:color w:val="auto"/>
                <w:sz w:val="22"/>
                <w:szCs w:val="22"/>
              </w:rPr>
              <w:t>电话：传真：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c>
          <w:tcPr>
            <w:tcW w:w="2666" w:type="dxa"/>
            <w:vAlign w:val="center"/>
          </w:tcPr>
          <w:p>
            <w:pPr>
              <w:pStyle w:val="84"/>
              <w:snapToGrid w:val="0"/>
              <w:ind w:firstLine="420"/>
              <w:jc w:val="center"/>
              <w:rPr>
                <w:rFonts w:hAnsi="宋体"/>
                <w:color w:val="auto"/>
                <w:sz w:val="22"/>
                <w:szCs w:val="22"/>
              </w:rPr>
            </w:pPr>
            <w:r>
              <w:rPr>
                <w:rFonts w:hint="eastAsia" w:hAnsi="宋体"/>
                <w:color w:val="auto"/>
                <w:sz w:val="22"/>
                <w:szCs w:val="22"/>
              </w:rPr>
              <w:t>开户银行</w:t>
            </w:r>
          </w:p>
        </w:tc>
        <w:tc>
          <w:tcPr>
            <w:tcW w:w="6250" w:type="dxa"/>
            <w:gridSpan w:val="2"/>
            <w:vAlign w:val="center"/>
          </w:tcPr>
          <w:p>
            <w:pPr>
              <w:pStyle w:val="84"/>
              <w:snapToGrid w:val="0"/>
              <w:ind w:firstLine="420"/>
              <w:jc w:val="both"/>
              <w:rPr>
                <w:rFonts w:hAnsi="宋体"/>
                <w:color w:val="auto"/>
                <w:sz w:val="22"/>
                <w:szCs w:val="22"/>
              </w:rPr>
            </w:pPr>
            <w:r>
              <w:rPr>
                <w:rFonts w:hint="eastAsia" w:hAnsi="宋体"/>
                <w:color w:val="auto"/>
                <w:sz w:val="22"/>
                <w:szCs w:val="22"/>
              </w:rPr>
              <w:t>名称：帐号：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c>
          <w:tcPr>
            <w:tcW w:w="8916" w:type="dxa"/>
            <w:gridSpan w:val="3"/>
            <w:vAlign w:val="center"/>
          </w:tcPr>
          <w:p>
            <w:pPr>
              <w:pStyle w:val="84"/>
              <w:snapToGrid w:val="0"/>
              <w:ind w:firstLine="420"/>
              <w:jc w:val="center"/>
              <w:rPr>
                <w:rFonts w:hAnsi="宋体"/>
                <w:color w:val="auto"/>
                <w:sz w:val="22"/>
                <w:szCs w:val="22"/>
              </w:rPr>
            </w:pPr>
            <w:r>
              <w:rPr>
                <w:rFonts w:hint="eastAsia" w:hAnsi="宋体"/>
                <w:color w:val="auto"/>
                <w:sz w:val="22"/>
                <w:szCs w:val="22"/>
              </w:rPr>
              <w:t>下属施工单位简况（个数、专业、年完成工作量等）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2106" w:hRule="atLeast"/>
        </w:trPr>
        <w:tc>
          <w:tcPr>
            <w:tcW w:w="2666" w:type="dxa"/>
            <w:vAlign w:val="center"/>
          </w:tcPr>
          <w:p>
            <w:pPr>
              <w:pStyle w:val="84"/>
              <w:snapToGrid w:val="0"/>
              <w:ind w:firstLine="420"/>
              <w:jc w:val="center"/>
              <w:rPr>
                <w:rFonts w:hAnsi="宋体"/>
                <w:color w:val="auto"/>
                <w:sz w:val="22"/>
                <w:szCs w:val="22"/>
              </w:rPr>
            </w:pPr>
            <w:r>
              <w:rPr>
                <w:rFonts w:hint="eastAsia" w:hAnsi="宋体"/>
                <w:color w:val="auto"/>
                <w:sz w:val="22"/>
                <w:szCs w:val="22"/>
              </w:rPr>
              <w:t>组</w:t>
            </w:r>
          </w:p>
          <w:p>
            <w:pPr>
              <w:pStyle w:val="84"/>
              <w:snapToGrid w:val="0"/>
              <w:ind w:firstLine="420"/>
              <w:jc w:val="center"/>
              <w:rPr>
                <w:rFonts w:hAnsi="宋体"/>
                <w:color w:val="auto"/>
                <w:sz w:val="22"/>
                <w:szCs w:val="22"/>
              </w:rPr>
            </w:pPr>
            <w:r>
              <w:rPr>
                <w:rFonts w:hint="eastAsia" w:hAnsi="宋体"/>
                <w:color w:val="auto"/>
                <w:sz w:val="22"/>
                <w:szCs w:val="22"/>
              </w:rPr>
              <w:t>织</w:t>
            </w:r>
          </w:p>
          <w:p>
            <w:pPr>
              <w:pStyle w:val="84"/>
              <w:snapToGrid w:val="0"/>
              <w:ind w:firstLine="420"/>
              <w:jc w:val="center"/>
              <w:rPr>
                <w:rFonts w:hAnsi="宋体"/>
                <w:color w:val="auto"/>
                <w:sz w:val="22"/>
                <w:szCs w:val="22"/>
              </w:rPr>
            </w:pPr>
            <w:r>
              <w:rPr>
                <w:rFonts w:hint="eastAsia" w:hAnsi="宋体"/>
                <w:color w:val="auto"/>
                <w:sz w:val="22"/>
                <w:szCs w:val="22"/>
              </w:rPr>
              <w:t>机</w:t>
            </w:r>
          </w:p>
          <w:p>
            <w:pPr>
              <w:pStyle w:val="84"/>
              <w:snapToGrid w:val="0"/>
              <w:ind w:firstLine="420"/>
              <w:jc w:val="center"/>
              <w:rPr>
                <w:rFonts w:hAnsi="宋体"/>
                <w:color w:val="auto"/>
                <w:sz w:val="22"/>
                <w:szCs w:val="22"/>
              </w:rPr>
            </w:pPr>
            <w:r>
              <w:rPr>
                <w:rFonts w:hint="eastAsia" w:hAnsi="宋体"/>
                <w:color w:val="auto"/>
                <w:sz w:val="22"/>
                <w:szCs w:val="22"/>
              </w:rPr>
              <w:t>构</w:t>
            </w:r>
          </w:p>
          <w:p>
            <w:pPr>
              <w:pStyle w:val="84"/>
              <w:snapToGrid w:val="0"/>
              <w:ind w:firstLine="420"/>
              <w:jc w:val="center"/>
              <w:rPr>
                <w:rFonts w:hAnsi="宋体"/>
                <w:color w:val="auto"/>
                <w:sz w:val="22"/>
                <w:szCs w:val="22"/>
              </w:rPr>
            </w:pPr>
            <w:r>
              <w:rPr>
                <w:rFonts w:hint="eastAsia" w:hAnsi="宋体"/>
                <w:color w:val="auto"/>
                <w:sz w:val="22"/>
                <w:szCs w:val="22"/>
              </w:rPr>
              <w:t>框</w:t>
            </w:r>
          </w:p>
          <w:p>
            <w:pPr>
              <w:pStyle w:val="84"/>
              <w:snapToGrid w:val="0"/>
              <w:ind w:firstLine="420"/>
              <w:jc w:val="center"/>
              <w:rPr>
                <w:rFonts w:hAnsi="宋体"/>
                <w:color w:val="auto"/>
                <w:sz w:val="22"/>
                <w:szCs w:val="22"/>
              </w:rPr>
            </w:pPr>
            <w:r>
              <w:rPr>
                <w:rFonts w:hint="eastAsia" w:hAnsi="宋体"/>
                <w:color w:val="auto"/>
                <w:sz w:val="22"/>
                <w:szCs w:val="22"/>
              </w:rPr>
              <w:t>图</w:t>
            </w:r>
          </w:p>
        </w:tc>
        <w:tc>
          <w:tcPr>
            <w:tcW w:w="6250" w:type="dxa"/>
            <w:gridSpan w:val="2"/>
            <w:vAlign w:val="center"/>
          </w:tcPr>
          <w:p>
            <w:pPr>
              <w:pStyle w:val="84"/>
              <w:snapToGrid w:val="0"/>
              <w:ind w:firstLine="420"/>
              <w:jc w:val="center"/>
              <w:rPr>
                <w:rFonts w:hAnsi="宋体"/>
                <w:color w:val="auto"/>
                <w:sz w:val="22"/>
                <w:szCs w:val="22"/>
              </w:rPr>
            </w:pPr>
            <w:r>
              <w:rPr>
                <w:rFonts w:hint="eastAsia" w:hAnsi="宋体"/>
                <w:color w:val="auto"/>
                <w:sz w:val="22"/>
                <w:szCs w:val="22"/>
              </w:rPr>
              <w:t>（包括结构、领导成员、主要技术人员及数量等情况）</w:t>
            </w:r>
          </w:p>
        </w:tc>
      </w:tr>
    </w:tbl>
    <w:p>
      <w:pPr>
        <w:pStyle w:val="84"/>
        <w:snapToGrid w:val="0"/>
        <w:spacing w:line="360" w:lineRule="auto"/>
        <w:ind w:firstLine="420"/>
        <w:rPr>
          <w:rFonts w:hAnsi="宋体" w:cs="Times New Roman"/>
          <w:color w:val="auto"/>
          <w:sz w:val="22"/>
          <w:szCs w:val="22"/>
        </w:rPr>
      </w:pPr>
    </w:p>
    <w:p>
      <w:pPr>
        <w:pStyle w:val="84"/>
        <w:snapToGrid w:val="0"/>
        <w:spacing w:line="360" w:lineRule="auto"/>
        <w:ind w:firstLine="420"/>
        <w:jc w:val="both"/>
        <w:rPr>
          <w:rFonts w:hAnsi="宋体"/>
          <w:color w:val="auto"/>
          <w:sz w:val="22"/>
          <w:szCs w:val="22"/>
        </w:rPr>
      </w:pPr>
      <w:r>
        <w:rPr>
          <w:rFonts w:hint="eastAsia" w:hAnsi="宋体" w:cs="Times New Roman"/>
          <w:color w:val="auto"/>
          <w:sz w:val="22"/>
          <w:szCs w:val="22"/>
        </w:rPr>
        <w:t>投标人</w:t>
      </w:r>
      <w:r>
        <w:rPr>
          <w:rFonts w:hAnsi="宋体" w:cs="Times New Roman"/>
          <w:color w:val="auto"/>
          <w:sz w:val="22"/>
          <w:szCs w:val="22"/>
        </w:rPr>
        <w:t>(</w:t>
      </w:r>
      <w:r>
        <w:rPr>
          <w:rFonts w:hint="eastAsia" w:hAnsi="宋体"/>
          <w:color w:val="auto"/>
          <w:sz w:val="22"/>
          <w:szCs w:val="22"/>
        </w:rPr>
        <w:t>盖章</w:t>
      </w:r>
      <w:r>
        <w:rPr>
          <w:rFonts w:hAnsi="宋体" w:cs="Times New Roman"/>
          <w:color w:val="auto"/>
          <w:sz w:val="22"/>
          <w:szCs w:val="22"/>
        </w:rPr>
        <w:t>)</w:t>
      </w:r>
      <w:r>
        <w:rPr>
          <w:rFonts w:hint="eastAsia" w:hAnsi="宋体"/>
          <w:color w:val="auto"/>
          <w:sz w:val="22"/>
          <w:szCs w:val="22"/>
        </w:rPr>
        <w:t>：</w:t>
      </w:r>
    </w:p>
    <w:p>
      <w:pPr>
        <w:pStyle w:val="84"/>
        <w:snapToGrid w:val="0"/>
        <w:spacing w:line="360" w:lineRule="auto"/>
        <w:ind w:firstLine="420"/>
        <w:jc w:val="both"/>
        <w:rPr>
          <w:rFonts w:hAnsi="宋体"/>
          <w:color w:val="auto"/>
          <w:sz w:val="22"/>
          <w:szCs w:val="22"/>
        </w:rPr>
      </w:pPr>
      <w:r>
        <w:rPr>
          <w:rFonts w:hint="eastAsia" w:hAnsi="宋体"/>
          <w:color w:val="auto"/>
          <w:sz w:val="22"/>
          <w:szCs w:val="22"/>
        </w:rPr>
        <w:t>法定代表人或其授权代理人（签字并盖章）：</w:t>
      </w:r>
    </w:p>
    <w:p>
      <w:pPr>
        <w:widowControl/>
        <w:rPr>
          <w:lang w:eastAsia="zh-CN"/>
        </w:rPr>
      </w:pPr>
      <w:r>
        <w:rPr>
          <w:lang w:eastAsia="zh-CN"/>
        </w:rPr>
        <w:br w:type="page"/>
      </w:r>
    </w:p>
    <w:p>
      <w:pPr>
        <w:pStyle w:val="28"/>
        <w:numPr>
          <w:ilvl w:val="1"/>
          <w:numId w:val="22"/>
        </w:numPr>
      </w:pPr>
      <w:bookmarkStart w:id="29" w:name="_Toc33188465"/>
      <w:bookmarkStart w:id="30" w:name="_Toc269308345"/>
      <w:r>
        <w:rPr>
          <w:rFonts w:hint="eastAsia"/>
        </w:rPr>
        <w:t xml:space="preserve">   管理人员配备情况表</w:t>
      </w:r>
      <w:bookmarkEnd w:id="29"/>
      <w:bookmarkEnd w:id="30"/>
    </w:p>
    <w:p>
      <w:pPr>
        <w:pStyle w:val="84"/>
        <w:snapToGrid w:val="0"/>
        <w:spacing w:line="360" w:lineRule="auto"/>
        <w:ind w:firstLine="420"/>
        <w:jc w:val="center"/>
        <w:rPr>
          <w:rFonts w:hAnsi="宋体"/>
          <w:color w:val="auto"/>
          <w:sz w:val="21"/>
          <w:szCs w:val="21"/>
        </w:rPr>
      </w:pPr>
    </w:p>
    <w:p>
      <w:pPr>
        <w:pStyle w:val="84"/>
        <w:snapToGrid w:val="0"/>
        <w:spacing w:line="360" w:lineRule="auto"/>
        <w:ind w:firstLine="420"/>
        <w:jc w:val="center"/>
        <w:rPr>
          <w:rFonts w:hAnsi="宋体"/>
          <w:color w:val="auto"/>
          <w:sz w:val="32"/>
          <w:szCs w:val="32"/>
        </w:rPr>
      </w:pPr>
      <w:r>
        <w:rPr>
          <w:rFonts w:hint="eastAsia" w:hAnsi="宋体"/>
          <w:color w:val="auto"/>
          <w:sz w:val="32"/>
          <w:szCs w:val="32"/>
        </w:rPr>
        <w:t>管理人员配备情况表</w:t>
      </w:r>
    </w:p>
    <w:p>
      <w:pPr>
        <w:pStyle w:val="84"/>
        <w:snapToGrid w:val="0"/>
        <w:spacing w:line="360" w:lineRule="auto"/>
        <w:ind w:firstLine="420"/>
        <w:jc w:val="both"/>
        <w:rPr>
          <w:rFonts w:hAnsi="宋体"/>
          <w:color w:val="auto"/>
          <w:sz w:val="22"/>
          <w:szCs w:val="22"/>
        </w:rPr>
      </w:pPr>
      <w:r>
        <w:rPr>
          <w:rFonts w:hint="eastAsia" w:hAnsi="宋体"/>
          <w:color w:val="auto"/>
          <w:sz w:val="22"/>
          <w:szCs w:val="22"/>
        </w:rPr>
        <w:t>项目名称：</w:t>
      </w:r>
    </w:p>
    <w:p>
      <w:pPr>
        <w:pStyle w:val="84"/>
        <w:snapToGrid w:val="0"/>
        <w:spacing w:line="360" w:lineRule="auto"/>
        <w:ind w:firstLine="420"/>
        <w:jc w:val="both"/>
        <w:rPr>
          <w:rFonts w:hAnsi="宋体"/>
          <w:color w:val="auto"/>
          <w:sz w:val="22"/>
          <w:szCs w:val="22"/>
        </w:rPr>
      </w:pPr>
      <w:r>
        <w:rPr>
          <w:rFonts w:hint="eastAsia" w:hAnsi="宋体"/>
          <w:color w:val="auto"/>
          <w:sz w:val="22"/>
          <w:szCs w:val="22"/>
        </w:rPr>
        <w:t>投标人名称：</w:t>
      </w:r>
    </w:p>
    <w:tbl>
      <w:tblPr>
        <w:tblStyle w:val="30"/>
        <w:tblW w:w="0" w:type="auto"/>
        <w:tblInd w:w="46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57" w:type="dxa"/>
          <w:left w:w="85" w:type="dxa"/>
          <w:bottom w:w="57" w:type="dxa"/>
          <w:right w:w="85" w:type="dxa"/>
        </w:tblCellMar>
      </w:tblPr>
      <w:tblGrid>
        <w:gridCol w:w="710"/>
        <w:gridCol w:w="1212"/>
        <w:gridCol w:w="1410"/>
        <w:gridCol w:w="754"/>
        <w:gridCol w:w="754"/>
        <w:gridCol w:w="754"/>
        <w:gridCol w:w="754"/>
        <w:gridCol w:w="1316"/>
        <w:gridCol w:w="168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482" w:hRule="atLeast"/>
        </w:trPr>
        <w:tc>
          <w:tcPr>
            <w:tcW w:w="720" w:type="dxa"/>
            <w:vMerge w:val="restart"/>
            <w:vAlign w:val="center"/>
          </w:tcPr>
          <w:p>
            <w:pPr>
              <w:pStyle w:val="84"/>
              <w:snapToGrid w:val="0"/>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姓名</w:t>
            </w:r>
          </w:p>
        </w:tc>
        <w:tc>
          <w:tcPr>
            <w:tcW w:w="1237" w:type="dxa"/>
            <w:vMerge w:val="restart"/>
            <w:vAlign w:val="center"/>
          </w:tcPr>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职务</w:t>
            </w:r>
          </w:p>
        </w:tc>
        <w:tc>
          <w:tcPr>
            <w:tcW w:w="1440" w:type="dxa"/>
            <w:vMerge w:val="restart"/>
            <w:vAlign w:val="center"/>
          </w:tcPr>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职称</w:t>
            </w:r>
          </w:p>
        </w:tc>
        <w:tc>
          <w:tcPr>
            <w:tcW w:w="3060" w:type="dxa"/>
            <w:gridSpan w:val="4"/>
            <w:vAlign w:val="center"/>
          </w:tcPr>
          <w:p>
            <w:pPr>
              <w:pStyle w:val="84"/>
              <w:snapToGrid w:val="0"/>
              <w:ind w:firstLine="42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上岗资格证明</w:t>
            </w:r>
          </w:p>
        </w:tc>
        <w:tc>
          <w:tcPr>
            <w:tcW w:w="3060" w:type="dxa"/>
            <w:gridSpan w:val="2"/>
            <w:vAlign w:val="center"/>
          </w:tcPr>
          <w:p>
            <w:pPr>
              <w:pStyle w:val="84"/>
              <w:snapToGrid w:val="0"/>
              <w:ind w:firstLine="42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工作简历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1019" w:hRule="atLeast"/>
        </w:trPr>
        <w:tc>
          <w:tcPr>
            <w:tcW w:w="720" w:type="dxa"/>
            <w:vMerge w:val="continue"/>
            <w:vAlign w:val="center"/>
          </w:tcPr>
          <w:p>
            <w:pPr>
              <w:pStyle w:val="84"/>
              <w:snapToGrid w:val="0"/>
              <w:ind w:firstLine="420"/>
              <w:rPr>
                <w:rFonts w:cs="Times New Roman" w:asciiTheme="majorEastAsia" w:hAnsiTheme="majorEastAsia" w:eastAsiaTheme="majorEastAsia"/>
                <w:color w:val="auto"/>
                <w:sz w:val="22"/>
                <w:szCs w:val="22"/>
              </w:rPr>
            </w:pPr>
          </w:p>
        </w:tc>
        <w:tc>
          <w:tcPr>
            <w:tcW w:w="1237" w:type="dxa"/>
            <w:vMerge w:val="continue"/>
            <w:vAlign w:val="center"/>
          </w:tcPr>
          <w:p>
            <w:pPr>
              <w:pStyle w:val="84"/>
              <w:snapToGrid w:val="0"/>
              <w:ind w:firstLine="420"/>
              <w:rPr>
                <w:rFonts w:cs="Times New Roman" w:asciiTheme="majorEastAsia" w:hAnsiTheme="majorEastAsia" w:eastAsiaTheme="majorEastAsia"/>
                <w:color w:val="auto"/>
                <w:sz w:val="22"/>
                <w:szCs w:val="22"/>
              </w:rPr>
            </w:pPr>
          </w:p>
        </w:tc>
        <w:tc>
          <w:tcPr>
            <w:tcW w:w="1440" w:type="dxa"/>
            <w:vMerge w:val="continue"/>
            <w:vAlign w:val="center"/>
          </w:tcPr>
          <w:p>
            <w:pPr>
              <w:pStyle w:val="84"/>
              <w:snapToGrid w:val="0"/>
              <w:ind w:firstLine="420"/>
              <w:rPr>
                <w:rFonts w:cs="Times New Roman" w:asciiTheme="majorEastAsia" w:hAnsiTheme="majorEastAsia" w:eastAsiaTheme="majorEastAsia"/>
                <w:color w:val="auto"/>
                <w:sz w:val="22"/>
                <w:szCs w:val="22"/>
              </w:rPr>
            </w:pPr>
          </w:p>
        </w:tc>
        <w:tc>
          <w:tcPr>
            <w:tcW w:w="765" w:type="dxa"/>
            <w:vAlign w:val="center"/>
          </w:tcPr>
          <w:p>
            <w:pPr>
              <w:pStyle w:val="84"/>
              <w:snapToGrid w:val="0"/>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证书</w:t>
            </w:r>
          </w:p>
          <w:p>
            <w:pPr>
              <w:pStyle w:val="84"/>
              <w:snapToGrid w:val="0"/>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名称</w:t>
            </w:r>
          </w:p>
        </w:tc>
        <w:tc>
          <w:tcPr>
            <w:tcW w:w="765" w:type="dxa"/>
            <w:vAlign w:val="center"/>
          </w:tcPr>
          <w:p>
            <w:pPr>
              <w:pStyle w:val="84"/>
              <w:snapToGrid w:val="0"/>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级别</w:t>
            </w:r>
          </w:p>
        </w:tc>
        <w:tc>
          <w:tcPr>
            <w:tcW w:w="765" w:type="dxa"/>
            <w:vAlign w:val="center"/>
          </w:tcPr>
          <w:p>
            <w:pPr>
              <w:pStyle w:val="84"/>
              <w:snapToGrid w:val="0"/>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证号</w:t>
            </w:r>
          </w:p>
        </w:tc>
        <w:tc>
          <w:tcPr>
            <w:tcW w:w="765" w:type="dxa"/>
            <w:vAlign w:val="center"/>
          </w:tcPr>
          <w:p>
            <w:pPr>
              <w:pStyle w:val="84"/>
              <w:snapToGrid w:val="0"/>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专业</w:t>
            </w:r>
          </w:p>
        </w:tc>
        <w:tc>
          <w:tcPr>
            <w:tcW w:w="1343" w:type="dxa"/>
            <w:vAlign w:val="center"/>
          </w:tcPr>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项目</w:t>
            </w:r>
          </w:p>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名称</w:t>
            </w:r>
          </w:p>
        </w:tc>
        <w:tc>
          <w:tcPr>
            <w:tcW w:w="1717" w:type="dxa"/>
            <w:vAlign w:val="center"/>
          </w:tcPr>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所担任的工作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482" w:hRule="atLeast"/>
        </w:trPr>
        <w:tc>
          <w:tcPr>
            <w:tcW w:w="720" w:type="dxa"/>
            <w:vAlign w:val="center"/>
          </w:tcPr>
          <w:p>
            <w:pPr>
              <w:pStyle w:val="84"/>
              <w:snapToGrid w:val="0"/>
              <w:ind w:firstLine="420"/>
              <w:jc w:val="center"/>
              <w:rPr>
                <w:rFonts w:asciiTheme="majorEastAsia" w:hAnsiTheme="majorEastAsia" w:eastAsiaTheme="majorEastAsia"/>
                <w:color w:val="auto"/>
                <w:sz w:val="22"/>
                <w:szCs w:val="22"/>
              </w:rPr>
            </w:pPr>
          </w:p>
        </w:tc>
        <w:tc>
          <w:tcPr>
            <w:tcW w:w="1237" w:type="dxa"/>
            <w:vAlign w:val="center"/>
          </w:tcPr>
          <w:p>
            <w:pPr>
              <w:pStyle w:val="84"/>
              <w:snapToGrid w:val="0"/>
              <w:ind w:firstLine="420"/>
              <w:jc w:val="center"/>
              <w:rPr>
                <w:rFonts w:asciiTheme="majorEastAsia" w:hAnsiTheme="majorEastAsia" w:eastAsiaTheme="majorEastAsia"/>
                <w:color w:val="auto"/>
                <w:sz w:val="22"/>
                <w:szCs w:val="22"/>
              </w:rPr>
            </w:pPr>
          </w:p>
        </w:tc>
        <w:tc>
          <w:tcPr>
            <w:tcW w:w="1440" w:type="dxa"/>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4"/>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2"/>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482" w:hRule="atLeast"/>
        </w:trPr>
        <w:tc>
          <w:tcPr>
            <w:tcW w:w="720" w:type="dxa"/>
            <w:vAlign w:val="center"/>
          </w:tcPr>
          <w:p>
            <w:pPr>
              <w:pStyle w:val="84"/>
              <w:snapToGrid w:val="0"/>
              <w:ind w:firstLine="420"/>
              <w:jc w:val="center"/>
              <w:rPr>
                <w:rFonts w:asciiTheme="majorEastAsia" w:hAnsiTheme="majorEastAsia" w:eastAsiaTheme="majorEastAsia"/>
                <w:color w:val="auto"/>
                <w:sz w:val="22"/>
                <w:szCs w:val="22"/>
              </w:rPr>
            </w:pPr>
          </w:p>
        </w:tc>
        <w:tc>
          <w:tcPr>
            <w:tcW w:w="1237" w:type="dxa"/>
            <w:vAlign w:val="center"/>
          </w:tcPr>
          <w:p>
            <w:pPr>
              <w:pStyle w:val="84"/>
              <w:snapToGrid w:val="0"/>
              <w:ind w:firstLine="420"/>
              <w:jc w:val="center"/>
              <w:rPr>
                <w:rFonts w:asciiTheme="majorEastAsia" w:hAnsiTheme="majorEastAsia" w:eastAsiaTheme="majorEastAsia"/>
                <w:color w:val="auto"/>
                <w:sz w:val="22"/>
                <w:szCs w:val="22"/>
              </w:rPr>
            </w:pPr>
          </w:p>
        </w:tc>
        <w:tc>
          <w:tcPr>
            <w:tcW w:w="1440" w:type="dxa"/>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4"/>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2"/>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482" w:hRule="atLeast"/>
        </w:trPr>
        <w:tc>
          <w:tcPr>
            <w:tcW w:w="720" w:type="dxa"/>
            <w:vAlign w:val="center"/>
          </w:tcPr>
          <w:p>
            <w:pPr>
              <w:pStyle w:val="84"/>
              <w:snapToGrid w:val="0"/>
              <w:ind w:firstLine="420"/>
              <w:jc w:val="center"/>
              <w:rPr>
                <w:rFonts w:asciiTheme="majorEastAsia" w:hAnsiTheme="majorEastAsia" w:eastAsiaTheme="majorEastAsia"/>
                <w:color w:val="auto"/>
                <w:sz w:val="22"/>
                <w:szCs w:val="22"/>
              </w:rPr>
            </w:pPr>
          </w:p>
        </w:tc>
        <w:tc>
          <w:tcPr>
            <w:tcW w:w="1237" w:type="dxa"/>
            <w:vAlign w:val="center"/>
          </w:tcPr>
          <w:p>
            <w:pPr>
              <w:pStyle w:val="84"/>
              <w:snapToGrid w:val="0"/>
              <w:ind w:firstLine="420"/>
              <w:jc w:val="center"/>
              <w:rPr>
                <w:rFonts w:asciiTheme="majorEastAsia" w:hAnsiTheme="majorEastAsia" w:eastAsiaTheme="majorEastAsia"/>
                <w:color w:val="auto"/>
                <w:sz w:val="22"/>
                <w:szCs w:val="22"/>
              </w:rPr>
            </w:pPr>
          </w:p>
        </w:tc>
        <w:tc>
          <w:tcPr>
            <w:tcW w:w="1440" w:type="dxa"/>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4"/>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2"/>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482" w:hRule="atLeast"/>
        </w:trPr>
        <w:tc>
          <w:tcPr>
            <w:tcW w:w="720" w:type="dxa"/>
            <w:vAlign w:val="center"/>
          </w:tcPr>
          <w:p>
            <w:pPr>
              <w:pStyle w:val="84"/>
              <w:snapToGrid w:val="0"/>
              <w:ind w:firstLine="420"/>
              <w:jc w:val="center"/>
              <w:rPr>
                <w:rFonts w:asciiTheme="majorEastAsia" w:hAnsiTheme="majorEastAsia" w:eastAsiaTheme="majorEastAsia"/>
                <w:color w:val="auto"/>
                <w:sz w:val="22"/>
                <w:szCs w:val="22"/>
              </w:rPr>
            </w:pPr>
          </w:p>
        </w:tc>
        <w:tc>
          <w:tcPr>
            <w:tcW w:w="1237" w:type="dxa"/>
            <w:vAlign w:val="center"/>
          </w:tcPr>
          <w:p>
            <w:pPr>
              <w:pStyle w:val="84"/>
              <w:snapToGrid w:val="0"/>
              <w:ind w:firstLine="420"/>
              <w:jc w:val="center"/>
              <w:rPr>
                <w:rFonts w:asciiTheme="majorEastAsia" w:hAnsiTheme="majorEastAsia" w:eastAsiaTheme="majorEastAsia"/>
                <w:color w:val="auto"/>
                <w:sz w:val="22"/>
                <w:szCs w:val="22"/>
              </w:rPr>
            </w:pPr>
          </w:p>
        </w:tc>
        <w:tc>
          <w:tcPr>
            <w:tcW w:w="1440" w:type="dxa"/>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4"/>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2"/>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482" w:hRule="atLeast"/>
        </w:trPr>
        <w:tc>
          <w:tcPr>
            <w:tcW w:w="720" w:type="dxa"/>
            <w:vAlign w:val="center"/>
          </w:tcPr>
          <w:p>
            <w:pPr>
              <w:pStyle w:val="84"/>
              <w:snapToGrid w:val="0"/>
              <w:ind w:firstLine="420"/>
              <w:jc w:val="center"/>
              <w:rPr>
                <w:rFonts w:asciiTheme="majorEastAsia" w:hAnsiTheme="majorEastAsia" w:eastAsiaTheme="majorEastAsia"/>
                <w:color w:val="auto"/>
                <w:sz w:val="22"/>
                <w:szCs w:val="22"/>
              </w:rPr>
            </w:pPr>
          </w:p>
        </w:tc>
        <w:tc>
          <w:tcPr>
            <w:tcW w:w="1237" w:type="dxa"/>
            <w:vAlign w:val="center"/>
          </w:tcPr>
          <w:p>
            <w:pPr>
              <w:pStyle w:val="84"/>
              <w:snapToGrid w:val="0"/>
              <w:ind w:firstLine="420"/>
              <w:jc w:val="center"/>
              <w:rPr>
                <w:rFonts w:asciiTheme="majorEastAsia" w:hAnsiTheme="majorEastAsia" w:eastAsiaTheme="majorEastAsia"/>
                <w:color w:val="auto"/>
                <w:sz w:val="22"/>
                <w:szCs w:val="22"/>
              </w:rPr>
            </w:pPr>
          </w:p>
        </w:tc>
        <w:tc>
          <w:tcPr>
            <w:tcW w:w="1440" w:type="dxa"/>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4"/>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2"/>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482" w:hRule="atLeast"/>
        </w:trPr>
        <w:tc>
          <w:tcPr>
            <w:tcW w:w="720" w:type="dxa"/>
            <w:vAlign w:val="center"/>
          </w:tcPr>
          <w:p>
            <w:pPr>
              <w:pStyle w:val="84"/>
              <w:snapToGrid w:val="0"/>
              <w:ind w:firstLine="420"/>
              <w:jc w:val="center"/>
              <w:rPr>
                <w:rFonts w:asciiTheme="majorEastAsia" w:hAnsiTheme="majorEastAsia" w:eastAsiaTheme="majorEastAsia"/>
                <w:color w:val="auto"/>
                <w:sz w:val="22"/>
                <w:szCs w:val="22"/>
              </w:rPr>
            </w:pPr>
          </w:p>
        </w:tc>
        <w:tc>
          <w:tcPr>
            <w:tcW w:w="1237" w:type="dxa"/>
            <w:vAlign w:val="center"/>
          </w:tcPr>
          <w:p>
            <w:pPr>
              <w:pStyle w:val="84"/>
              <w:snapToGrid w:val="0"/>
              <w:ind w:firstLine="420"/>
              <w:jc w:val="center"/>
              <w:rPr>
                <w:rFonts w:asciiTheme="majorEastAsia" w:hAnsiTheme="majorEastAsia" w:eastAsiaTheme="majorEastAsia"/>
                <w:color w:val="auto"/>
                <w:sz w:val="22"/>
                <w:szCs w:val="22"/>
              </w:rPr>
            </w:pPr>
          </w:p>
        </w:tc>
        <w:tc>
          <w:tcPr>
            <w:tcW w:w="1440" w:type="dxa"/>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4"/>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2"/>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482" w:hRule="atLeast"/>
        </w:trPr>
        <w:tc>
          <w:tcPr>
            <w:tcW w:w="720" w:type="dxa"/>
            <w:vAlign w:val="center"/>
          </w:tcPr>
          <w:p>
            <w:pPr>
              <w:pStyle w:val="84"/>
              <w:snapToGrid w:val="0"/>
              <w:ind w:firstLine="420"/>
              <w:jc w:val="center"/>
              <w:rPr>
                <w:rFonts w:asciiTheme="majorEastAsia" w:hAnsiTheme="majorEastAsia" w:eastAsiaTheme="majorEastAsia"/>
                <w:color w:val="auto"/>
                <w:sz w:val="22"/>
                <w:szCs w:val="22"/>
              </w:rPr>
            </w:pPr>
          </w:p>
        </w:tc>
        <w:tc>
          <w:tcPr>
            <w:tcW w:w="1237" w:type="dxa"/>
            <w:vAlign w:val="center"/>
          </w:tcPr>
          <w:p>
            <w:pPr>
              <w:pStyle w:val="84"/>
              <w:snapToGrid w:val="0"/>
              <w:ind w:firstLine="420"/>
              <w:jc w:val="center"/>
              <w:rPr>
                <w:rFonts w:asciiTheme="majorEastAsia" w:hAnsiTheme="majorEastAsia" w:eastAsiaTheme="majorEastAsia"/>
                <w:color w:val="auto"/>
                <w:sz w:val="22"/>
                <w:szCs w:val="22"/>
              </w:rPr>
            </w:pPr>
          </w:p>
        </w:tc>
        <w:tc>
          <w:tcPr>
            <w:tcW w:w="1440" w:type="dxa"/>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4"/>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2"/>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482" w:hRule="atLeast"/>
        </w:trPr>
        <w:tc>
          <w:tcPr>
            <w:tcW w:w="720" w:type="dxa"/>
            <w:vAlign w:val="center"/>
          </w:tcPr>
          <w:p>
            <w:pPr>
              <w:pStyle w:val="84"/>
              <w:snapToGrid w:val="0"/>
              <w:ind w:firstLine="420"/>
              <w:jc w:val="center"/>
              <w:rPr>
                <w:rFonts w:asciiTheme="majorEastAsia" w:hAnsiTheme="majorEastAsia" w:eastAsiaTheme="majorEastAsia"/>
                <w:color w:val="auto"/>
                <w:sz w:val="22"/>
                <w:szCs w:val="22"/>
              </w:rPr>
            </w:pPr>
          </w:p>
        </w:tc>
        <w:tc>
          <w:tcPr>
            <w:tcW w:w="1237" w:type="dxa"/>
            <w:vAlign w:val="center"/>
          </w:tcPr>
          <w:p>
            <w:pPr>
              <w:pStyle w:val="84"/>
              <w:snapToGrid w:val="0"/>
              <w:ind w:firstLine="420"/>
              <w:jc w:val="center"/>
              <w:rPr>
                <w:rFonts w:asciiTheme="majorEastAsia" w:hAnsiTheme="majorEastAsia" w:eastAsiaTheme="majorEastAsia"/>
                <w:color w:val="auto"/>
                <w:sz w:val="22"/>
                <w:szCs w:val="22"/>
              </w:rPr>
            </w:pPr>
          </w:p>
        </w:tc>
        <w:tc>
          <w:tcPr>
            <w:tcW w:w="1440" w:type="dxa"/>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4"/>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2"/>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482" w:hRule="atLeast"/>
        </w:trPr>
        <w:tc>
          <w:tcPr>
            <w:tcW w:w="720" w:type="dxa"/>
            <w:vAlign w:val="center"/>
          </w:tcPr>
          <w:p>
            <w:pPr>
              <w:pStyle w:val="84"/>
              <w:snapToGrid w:val="0"/>
              <w:ind w:firstLine="420"/>
              <w:jc w:val="center"/>
              <w:rPr>
                <w:rFonts w:asciiTheme="majorEastAsia" w:hAnsiTheme="majorEastAsia" w:eastAsiaTheme="majorEastAsia"/>
                <w:color w:val="auto"/>
                <w:sz w:val="22"/>
                <w:szCs w:val="22"/>
              </w:rPr>
            </w:pPr>
          </w:p>
        </w:tc>
        <w:tc>
          <w:tcPr>
            <w:tcW w:w="1237" w:type="dxa"/>
            <w:vAlign w:val="center"/>
          </w:tcPr>
          <w:p>
            <w:pPr>
              <w:pStyle w:val="84"/>
              <w:snapToGrid w:val="0"/>
              <w:ind w:firstLine="420"/>
              <w:jc w:val="center"/>
              <w:rPr>
                <w:rFonts w:asciiTheme="majorEastAsia" w:hAnsiTheme="majorEastAsia" w:eastAsiaTheme="majorEastAsia"/>
                <w:color w:val="auto"/>
                <w:sz w:val="22"/>
                <w:szCs w:val="22"/>
              </w:rPr>
            </w:pPr>
          </w:p>
        </w:tc>
        <w:tc>
          <w:tcPr>
            <w:tcW w:w="1440" w:type="dxa"/>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4"/>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2"/>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482" w:hRule="atLeast"/>
        </w:trPr>
        <w:tc>
          <w:tcPr>
            <w:tcW w:w="720" w:type="dxa"/>
            <w:vAlign w:val="center"/>
          </w:tcPr>
          <w:p>
            <w:pPr>
              <w:pStyle w:val="84"/>
              <w:snapToGrid w:val="0"/>
              <w:ind w:firstLine="420"/>
              <w:jc w:val="center"/>
              <w:rPr>
                <w:rFonts w:asciiTheme="majorEastAsia" w:hAnsiTheme="majorEastAsia" w:eastAsiaTheme="majorEastAsia"/>
                <w:color w:val="auto"/>
                <w:sz w:val="22"/>
                <w:szCs w:val="22"/>
              </w:rPr>
            </w:pPr>
          </w:p>
        </w:tc>
        <w:tc>
          <w:tcPr>
            <w:tcW w:w="1237" w:type="dxa"/>
            <w:vAlign w:val="center"/>
          </w:tcPr>
          <w:p>
            <w:pPr>
              <w:pStyle w:val="84"/>
              <w:snapToGrid w:val="0"/>
              <w:ind w:firstLine="420"/>
              <w:jc w:val="center"/>
              <w:rPr>
                <w:rFonts w:asciiTheme="majorEastAsia" w:hAnsiTheme="majorEastAsia" w:eastAsiaTheme="majorEastAsia"/>
                <w:color w:val="auto"/>
                <w:sz w:val="22"/>
                <w:szCs w:val="22"/>
              </w:rPr>
            </w:pPr>
          </w:p>
        </w:tc>
        <w:tc>
          <w:tcPr>
            <w:tcW w:w="1440" w:type="dxa"/>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4"/>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2"/>
            <w:vAlign w:val="center"/>
          </w:tcPr>
          <w:p>
            <w:pPr>
              <w:pStyle w:val="84"/>
              <w:snapToGrid w:val="0"/>
              <w:ind w:firstLine="420"/>
              <w:jc w:val="center"/>
              <w:rPr>
                <w:rFonts w:asciiTheme="majorEastAsia" w:hAnsiTheme="majorEastAsia" w:eastAsiaTheme="majorEastAsia"/>
                <w:color w:val="auto"/>
                <w:sz w:val="22"/>
                <w:szCs w:val="22"/>
              </w:rPr>
            </w:pPr>
          </w:p>
        </w:tc>
      </w:tr>
    </w:tbl>
    <w:p>
      <w:pPr>
        <w:pStyle w:val="84"/>
        <w:snapToGrid w:val="0"/>
        <w:spacing w:line="360" w:lineRule="auto"/>
        <w:ind w:left="440" w:leftChars="200" w:firstLine="420"/>
        <w:jc w:val="both"/>
        <w:rPr>
          <w:rFonts w:hAnsi="宋体" w:cs="Times New Roman"/>
          <w:color w:val="auto"/>
          <w:sz w:val="21"/>
          <w:szCs w:val="21"/>
        </w:rPr>
      </w:pPr>
    </w:p>
    <w:p>
      <w:pPr>
        <w:pStyle w:val="84"/>
        <w:snapToGrid w:val="0"/>
        <w:spacing w:line="360" w:lineRule="auto"/>
        <w:ind w:left="440" w:leftChars="200" w:firstLine="420"/>
        <w:jc w:val="both"/>
        <w:rPr>
          <w:rFonts w:hAnsi="宋体" w:cs="Times New Roman"/>
          <w:color w:val="auto"/>
          <w:sz w:val="22"/>
          <w:szCs w:val="22"/>
        </w:rPr>
      </w:pPr>
      <w:r>
        <w:rPr>
          <w:rFonts w:hint="eastAsia" w:hAnsi="宋体" w:cs="Times New Roman"/>
          <w:color w:val="auto"/>
          <w:sz w:val="22"/>
          <w:szCs w:val="22"/>
        </w:rPr>
        <w:t>注：</w:t>
      </w:r>
    </w:p>
    <w:p>
      <w:pPr>
        <w:pStyle w:val="84"/>
        <w:snapToGrid w:val="0"/>
        <w:spacing w:line="360" w:lineRule="auto"/>
        <w:ind w:left="440" w:leftChars="200" w:firstLine="420"/>
        <w:jc w:val="both"/>
        <w:rPr>
          <w:rFonts w:hAnsi="宋体" w:cs="Times New Roman"/>
          <w:color w:val="auto"/>
          <w:sz w:val="22"/>
          <w:szCs w:val="22"/>
        </w:rPr>
      </w:pPr>
      <w:r>
        <w:rPr>
          <w:rFonts w:hint="eastAsia" w:hAnsi="宋体" w:cs="Times New Roman"/>
          <w:color w:val="auto"/>
          <w:sz w:val="22"/>
          <w:szCs w:val="22"/>
        </w:rPr>
        <w:t>投标人应随此表附上相关资格证件的复印件（加盖公章），资格证件（书）上注明的服务单位如与投标人不一致，应附上有关说明资料。</w:t>
      </w:r>
    </w:p>
    <w:p>
      <w:pPr>
        <w:pStyle w:val="84"/>
        <w:snapToGrid w:val="0"/>
        <w:spacing w:line="360" w:lineRule="auto"/>
        <w:ind w:firstLine="420"/>
        <w:jc w:val="both"/>
        <w:rPr>
          <w:rFonts w:hAnsi="宋体"/>
          <w:color w:val="auto"/>
          <w:sz w:val="22"/>
          <w:szCs w:val="22"/>
        </w:rPr>
      </w:pPr>
      <w:r>
        <w:rPr>
          <w:rFonts w:hint="eastAsia" w:hAnsi="宋体" w:cs="Times New Roman"/>
          <w:color w:val="auto"/>
          <w:sz w:val="22"/>
          <w:szCs w:val="22"/>
        </w:rPr>
        <w:t>投标人</w:t>
      </w:r>
      <w:r>
        <w:rPr>
          <w:rFonts w:hAnsi="宋体" w:cs="Times New Roman"/>
          <w:color w:val="auto"/>
          <w:sz w:val="22"/>
          <w:szCs w:val="22"/>
        </w:rPr>
        <w:t>(</w:t>
      </w:r>
      <w:r>
        <w:rPr>
          <w:rFonts w:hint="eastAsia" w:hAnsi="宋体"/>
          <w:color w:val="auto"/>
          <w:sz w:val="22"/>
          <w:szCs w:val="22"/>
        </w:rPr>
        <w:t>盖章</w:t>
      </w:r>
      <w:r>
        <w:rPr>
          <w:rFonts w:hAnsi="宋体" w:cs="Times New Roman"/>
          <w:color w:val="auto"/>
          <w:sz w:val="22"/>
          <w:szCs w:val="22"/>
        </w:rPr>
        <w:t>)</w:t>
      </w:r>
      <w:r>
        <w:rPr>
          <w:rFonts w:hint="eastAsia" w:hAnsi="宋体"/>
          <w:color w:val="auto"/>
          <w:sz w:val="22"/>
          <w:szCs w:val="22"/>
        </w:rPr>
        <w:t>：</w:t>
      </w:r>
    </w:p>
    <w:p>
      <w:pPr>
        <w:widowControl/>
      </w:pPr>
      <w:r>
        <w:br w:type="page"/>
      </w:r>
    </w:p>
    <w:p>
      <w:pPr>
        <w:pStyle w:val="28"/>
        <w:numPr>
          <w:ilvl w:val="1"/>
          <w:numId w:val="22"/>
        </w:numPr>
      </w:pPr>
      <w:bookmarkStart w:id="31" w:name="_Toc33188466"/>
      <w:bookmarkStart w:id="32" w:name="_Toc269308346"/>
      <w:r>
        <w:rPr>
          <w:rFonts w:hint="eastAsia"/>
        </w:rPr>
        <w:t xml:space="preserve"> 主要人员简历表</w:t>
      </w:r>
      <w:bookmarkEnd w:id="31"/>
      <w:bookmarkEnd w:id="32"/>
    </w:p>
    <w:p>
      <w:pPr>
        <w:pStyle w:val="84"/>
        <w:snapToGrid w:val="0"/>
        <w:spacing w:line="360" w:lineRule="auto"/>
        <w:ind w:firstLine="420"/>
        <w:rPr>
          <w:rFonts w:hAnsi="宋体"/>
          <w:color w:val="auto"/>
          <w:sz w:val="21"/>
          <w:szCs w:val="21"/>
        </w:rPr>
      </w:pPr>
    </w:p>
    <w:p>
      <w:pPr>
        <w:pStyle w:val="84"/>
        <w:snapToGrid w:val="0"/>
        <w:spacing w:line="360" w:lineRule="auto"/>
        <w:ind w:firstLine="420"/>
        <w:jc w:val="center"/>
        <w:rPr>
          <w:rFonts w:hAnsi="宋体"/>
          <w:color w:val="auto"/>
          <w:sz w:val="32"/>
          <w:szCs w:val="32"/>
        </w:rPr>
      </w:pPr>
      <w:r>
        <w:rPr>
          <w:rFonts w:hint="eastAsia" w:hAnsi="宋体"/>
          <w:color w:val="auto"/>
          <w:sz w:val="32"/>
          <w:szCs w:val="32"/>
        </w:rPr>
        <w:t>主要人员简历表</w:t>
      </w:r>
    </w:p>
    <w:tbl>
      <w:tblPr>
        <w:tblStyle w:val="30"/>
        <w:tblW w:w="850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57" w:type="dxa"/>
          <w:left w:w="85" w:type="dxa"/>
          <w:bottom w:w="57" w:type="dxa"/>
          <w:right w:w="85" w:type="dxa"/>
        </w:tblCellMar>
      </w:tblPr>
      <w:tblGrid>
        <w:gridCol w:w="801"/>
        <w:gridCol w:w="1954"/>
        <w:gridCol w:w="808"/>
        <w:gridCol w:w="1782"/>
        <w:gridCol w:w="1034"/>
        <w:gridCol w:w="212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574" w:hRule="atLeast"/>
          <w:jc w:val="center"/>
        </w:trPr>
        <w:tc>
          <w:tcPr>
            <w:tcW w:w="801" w:type="dxa"/>
            <w:vAlign w:val="center"/>
          </w:tcPr>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姓名</w:t>
            </w:r>
          </w:p>
        </w:tc>
        <w:tc>
          <w:tcPr>
            <w:tcW w:w="1954" w:type="dxa"/>
            <w:vAlign w:val="center"/>
          </w:tcPr>
          <w:p>
            <w:pPr>
              <w:pStyle w:val="84"/>
              <w:snapToGrid w:val="0"/>
              <w:ind w:firstLine="420"/>
              <w:jc w:val="center"/>
              <w:rPr>
                <w:rFonts w:asciiTheme="majorEastAsia" w:hAnsiTheme="majorEastAsia" w:eastAsiaTheme="majorEastAsia"/>
                <w:color w:val="auto"/>
                <w:sz w:val="22"/>
                <w:szCs w:val="22"/>
              </w:rPr>
            </w:pPr>
          </w:p>
        </w:tc>
        <w:tc>
          <w:tcPr>
            <w:tcW w:w="808" w:type="dxa"/>
            <w:vAlign w:val="center"/>
          </w:tcPr>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年龄</w:t>
            </w:r>
          </w:p>
        </w:tc>
        <w:tc>
          <w:tcPr>
            <w:tcW w:w="1782" w:type="dxa"/>
            <w:vAlign w:val="center"/>
          </w:tcPr>
          <w:p>
            <w:pPr>
              <w:pStyle w:val="84"/>
              <w:snapToGrid w:val="0"/>
              <w:ind w:firstLine="420"/>
              <w:jc w:val="center"/>
              <w:rPr>
                <w:rFonts w:asciiTheme="majorEastAsia" w:hAnsiTheme="majorEastAsia" w:eastAsiaTheme="majorEastAsia"/>
                <w:color w:val="auto"/>
                <w:sz w:val="22"/>
                <w:szCs w:val="22"/>
              </w:rPr>
            </w:pPr>
          </w:p>
        </w:tc>
        <w:tc>
          <w:tcPr>
            <w:tcW w:w="1034" w:type="dxa"/>
            <w:vMerge w:val="restart"/>
            <w:vAlign w:val="center"/>
          </w:tcPr>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拟在本合同工程担任职务</w:t>
            </w:r>
          </w:p>
        </w:tc>
        <w:tc>
          <w:tcPr>
            <w:tcW w:w="2126" w:type="dxa"/>
            <w:vMerge w:val="restart"/>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577" w:hRule="atLeast"/>
          <w:jc w:val="center"/>
        </w:trPr>
        <w:tc>
          <w:tcPr>
            <w:tcW w:w="801" w:type="dxa"/>
            <w:vAlign w:val="center"/>
          </w:tcPr>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职称</w:t>
            </w:r>
          </w:p>
        </w:tc>
        <w:tc>
          <w:tcPr>
            <w:tcW w:w="1954" w:type="dxa"/>
            <w:vAlign w:val="center"/>
          </w:tcPr>
          <w:p>
            <w:pPr>
              <w:pStyle w:val="84"/>
              <w:snapToGrid w:val="0"/>
              <w:ind w:firstLine="420"/>
              <w:jc w:val="center"/>
              <w:rPr>
                <w:rFonts w:asciiTheme="majorEastAsia" w:hAnsiTheme="majorEastAsia" w:eastAsiaTheme="majorEastAsia"/>
                <w:color w:val="auto"/>
                <w:sz w:val="22"/>
                <w:szCs w:val="22"/>
              </w:rPr>
            </w:pPr>
          </w:p>
        </w:tc>
        <w:tc>
          <w:tcPr>
            <w:tcW w:w="808" w:type="dxa"/>
            <w:vAlign w:val="center"/>
          </w:tcPr>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职务</w:t>
            </w:r>
          </w:p>
        </w:tc>
        <w:tc>
          <w:tcPr>
            <w:tcW w:w="1782" w:type="dxa"/>
            <w:vAlign w:val="center"/>
          </w:tcPr>
          <w:p>
            <w:pPr>
              <w:pStyle w:val="84"/>
              <w:snapToGrid w:val="0"/>
              <w:ind w:firstLine="420"/>
              <w:jc w:val="center"/>
              <w:rPr>
                <w:rFonts w:asciiTheme="majorEastAsia" w:hAnsiTheme="majorEastAsia" w:eastAsiaTheme="majorEastAsia"/>
                <w:color w:val="auto"/>
                <w:sz w:val="22"/>
                <w:szCs w:val="22"/>
              </w:rPr>
            </w:pPr>
          </w:p>
        </w:tc>
        <w:tc>
          <w:tcPr>
            <w:tcW w:w="1034" w:type="dxa"/>
            <w:vMerge w:val="continue"/>
            <w:vAlign w:val="center"/>
          </w:tcPr>
          <w:p>
            <w:pPr>
              <w:pStyle w:val="84"/>
              <w:snapToGrid w:val="0"/>
              <w:ind w:firstLine="420"/>
              <w:jc w:val="center"/>
              <w:rPr>
                <w:rFonts w:cs="Times New Roman" w:asciiTheme="majorEastAsia" w:hAnsiTheme="majorEastAsia" w:eastAsiaTheme="majorEastAsia"/>
                <w:color w:val="auto"/>
                <w:sz w:val="22"/>
                <w:szCs w:val="22"/>
              </w:rPr>
            </w:pPr>
          </w:p>
        </w:tc>
        <w:tc>
          <w:tcPr>
            <w:tcW w:w="2126" w:type="dxa"/>
            <w:vMerge w:val="continue"/>
            <w:vAlign w:val="center"/>
          </w:tcPr>
          <w:p>
            <w:pPr>
              <w:pStyle w:val="84"/>
              <w:snapToGrid w:val="0"/>
              <w:ind w:firstLine="420"/>
              <w:jc w:val="center"/>
              <w:rPr>
                <w:rFonts w:cs="Times New Roman"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209" w:hRule="atLeast"/>
          <w:jc w:val="center"/>
        </w:trPr>
        <w:tc>
          <w:tcPr>
            <w:tcW w:w="801" w:type="dxa"/>
            <w:vAlign w:val="center"/>
          </w:tcPr>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毕业</w:t>
            </w:r>
          </w:p>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学校</w:t>
            </w:r>
          </w:p>
        </w:tc>
        <w:tc>
          <w:tcPr>
            <w:tcW w:w="2762"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1782" w:type="dxa"/>
            <w:vAlign w:val="center"/>
          </w:tcPr>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专业</w:t>
            </w:r>
          </w:p>
        </w:tc>
        <w:tc>
          <w:tcPr>
            <w:tcW w:w="3160" w:type="dxa"/>
            <w:gridSpan w:val="2"/>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209" w:hRule="atLeast"/>
          <w:jc w:val="center"/>
        </w:trPr>
        <w:tc>
          <w:tcPr>
            <w:tcW w:w="8505" w:type="dxa"/>
            <w:gridSpan w:val="6"/>
            <w:vAlign w:val="center"/>
          </w:tcPr>
          <w:p>
            <w:pPr>
              <w:pStyle w:val="84"/>
              <w:snapToGrid w:val="0"/>
              <w:ind w:firstLine="42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主要经历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209" w:hRule="atLeast"/>
          <w:jc w:val="center"/>
        </w:trPr>
        <w:tc>
          <w:tcPr>
            <w:tcW w:w="801" w:type="dxa"/>
            <w:vAlign w:val="center"/>
          </w:tcPr>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年月</w:t>
            </w:r>
          </w:p>
        </w:tc>
        <w:tc>
          <w:tcPr>
            <w:tcW w:w="2762" w:type="dxa"/>
            <w:gridSpan w:val="2"/>
            <w:vAlign w:val="center"/>
          </w:tcPr>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参加过工程项目名称</w:t>
            </w:r>
          </w:p>
        </w:tc>
        <w:tc>
          <w:tcPr>
            <w:tcW w:w="2816" w:type="dxa"/>
            <w:gridSpan w:val="2"/>
            <w:vAlign w:val="center"/>
          </w:tcPr>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担任何职</w:t>
            </w:r>
          </w:p>
        </w:tc>
        <w:tc>
          <w:tcPr>
            <w:tcW w:w="2126" w:type="dxa"/>
            <w:vAlign w:val="center"/>
          </w:tcPr>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209" w:hRule="atLeast"/>
          <w:jc w:val="center"/>
        </w:trPr>
        <w:tc>
          <w:tcPr>
            <w:tcW w:w="801" w:type="dxa"/>
            <w:vAlign w:val="center"/>
          </w:tcPr>
          <w:p>
            <w:pPr>
              <w:pStyle w:val="84"/>
              <w:snapToGrid w:val="0"/>
              <w:ind w:firstLine="420"/>
              <w:jc w:val="center"/>
              <w:rPr>
                <w:rFonts w:asciiTheme="majorEastAsia" w:hAnsiTheme="majorEastAsia" w:eastAsiaTheme="majorEastAsia"/>
                <w:color w:val="auto"/>
                <w:sz w:val="22"/>
                <w:szCs w:val="22"/>
              </w:rPr>
            </w:pPr>
          </w:p>
        </w:tc>
        <w:tc>
          <w:tcPr>
            <w:tcW w:w="2762"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2816"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2126" w:type="dxa"/>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209" w:hRule="atLeast"/>
          <w:jc w:val="center"/>
        </w:trPr>
        <w:tc>
          <w:tcPr>
            <w:tcW w:w="801" w:type="dxa"/>
            <w:vAlign w:val="center"/>
          </w:tcPr>
          <w:p>
            <w:pPr>
              <w:pStyle w:val="84"/>
              <w:snapToGrid w:val="0"/>
              <w:ind w:firstLine="420"/>
              <w:jc w:val="center"/>
              <w:rPr>
                <w:rFonts w:asciiTheme="majorEastAsia" w:hAnsiTheme="majorEastAsia" w:eastAsiaTheme="majorEastAsia"/>
                <w:color w:val="auto"/>
                <w:sz w:val="22"/>
                <w:szCs w:val="22"/>
              </w:rPr>
            </w:pPr>
          </w:p>
        </w:tc>
        <w:tc>
          <w:tcPr>
            <w:tcW w:w="2762"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2816"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2126" w:type="dxa"/>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209" w:hRule="atLeast"/>
          <w:jc w:val="center"/>
        </w:trPr>
        <w:tc>
          <w:tcPr>
            <w:tcW w:w="801" w:type="dxa"/>
            <w:vAlign w:val="center"/>
          </w:tcPr>
          <w:p>
            <w:pPr>
              <w:pStyle w:val="84"/>
              <w:snapToGrid w:val="0"/>
              <w:ind w:firstLine="420"/>
              <w:jc w:val="center"/>
              <w:rPr>
                <w:rFonts w:asciiTheme="majorEastAsia" w:hAnsiTheme="majorEastAsia" w:eastAsiaTheme="majorEastAsia"/>
                <w:color w:val="auto"/>
                <w:sz w:val="22"/>
                <w:szCs w:val="22"/>
              </w:rPr>
            </w:pPr>
          </w:p>
        </w:tc>
        <w:tc>
          <w:tcPr>
            <w:tcW w:w="2762"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2816"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2126" w:type="dxa"/>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209" w:hRule="atLeast"/>
          <w:jc w:val="center"/>
        </w:trPr>
        <w:tc>
          <w:tcPr>
            <w:tcW w:w="801" w:type="dxa"/>
            <w:vAlign w:val="center"/>
          </w:tcPr>
          <w:p>
            <w:pPr>
              <w:pStyle w:val="84"/>
              <w:snapToGrid w:val="0"/>
              <w:ind w:firstLine="420"/>
              <w:jc w:val="center"/>
              <w:rPr>
                <w:rFonts w:asciiTheme="majorEastAsia" w:hAnsiTheme="majorEastAsia" w:eastAsiaTheme="majorEastAsia"/>
                <w:color w:val="auto"/>
                <w:sz w:val="22"/>
                <w:szCs w:val="22"/>
              </w:rPr>
            </w:pPr>
          </w:p>
        </w:tc>
        <w:tc>
          <w:tcPr>
            <w:tcW w:w="2762"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2816"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2126" w:type="dxa"/>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209" w:hRule="atLeast"/>
          <w:jc w:val="center"/>
        </w:trPr>
        <w:tc>
          <w:tcPr>
            <w:tcW w:w="801" w:type="dxa"/>
            <w:vAlign w:val="center"/>
          </w:tcPr>
          <w:p>
            <w:pPr>
              <w:pStyle w:val="84"/>
              <w:snapToGrid w:val="0"/>
              <w:ind w:firstLine="420"/>
              <w:jc w:val="center"/>
              <w:rPr>
                <w:rFonts w:asciiTheme="majorEastAsia" w:hAnsiTheme="majorEastAsia" w:eastAsiaTheme="majorEastAsia"/>
                <w:color w:val="auto"/>
                <w:sz w:val="22"/>
                <w:szCs w:val="22"/>
              </w:rPr>
            </w:pPr>
          </w:p>
        </w:tc>
        <w:tc>
          <w:tcPr>
            <w:tcW w:w="2762"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2816"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2126" w:type="dxa"/>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209" w:hRule="atLeast"/>
          <w:jc w:val="center"/>
        </w:trPr>
        <w:tc>
          <w:tcPr>
            <w:tcW w:w="801" w:type="dxa"/>
            <w:vAlign w:val="center"/>
          </w:tcPr>
          <w:p>
            <w:pPr>
              <w:pStyle w:val="84"/>
              <w:snapToGrid w:val="0"/>
              <w:ind w:firstLine="420"/>
              <w:jc w:val="center"/>
              <w:rPr>
                <w:rFonts w:asciiTheme="majorEastAsia" w:hAnsiTheme="majorEastAsia" w:eastAsiaTheme="majorEastAsia"/>
                <w:color w:val="auto"/>
                <w:sz w:val="22"/>
                <w:szCs w:val="22"/>
              </w:rPr>
            </w:pPr>
          </w:p>
        </w:tc>
        <w:tc>
          <w:tcPr>
            <w:tcW w:w="2762"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2816"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2126" w:type="dxa"/>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209" w:hRule="atLeast"/>
          <w:jc w:val="center"/>
        </w:trPr>
        <w:tc>
          <w:tcPr>
            <w:tcW w:w="801" w:type="dxa"/>
            <w:vAlign w:val="center"/>
          </w:tcPr>
          <w:p>
            <w:pPr>
              <w:pStyle w:val="84"/>
              <w:snapToGrid w:val="0"/>
              <w:ind w:firstLine="420"/>
              <w:jc w:val="center"/>
              <w:rPr>
                <w:rFonts w:asciiTheme="majorEastAsia" w:hAnsiTheme="majorEastAsia" w:eastAsiaTheme="majorEastAsia"/>
                <w:color w:val="auto"/>
                <w:sz w:val="22"/>
                <w:szCs w:val="22"/>
              </w:rPr>
            </w:pPr>
          </w:p>
        </w:tc>
        <w:tc>
          <w:tcPr>
            <w:tcW w:w="2762"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2816"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2126" w:type="dxa"/>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209" w:hRule="atLeast"/>
          <w:jc w:val="center"/>
        </w:trPr>
        <w:tc>
          <w:tcPr>
            <w:tcW w:w="801" w:type="dxa"/>
            <w:vAlign w:val="center"/>
          </w:tcPr>
          <w:p>
            <w:pPr>
              <w:pStyle w:val="84"/>
              <w:snapToGrid w:val="0"/>
              <w:ind w:firstLine="420"/>
              <w:jc w:val="center"/>
              <w:rPr>
                <w:rFonts w:asciiTheme="majorEastAsia" w:hAnsiTheme="majorEastAsia" w:eastAsiaTheme="majorEastAsia"/>
                <w:color w:val="auto"/>
                <w:sz w:val="22"/>
                <w:szCs w:val="22"/>
              </w:rPr>
            </w:pPr>
          </w:p>
        </w:tc>
        <w:tc>
          <w:tcPr>
            <w:tcW w:w="2762"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2816"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2126" w:type="dxa"/>
            <w:vAlign w:val="center"/>
          </w:tcPr>
          <w:p>
            <w:pPr>
              <w:pStyle w:val="84"/>
              <w:snapToGrid w:val="0"/>
              <w:ind w:firstLine="420"/>
              <w:jc w:val="center"/>
              <w:rPr>
                <w:rFonts w:asciiTheme="majorEastAsia" w:hAnsiTheme="majorEastAsia" w:eastAsiaTheme="majorEastAsia"/>
                <w:color w:val="auto"/>
                <w:sz w:val="22"/>
                <w:szCs w:val="22"/>
              </w:rPr>
            </w:pPr>
          </w:p>
        </w:tc>
      </w:tr>
    </w:tbl>
    <w:p>
      <w:pPr>
        <w:pStyle w:val="84"/>
        <w:snapToGrid w:val="0"/>
        <w:spacing w:line="360" w:lineRule="auto"/>
        <w:ind w:firstLine="420"/>
        <w:rPr>
          <w:rFonts w:hAnsi="宋体" w:cs="Times New Roman"/>
          <w:color w:val="auto"/>
          <w:sz w:val="21"/>
          <w:szCs w:val="21"/>
        </w:rPr>
      </w:pPr>
    </w:p>
    <w:p>
      <w:pPr>
        <w:pStyle w:val="84"/>
        <w:snapToGrid w:val="0"/>
        <w:spacing w:line="360" w:lineRule="auto"/>
        <w:ind w:firstLine="420"/>
        <w:jc w:val="both"/>
        <w:rPr>
          <w:rFonts w:hAnsi="宋体" w:cs="Times New Roman"/>
          <w:color w:val="auto"/>
          <w:sz w:val="22"/>
          <w:szCs w:val="22"/>
        </w:rPr>
      </w:pPr>
      <w:r>
        <w:rPr>
          <w:rFonts w:hint="eastAsia" w:hAnsi="宋体" w:cs="Times New Roman"/>
          <w:color w:val="auto"/>
          <w:sz w:val="22"/>
          <w:szCs w:val="22"/>
        </w:rPr>
        <w:t>说明：</w:t>
      </w:r>
    </w:p>
    <w:p>
      <w:pPr>
        <w:pStyle w:val="84"/>
        <w:snapToGrid w:val="0"/>
        <w:spacing w:line="360" w:lineRule="auto"/>
        <w:ind w:firstLine="420"/>
        <w:jc w:val="both"/>
        <w:rPr>
          <w:rFonts w:hAnsi="宋体"/>
          <w:color w:val="auto"/>
          <w:sz w:val="22"/>
          <w:szCs w:val="22"/>
        </w:rPr>
      </w:pPr>
      <w:r>
        <w:rPr>
          <w:rFonts w:hAnsi="宋体" w:cs="Times New Roman"/>
          <w:color w:val="auto"/>
          <w:sz w:val="22"/>
          <w:szCs w:val="22"/>
        </w:rPr>
        <w:t>“</w:t>
      </w:r>
      <w:r>
        <w:rPr>
          <w:rFonts w:hint="eastAsia" w:hAnsi="宋体"/>
          <w:color w:val="auto"/>
          <w:sz w:val="22"/>
          <w:szCs w:val="22"/>
        </w:rPr>
        <w:t>主要人员</w:t>
      </w:r>
      <w:r>
        <w:rPr>
          <w:rFonts w:hAnsi="宋体" w:cs="Times New Roman"/>
          <w:color w:val="auto"/>
          <w:sz w:val="22"/>
          <w:szCs w:val="22"/>
        </w:rPr>
        <w:t>”</w:t>
      </w:r>
      <w:r>
        <w:rPr>
          <w:rFonts w:hint="eastAsia" w:hAnsi="宋体"/>
          <w:color w:val="auto"/>
          <w:sz w:val="22"/>
          <w:szCs w:val="22"/>
        </w:rPr>
        <w:t>指实际参加本合同修复的项目管理、技术等方面的负责人，下列人员需填写此表，每人填一张并附相应证明材料：</w:t>
      </w:r>
    </w:p>
    <w:p>
      <w:pPr>
        <w:pStyle w:val="84"/>
        <w:snapToGrid w:val="0"/>
        <w:spacing w:line="360" w:lineRule="auto"/>
        <w:ind w:firstLine="420"/>
        <w:jc w:val="both"/>
        <w:rPr>
          <w:rFonts w:hAnsi="宋体"/>
          <w:color w:val="auto"/>
          <w:sz w:val="22"/>
          <w:szCs w:val="22"/>
        </w:rPr>
      </w:pPr>
    </w:p>
    <w:p>
      <w:pPr>
        <w:pStyle w:val="84"/>
        <w:snapToGrid w:val="0"/>
        <w:spacing w:line="360" w:lineRule="auto"/>
        <w:ind w:firstLine="420"/>
        <w:jc w:val="both"/>
        <w:rPr>
          <w:rFonts w:hAnsi="宋体"/>
          <w:color w:val="auto"/>
          <w:sz w:val="22"/>
          <w:szCs w:val="22"/>
        </w:rPr>
      </w:pPr>
      <w:r>
        <w:rPr>
          <w:rFonts w:hAnsi="宋体" w:cs="Times New Roman"/>
          <w:color w:val="auto"/>
          <w:sz w:val="22"/>
          <w:szCs w:val="22"/>
        </w:rPr>
        <w:t>1</w:t>
      </w:r>
      <w:r>
        <w:rPr>
          <w:rFonts w:hint="eastAsia" w:hAnsi="宋体"/>
          <w:color w:val="auto"/>
          <w:sz w:val="22"/>
          <w:szCs w:val="22"/>
        </w:rPr>
        <w:t xml:space="preserve">、经理；                            </w:t>
      </w:r>
      <w:r>
        <w:rPr>
          <w:rFonts w:hAnsi="宋体" w:cs="Times New Roman"/>
          <w:color w:val="auto"/>
          <w:sz w:val="22"/>
          <w:szCs w:val="22"/>
        </w:rPr>
        <w:t>4</w:t>
      </w:r>
      <w:r>
        <w:rPr>
          <w:rFonts w:hint="eastAsia" w:hAnsi="宋体"/>
          <w:color w:val="auto"/>
          <w:sz w:val="22"/>
          <w:szCs w:val="22"/>
        </w:rPr>
        <w:t xml:space="preserve">、质检员；  </w:t>
      </w:r>
    </w:p>
    <w:p>
      <w:pPr>
        <w:pStyle w:val="84"/>
        <w:snapToGrid w:val="0"/>
        <w:spacing w:line="360" w:lineRule="auto"/>
        <w:ind w:firstLine="420"/>
        <w:jc w:val="both"/>
        <w:rPr>
          <w:rFonts w:hAnsi="宋体"/>
          <w:color w:val="auto"/>
          <w:sz w:val="22"/>
          <w:szCs w:val="22"/>
        </w:rPr>
      </w:pPr>
      <w:r>
        <w:rPr>
          <w:rFonts w:hAnsi="宋体" w:cs="Times New Roman"/>
          <w:color w:val="auto"/>
          <w:sz w:val="22"/>
          <w:szCs w:val="22"/>
        </w:rPr>
        <w:t>2</w:t>
      </w:r>
      <w:r>
        <w:rPr>
          <w:rFonts w:hint="eastAsia" w:hAnsi="宋体"/>
          <w:color w:val="auto"/>
          <w:sz w:val="22"/>
          <w:szCs w:val="22"/>
        </w:rPr>
        <w:t xml:space="preserve">、副经理；                          </w:t>
      </w:r>
      <w:r>
        <w:rPr>
          <w:rFonts w:hAnsi="宋体" w:cs="Times New Roman"/>
          <w:color w:val="auto"/>
          <w:sz w:val="22"/>
          <w:szCs w:val="22"/>
        </w:rPr>
        <w:t>5</w:t>
      </w:r>
      <w:r>
        <w:rPr>
          <w:rFonts w:hint="eastAsia" w:hAnsi="宋体"/>
          <w:color w:val="auto"/>
          <w:sz w:val="22"/>
          <w:szCs w:val="22"/>
        </w:rPr>
        <w:t xml:space="preserve">、工程师  </w:t>
      </w:r>
    </w:p>
    <w:p>
      <w:pPr>
        <w:pStyle w:val="84"/>
        <w:snapToGrid w:val="0"/>
        <w:spacing w:line="360" w:lineRule="auto"/>
        <w:ind w:firstLine="420"/>
        <w:jc w:val="both"/>
        <w:rPr>
          <w:rFonts w:hAnsi="宋体"/>
          <w:color w:val="auto"/>
          <w:sz w:val="22"/>
          <w:szCs w:val="22"/>
        </w:rPr>
      </w:pPr>
      <w:r>
        <w:rPr>
          <w:rFonts w:hAnsi="宋体" w:cs="Times New Roman"/>
          <w:color w:val="auto"/>
          <w:sz w:val="22"/>
          <w:szCs w:val="22"/>
        </w:rPr>
        <w:t>3</w:t>
      </w:r>
      <w:r>
        <w:rPr>
          <w:rFonts w:hint="eastAsia" w:hAnsi="宋体"/>
          <w:color w:val="auto"/>
          <w:sz w:val="22"/>
          <w:szCs w:val="22"/>
        </w:rPr>
        <w:t xml:space="preserve">、技术负责人（总工程师）；          </w:t>
      </w:r>
      <w:r>
        <w:rPr>
          <w:rFonts w:hAnsi="宋体" w:cs="Times New Roman"/>
          <w:color w:val="auto"/>
          <w:sz w:val="22"/>
          <w:szCs w:val="22"/>
        </w:rPr>
        <w:t>6</w:t>
      </w:r>
      <w:r>
        <w:rPr>
          <w:rFonts w:hint="eastAsia" w:hAnsi="宋体"/>
          <w:color w:val="auto"/>
          <w:sz w:val="22"/>
          <w:szCs w:val="22"/>
        </w:rPr>
        <w:t>、财务负责人；</w:t>
      </w:r>
    </w:p>
    <w:p>
      <w:pPr>
        <w:pStyle w:val="84"/>
        <w:snapToGrid w:val="0"/>
        <w:spacing w:line="360" w:lineRule="auto"/>
        <w:ind w:firstLine="4840" w:firstLineChars="2200"/>
        <w:jc w:val="both"/>
        <w:rPr>
          <w:rFonts w:hAnsi="宋体"/>
          <w:color w:val="auto"/>
          <w:sz w:val="22"/>
          <w:szCs w:val="22"/>
        </w:rPr>
      </w:pPr>
    </w:p>
    <w:p>
      <w:pPr>
        <w:pStyle w:val="84"/>
        <w:snapToGrid w:val="0"/>
        <w:spacing w:line="360" w:lineRule="auto"/>
        <w:ind w:firstLine="4840" w:firstLineChars="2200"/>
        <w:jc w:val="both"/>
        <w:rPr>
          <w:rFonts w:hAnsi="宋体"/>
          <w:color w:val="auto"/>
          <w:sz w:val="22"/>
          <w:szCs w:val="22"/>
        </w:rPr>
      </w:pPr>
    </w:p>
    <w:p>
      <w:pPr>
        <w:pStyle w:val="84"/>
        <w:snapToGrid w:val="0"/>
        <w:spacing w:line="360" w:lineRule="auto"/>
        <w:ind w:firstLine="4840" w:firstLineChars="2200"/>
        <w:jc w:val="both"/>
        <w:rPr>
          <w:rFonts w:hAnsi="宋体"/>
          <w:color w:val="auto"/>
          <w:sz w:val="22"/>
          <w:szCs w:val="22"/>
        </w:rPr>
      </w:pPr>
      <w:r>
        <w:rPr>
          <w:rFonts w:hint="eastAsia" w:hAnsi="宋体"/>
          <w:color w:val="auto"/>
          <w:sz w:val="22"/>
          <w:szCs w:val="22"/>
        </w:rPr>
        <w:t>投标人</w:t>
      </w:r>
      <w:r>
        <w:rPr>
          <w:rFonts w:hAnsi="宋体" w:cs="Times New Roman"/>
          <w:color w:val="auto"/>
          <w:sz w:val="22"/>
          <w:szCs w:val="22"/>
        </w:rPr>
        <w:t>(</w:t>
      </w:r>
      <w:r>
        <w:rPr>
          <w:rFonts w:hint="eastAsia" w:hAnsi="宋体"/>
          <w:color w:val="auto"/>
          <w:sz w:val="22"/>
          <w:szCs w:val="22"/>
        </w:rPr>
        <w:t>盖章</w:t>
      </w:r>
      <w:r>
        <w:rPr>
          <w:rFonts w:hAnsi="宋体" w:cs="Times New Roman"/>
          <w:color w:val="auto"/>
          <w:sz w:val="22"/>
          <w:szCs w:val="22"/>
        </w:rPr>
        <w:t>)</w:t>
      </w:r>
      <w:r>
        <w:rPr>
          <w:rFonts w:hint="eastAsia" w:hAnsi="宋体"/>
          <w:color w:val="auto"/>
          <w:sz w:val="22"/>
          <w:szCs w:val="22"/>
        </w:rPr>
        <w:t>：</w:t>
      </w:r>
    </w:p>
    <w:p>
      <w:pPr>
        <w:pStyle w:val="84"/>
        <w:snapToGrid w:val="0"/>
        <w:spacing w:line="360" w:lineRule="auto"/>
        <w:ind w:firstLine="4840" w:firstLineChars="2200"/>
        <w:jc w:val="both"/>
        <w:rPr>
          <w:rFonts w:hAnsi="宋体"/>
          <w:color w:val="auto"/>
          <w:sz w:val="22"/>
          <w:szCs w:val="22"/>
        </w:rPr>
      </w:pPr>
    </w:p>
    <w:p>
      <w:pPr>
        <w:widowControl/>
        <w:spacing w:line="360" w:lineRule="auto"/>
        <w:rPr>
          <w:lang w:eastAsia="zh-CN"/>
        </w:rPr>
      </w:pPr>
      <w:r>
        <w:rPr>
          <w:rFonts w:hint="eastAsia"/>
          <w:lang w:eastAsia="zh-CN"/>
        </w:rPr>
        <w:t>法定代表人或其授权代理人（签字并盖章）：</w:t>
      </w:r>
      <w:r>
        <w:rPr>
          <w:lang w:eastAsia="zh-CN"/>
        </w:rPr>
        <w:br w:type="page"/>
      </w:r>
    </w:p>
    <w:p>
      <w:pPr>
        <w:spacing w:line="360" w:lineRule="auto"/>
        <w:rPr>
          <w:b/>
          <w:sz w:val="28"/>
          <w:szCs w:val="28"/>
          <w:lang w:eastAsia="zh-CN"/>
        </w:rPr>
      </w:pPr>
      <w:r>
        <w:rPr>
          <w:rFonts w:hint="eastAsia" w:hAnsi="Calibri" w:cs="Times New Roman"/>
          <w:b/>
          <w:sz w:val="28"/>
          <w:szCs w:val="28"/>
          <w:lang w:eastAsia="zh-CN"/>
        </w:rPr>
        <w:t>附件3</w:t>
      </w:r>
      <w:r>
        <w:rPr>
          <w:rFonts w:hint="eastAsia"/>
          <w:b/>
          <w:sz w:val="28"/>
          <w:szCs w:val="28"/>
          <w:lang w:eastAsia="zh-CN"/>
        </w:rPr>
        <w:t>：</w:t>
      </w:r>
    </w:p>
    <w:p>
      <w:pPr>
        <w:pStyle w:val="16"/>
        <w:spacing w:line="360" w:lineRule="auto"/>
        <w:ind w:left="-496" w:leftChars="-339" w:hanging="250" w:hangingChars="89"/>
        <w:jc w:val="center"/>
        <w:rPr>
          <w:rFonts w:ascii="黑体" w:hAnsi="宋体" w:eastAsia="黑体"/>
          <w:b/>
          <w:sz w:val="28"/>
          <w:szCs w:val="28"/>
          <w:lang w:eastAsia="zh-CN"/>
        </w:rPr>
      </w:pPr>
      <w:r>
        <w:rPr>
          <w:rFonts w:hint="eastAsia" w:ascii="黑体" w:hAnsi="宋体" w:eastAsia="黑体"/>
          <w:b/>
          <w:sz w:val="28"/>
          <w:szCs w:val="28"/>
          <w:lang w:eastAsia="zh-CN"/>
        </w:rPr>
        <w:t>安全环保协议书</w:t>
      </w:r>
    </w:p>
    <w:p>
      <w:pPr>
        <w:spacing w:line="360" w:lineRule="auto"/>
        <w:rPr>
          <w:rFonts w:asciiTheme="majorEastAsia" w:hAnsiTheme="majorEastAsia" w:eastAsiaTheme="majorEastAsia"/>
          <w:b/>
          <w:bCs/>
          <w:sz w:val="24"/>
          <w:szCs w:val="24"/>
          <w:lang w:eastAsia="zh-CN"/>
        </w:rPr>
      </w:pPr>
      <w:r>
        <w:rPr>
          <w:rFonts w:hint="eastAsia" w:asciiTheme="majorEastAsia" w:hAnsiTheme="majorEastAsia" w:eastAsiaTheme="majorEastAsia"/>
          <w:sz w:val="24"/>
          <w:szCs w:val="24"/>
          <w:lang w:eastAsia="zh-CN"/>
        </w:rPr>
        <w:t>发包单位（以下简称甲方）：</w:t>
      </w:r>
      <w:r>
        <w:rPr>
          <w:rFonts w:hint="eastAsia" w:asciiTheme="majorEastAsia" w:hAnsiTheme="majorEastAsia" w:eastAsiaTheme="majorEastAsia"/>
          <w:b/>
          <w:bCs/>
          <w:sz w:val="24"/>
          <w:szCs w:val="24"/>
          <w:lang w:eastAsia="zh-CN"/>
        </w:rPr>
        <w:t>腾龙芳烃（漳州）有限公司</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承包单位（以下简称乙方）：</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lang w:eastAsia="zh-CN"/>
        </w:rPr>
        <w:t xml:space="preserve">                      </w:t>
      </w: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双方就</w:t>
      </w:r>
      <w:r>
        <w:rPr>
          <w:rFonts w:hint="eastAsia"/>
          <w:sz w:val="24"/>
          <w:szCs w:val="24"/>
          <w:lang w:eastAsia="zh-CN"/>
        </w:rPr>
        <w:t>储罐清洗及检修服务年约工程</w:t>
      </w:r>
      <w:r>
        <w:rPr>
          <w:rFonts w:hint="eastAsia" w:asciiTheme="majorEastAsia" w:hAnsiTheme="majorEastAsia" w:eastAsiaTheme="majorEastAsia"/>
          <w:sz w:val="24"/>
          <w:szCs w:val="24"/>
          <w:lang w:eastAsia="zh-CN"/>
        </w:rPr>
        <w:t>工程/项目签订了</w:t>
      </w:r>
      <w:r>
        <w:rPr>
          <w:rFonts w:hint="eastAsia" w:asciiTheme="majorEastAsia" w:hAnsiTheme="majorEastAsia" w:eastAsiaTheme="majorEastAsia"/>
          <w:sz w:val="24"/>
          <w:szCs w:val="24"/>
          <w:u w:val="single"/>
          <w:lang w:eastAsia="zh-CN"/>
        </w:rPr>
        <w:t xml:space="preserve"> 检修服务 </w:t>
      </w:r>
      <w:r>
        <w:rPr>
          <w:rFonts w:hint="eastAsia" w:asciiTheme="majorEastAsia" w:hAnsiTheme="majorEastAsia" w:eastAsiaTheme="majorEastAsia"/>
          <w:sz w:val="24"/>
          <w:szCs w:val="24"/>
          <w:lang w:eastAsia="zh-CN"/>
        </w:rPr>
        <w:t>合同，为进一步明确甲乙双方在工程承包合同履行过程中的权利和义务及责任，保障人身安全和企业财产安全，依据《中华人民共和国安全生产法》、《中华人民共和国环境保护法》等相关法规及腾龙芳烃（漳州）有限公司HSE管理制度，经双方协商，双方自愿签订本安全环保协议，作为主合同的附件。</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b/>
          <w:sz w:val="24"/>
          <w:szCs w:val="24"/>
          <w:lang w:eastAsia="zh-CN"/>
        </w:rPr>
        <w:t>一、甲方的权利和义务：</w:t>
      </w:r>
    </w:p>
    <w:p>
      <w:pPr>
        <w:pStyle w:val="47"/>
        <w:spacing w:before="0" w:line="360" w:lineRule="auto"/>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 甲方有权对乙方的资质进行审查，确认其符合且具备进厂条件，方可进厂施工。</w:t>
      </w:r>
    </w:p>
    <w:p>
      <w:pPr>
        <w:pStyle w:val="47"/>
        <w:spacing w:before="0" w:line="360" w:lineRule="auto"/>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 甲方有权要求乙方维护好甲方相关的安全环保设施、设备和器材。</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 甲方有权对乙方不服从管理和严重违章者，驱除施工现场。</w:t>
      </w:r>
    </w:p>
    <w:p>
      <w:pPr>
        <w:pStyle w:val="47"/>
        <w:spacing w:before="0" w:line="360" w:lineRule="auto"/>
        <w:ind w:left="0" w:firstLine="0"/>
        <w:rPr>
          <w:rFonts w:asciiTheme="majorEastAsia" w:hAnsiTheme="majorEastAsia" w:eastAsiaTheme="majorEastAsia"/>
          <w:b/>
          <w:sz w:val="24"/>
          <w:szCs w:val="24"/>
          <w:lang w:eastAsia="zh-CN"/>
        </w:rPr>
      </w:pPr>
      <w:r>
        <w:rPr>
          <w:rFonts w:hint="eastAsia" w:asciiTheme="majorEastAsia" w:hAnsiTheme="majorEastAsia" w:eastAsiaTheme="majorEastAsia"/>
          <w:sz w:val="24"/>
          <w:szCs w:val="24"/>
          <w:lang w:eastAsia="zh-CN"/>
        </w:rPr>
        <w:t>6、 甲方负责对乙方进行厂级和部门级安全培训教育和考核，考核合格方可办理入厂手续。</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 甲方负责各装置的工艺处理、退料、置换、吹扫及盲板隔离工作，为本项目提供安全的施工条件。</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 甲方应乙方要求，向乙方提供与乙方作业相关的甲方有毒有害、易燃易爆物品的数据。</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 甲方在开工前必须对乙方进行全面的安全技术及文明施工交底。</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二、乙方的权利和义务：</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2、乙方有权对甲方安全管理工作提出合理化建议或改进措施。</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3、乙方对甲方管理人员违章指挥、强令冒险作业、有权拒绝执行。对打击和报复行为有权向上级和有关部门汇报。 </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4、乙方对危及生命安全和身体健康的施工作业条件和环境，有权提出整改建议拒绝施工作业。</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5、乙方施工过程中在发生严重危及作业人员生命安全的不可抗拒紧急情况时，有权采取必要的避险措施，并立即向管理部门报告。</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6、乙方有权要求甲方提供相关的安全资料。</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sz w:val="24"/>
          <w:szCs w:val="24"/>
          <w:lang w:eastAsia="zh-CN"/>
        </w:rPr>
        <w:t>7、</w:t>
      </w:r>
      <w:r>
        <w:rPr>
          <w:rFonts w:hint="eastAsia" w:cs="Arial" w:asciiTheme="majorEastAsia" w:hAnsiTheme="majorEastAsia" w:eastAsiaTheme="majorEastAsia"/>
          <w:sz w:val="24"/>
          <w:szCs w:val="24"/>
          <w:lang w:eastAsia="zh-CN"/>
        </w:rPr>
        <w:t>乙方必须建立健全HSE管理网络、HSE保证体系和HSE责任制，成立专职HSE管理机构</w:t>
      </w:r>
      <w:r>
        <w:rPr>
          <w:rFonts w:hint="eastAsia" w:asciiTheme="majorEastAsia" w:hAnsiTheme="majorEastAsia" w:eastAsiaTheme="majorEastAsia"/>
          <w:sz w:val="24"/>
          <w:szCs w:val="24"/>
          <w:lang w:eastAsia="zh-CN"/>
        </w:rPr>
        <w:t>，依照《安全生产法》的要求配备专职或兼职安全生产管理人员；施工队伍超过50人的应按比例配足专职安全员，</w:t>
      </w:r>
      <w:r>
        <w:rPr>
          <w:rFonts w:hint="eastAsia" w:cs="Arial" w:asciiTheme="majorEastAsia" w:hAnsiTheme="majorEastAsia" w:eastAsiaTheme="majorEastAsia"/>
          <w:sz w:val="24"/>
          <w:szCs w:val="24"/>
          <w:lang w:eastAsia="zh-CN"/>
        </w:rPr>
        <w:t>并佩戴明显标志；编制和实施各安全环保施工方案和专项应急预案。</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11、乙方应按《中华人民共和国劳动法》等法律、法规、规定用工，严禁使用未成年工和有职业禁忌的人员进行施工作业。</w:t>
      </w:r>
      <w:r>
        <w:rPr>
          <w:rFonts w:asciiTheme="majorEastAsia" w:hAnsiTheme="majorEastAsia" w:eastAsiaTheme="majorEastAsia"/>
          <w:sz w:val="24"/>
          <w:szCs w:val="24"/>
          <w:lang w:eastAsia="zh-CN"/>
        </w:rPr>
        <w:t xml:space="preserve"> </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12、乙方必须按国家有关规定，为施工人员办理工伤保险、意外伤害保险（施工人员较多的承包商建议购买建筑工程团体意外险），为施工人员配备合格的劳动防护用品、安全用具及应急救援设施，并保证施工工具、器械使用安全。</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13、乙方需建立安全检查制度，指定专人负责现场安全监督检查工作，认真开展安全检查，发现作业过程中不安全行为、隐患、重大险情，应采取有效措施及时处理并报告甲方。</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14、发生事故时，乙方必须及时向甲方报告。同时根据指令迅速组织实施现场人员疏散和抢救工作、采取相应的措施保护好现场，并要积极配合甲方或上级有关部门对事故的调查和现场勘查。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15、乙方进入现场的施工人员，严禁动用装置区机泵、容器、塔、加热炉等任何部位阀门，防止误开误关，造成意外事故。如确实需用，经与装置有关人员联系，同意后，由操作人员启闭阀门。</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17、</w:t>
      </w:r>
      <w:r>
        <w:rPr>
          <w:rFonts w:hint="eastAsia" w:asciiTheme="majorEastAsia" w:hAnsiTheme="majorEastAsia" w:eastAsiaTheme="majorEastAsia"/>
          <w:bCs/>
          <w:sz w:val="24"/>
          <w:szCs w:val="24"/>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18、</w:t>
      </w:r>
      <w:r>
        <w:rPr>
          <w:rFonts w:hint="eastAsia" w:asciiTheme="majorEastAsia" w:hAnsiTheme="majorEastAsia" w:eastAsiaTheme="majorEastAsia"/>
          <w:sz w:val="24"/>
          <w:szCs w:val="24"/>
          <w:lang w:eastAsia="zh-CN"/>
        </w:rPr>
        <w:t>乙方</w:t>
      </w:r>
      <w:r>
        <w:rPr>
          <w:rFonts w:hint="eastAsia" w:asciiTheme="majorEastAsia" w:hAnsiTheme="majorEastAsia" w:eastAsiaTheme="majorEastAsia"/>
          <w:bCs/>
          <w:sz w:val="24"/>
          <w:szCs w:val="24"/>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Theme="majorEastAsia" w:hAnsiTheme="majorEastAsia" w:eastAsiaTheme="majorEastAsia"/>
          <w:sz w:val="24"/>
          <w:szCs w:val="24"/>
          <w:lang w:eastAsia="zh-CN"/>
        </w:rPr>
        <w:t>GB 2894-2008）</w:t>
      </w:r>
      <w:r>
        <w:rPr>
          <w:rFonts w:hint="eastAsia" w:asciiTheme="majorEastAsia" w:hAnsiTheme="majorEastAsia" w:eastAsiaTheme="majorEastAsia"/>
          <w:bCs/>
          <w:sz w:val="24"/>
          <w:szCs w:val="24"/>
          <w:lang w:eastAsia="zh-CN"/>
        </w:rPr>
        <w:t>的规定。</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19、</w:t>
      </w:r>
      <w:r>
        <w:rPr>
          <w:rFonts w:hint="eastAsia" w:asciiTheme="majorEastAsia" w:hAnsiTheme="majorEastAsia" w:eastAsiaTheme="majorEastAsia"/>
          <w:sz w:val="24"/>
          <w:szCs w:val="24"/>
          <w:lang w:eastAsia="zh-CN"/>
        </w:rPr>
        <w:t>乙方</w:t>
      </w:r>
      <w:r>
        <w:rPr>
          <w:rFonts w:hint="eastAsia" w:asciiTheme="majorEastAsia" w:hAnsiTheme="majorEastAsia" w:eastAsiaTheme="majorEastAsia"/>
          <w:bCs/>
          <w:sz w:val="24"/>
          <w:szCs w:val="24"/>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20、乙方施工产生的</w:t>
      </w:r>
      <w:r>
        <w:rPr>
          <w:rFonts w:hint="eastAsia" w:asciiTheme="majorEastAsia" w:hAnsiTheme="majorEastAsia" w:eastAsiaTheme="majorEastAsia"/>
          <w:bCs/>
          <w:sz w:val="24"/>
          <w:szCs w:val="24"/>
          <w:lang w:eastAsia="zh-CN"/>
        </w:rPr>
        <w:t>任何有毒、有害物质，油类，化学品，废水，生活污水及其它污染物绝不能排入雨边沟、地井或污染地表土，必须按国家及地方的相关规定进行妥善处置。</w:t>
      </w:r>
      <w:r>
        <w:rPr>
          <w:rFonts w:hint="eastAsia" w:asciiTheme="majorEastAsia" w:hAnsiTheme="majorEastAsia" w:eastAsiaTheme="majorEastAsia"/>
          <w:sz w:val="24"/>
          <w:szCs w:val="24"/>
          <w:lang w:eastAsia="zh-CN"/>
        </w:rPr>
        <w:t>产生的废物应进行鉴别，一般固废和危险废物应妥善包装、分类堆放，并及时清理。不能任意排放和丢弃。不依法合规处置固体废物，在厂外随意丢弃的，直接解除合同，清除出厂。</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22、 </w:t>
      </w:r>
      <w:r>
        <w:rPr>
          <w:rFonts w:hint="eastAsia" w:asciiTheme="majorEastAsia" w:hAnsiTheme="majorEastAsia" w:eastAsiaTheme="majorEastAsia"/>
          <w:bCs/>
          <w:sz w:val="24"/>
          <w:szCs w:val="24"/>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三、违约责任及处理</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1、乙方不得转包、违法分包及挂靠等违法行为；未经福海创许可，不得将工程分包。</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2、发生安全事故时，甲乙双方均有抢险、救灾的义务，所发生的费用由责任方承担。</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4、甲方违约造成的事故，甲方承担全部责任，并按规定追究有关人员责任及上报。</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四、 不可抗力：</w:t>
      </w:r>
    </w:p>
    <w:p>
      <w:pPr>
        <w:spacing w:line="360" w:lineRule="auto"/>
        <w:ind w:left="214"/>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由于不可抗力造成合同项目施工作业事故及产生的损失，甲乙双方各自承担相应的损失。</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五、本协议书一式陆份，甲方执肆份，乙方执贰份。</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六、本协议书经双方盖章后生效。</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七、协议期限：</w:t>
      </w:r>
      <w:r>
        <w:rPr>
          <w:rFonts w:hint="eastAsia" w:asciiTheme="majorEastAsia" w:hAnsiTheme="majorEastAsia" w:eastAsiaTheme="majorEastAsia"/>
          <w:sz w:val="24"/>
          <w:szCs w:val="24"/>
          <w:lang w:eastAsia="zh-CN"/>
        </w:rPr>
        <w:t>本协议期限应与主合同期限一致。如果主合同因故需要变更期限，本合同应与主同变更至相同期限。</w:t>
      </w:r>
    </w:p>
    <w:p>
      <w:pPr>
        <w:spacing w:line="360" w:lineRule="auto"/>
        <w:ind w:left="94"/>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（以下无正文）</w:t>
      </w: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甲方 (章)：                                  乙方(章)：</w:t>
      </w:r>
    </w:p>
    <w:p>
      <w:pPr>
        <w:spacing w:line="360" w:lineRule="auto"/>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腾龙芳烃（漳州）有限公司</w:t>
      </w:r>
    </w:p>
    <w:p>
      <w:pPr>
        <w:spacing w:line="360" w:lineRule="auto"/>
        <w:ind w:left="-213" w:leftChars="-97" w:firstLine="115" w:firstLineChars="48"/>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w:t>
      </w: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法人委托代理人 :                              法人委托代理人:</w:t>
      </w:r>
    </w:p>
    <w:p>
      <w:pPr>
        <w:spacing w:line="360" w:lineRule="auto"/>
        <w:ind w:left="1"/>
        <w:rPr>
          <w:rFonts w:asciiTheme="majorEastAsia" w:hAnsiTheme="majorEastAsia" w:eastAsiaTheme="majorEastAsia"/>
          <w:sz w:val="24"/>
          <w:szCs w:val="24"/>
          <w:lang w:eastAsia="zh-CN"/>
        </w:rPr>
      </w:pP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签定日期：    年    月    日                   年    月    日</w:t>
      </w:r>
    </w:p>
    <w:p>
      <w:pPr>
        <w:rPr>
          <w:rFonts w:ascii="Times New Roman" w:hAnsi="Times New Roman" w:cs="Times New Roman"/>
          <w:sz w:val="24"/>
          <w:szCs w:val="24"/>
          <w:lang w:eastAsia="zh-CN"/>
        </w:rPr>
      </w:pPr>
    </w:p>
    <w:p>
      <w:pPr>
        <w:pStyle w:val="2"/>
        <w:rPr>
          <w:b/>
          <w:bCs/>
          <w:sz w:val="24"/>
          <w:szCs w:val="24"/>
        </w:rPr>
      </w:pPr>
      <w:bookmarkStart w:id="33" w:name="_Toc251742852"/>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r>
        <w:rPr>
          <w:rFonts w:hint="eastAsia"/>
          <w:b/>
          <w:bCs/>
          <w:sz w:val="24"/>
          <w:szCs w:val="24"/>
        </w:rPr>
        <w:t>附件二   参选文件范本</w:t>
      </w:r>
    </w:p>
    <w:p>
      <w:pPr>
        <w:pStyle w:val="16"/>
        <w:jc w:val="center"/>
        <w:rPr>
          <w:rFonts w:ascii="Times New Roman" w:hAnsi="Times New Roman"/>
          <w:b/>
          <w:sz w:val="52"/>
          <w:szCs w:val="52"/>
          <w:lang w:eastAsia="zh-CN"/>
        </w:rPr>
      </w:pPr>
    </w:p>
    <w:p>
      <w:pPr>
        <w:pStyle w:val="16"/>
        <w:spacing w:line="615" w:lineRule="exact"/>
        <w:jc w:val="center"/>
        <w:rPr>
          <w:rFonts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福建福海创石油化工有限公司</w:t>
      </w:r>
    </w:p>
    <w:p>
      <w:pPr>
        <w:pStyle w:val="16"/>
        <w:spacing w:line="615" w:lineRule="exact"/>
        <w:jc w:val="center"/>
        <w:rPr>
          <w:rFonts w:ascii="方正小标宋简体" w:hAnsi="方正小标宋简体" w:eastAsia="方正小标宋简体" w:cs="方正小标宋简体"/>
          <w:b/>
          <w:sz w:val="44"/>
          <w:szCs w:val="44"/>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储运储罐清洗服务年约  </w:t>
      </w:r>
      <w:r>
        <w:rPr>
          <w:rFonts w:hint="eastAsia" w:ascii="微软雅黑" w:eastAsia="微软雅黑"/>
          <w:b/>
          <w:sz w:val="36"/>
          <w:szCs w:val="36"/>
          <w:lang w:eastAsia="zh-CN"/>
        </w:rPr>
        <w:t>项目</w:t>
      </w: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6"/>
          <w:lang w:eastAsia="zh-CN"/>
        </w:rPr>
      </w:pPr>
    </w:p>
    <w:p>
      <w:pPr>
        <w:pStyle w:val="16"/>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16"/>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2021</w:t>
      </w:r>
      <w:r>
        <w:rPr>
          <w:rFonts w:ascii="Times New Roman" w:hAnsi="Times New Roman"/>
          <w:b/>
          <w:bCs/>
          <w:w w:val="95"/>
          <w:sz w:val="32"/>
          <w:lang w:eastAsia="zh-CN"/>
        </w:rPr>
        <w:t>年</w:t>
      </w:r>
      <w:r>
        <w:rPr>
          <w:rFonts w:hint="eastAsia" w:ascii="Times New Roman" w:hAnsi="Times New Roman"/>
          <w:b/>
          <w:bCs/>
          <w:w w:val="95"/>
          <w:sz w:val="32"/>
          <w:lang w:eastAsia="zh-CN"/>
        </w:rPr>
        <w:t>8</w:t>
      </w:r>
      <w:r>
        <w:rPr>
          <w:rFonts w:ascii="Times New Roman" w:hAnsi="Times New Roman"/>
          <w:b/>
          <w:bCs/>
          <w:w w:val="95"/>
          <w:sz w:val="32"/>
          <w:lang w:eastAsia="zh-CN"/>
        </w:rPr>
        <w:t>月</w:t>
      </w:r>
    </w:p>
    <w:p>
      <w:pPr>
        <w:rPr>
          <w:lang w:eastAsia="zh-CN"/>
        </w:rPr>
      </w:pPr>
    </w:p>
    <w:p>
      <w:pPr>
        <w:pStyle w:val="2"/>
      </w:pPr>
    </w:p>
    <w:p>
      <w:pPr>
        <w:spacing w:line="500" w:lineRule="exact"/>
        <w:rPr>
          <w:b/>
          <w:bCs/>
          <w:sz w:val="36"/>
          <w:szCs w:val="36"/>
          <w:lang w:eastAsia="zh-CN"/>
        </w:rPr>
      </w:pPr>
    </w:p>
    <w:p>
      <w:pPr>
        <w:spacing w:line="1000" w:lineRule="exact"/>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2"/>
        <w:rPr>
          <w:color w:val="4E6127"/>
        </w:rPr>
      </w:pPr>
    </w:p>
    <w:p>
      <w:pPr>
        <w:pStyle w:val="49"/>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w:t>
      </w:r>
      <w:r>
        <w:rPr>
          <w:rFonts w:hint="eastAsia" w:cs="Times New Roman"/>
          <w:b/>
          <w:color w:val="C00000"/>
          <w:lang w:eastAsia="zh-CN"/>
        </w:rPr>
        <w:t>正本一份、副本两份</w:t>
      </w:r>
      <w:r>
        <w:rPr>
          <w:rFonts w:hint="eastAsia" w:cs="Times New Roman"/>
          <w:bCs w:val="0"/>
          <w:color w:val="C00000"/>
          <w:lang w:eastAsia="zh-CN"/>
        </w:rPr>
        <w:t>，当正本与副本有不一致时，以正本为准。</w:t>
      </w:r>
    </w:p>
    <w:p>
      <w:pPr>
        <w:pStyle w:val="49"/>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2、参选文件的正本和副本均需A4纸打印或用不褪色墨水书写，由参选人的法定代表人或其授权的代理人按规定</w:t>
      </w:r>
      <w:r>
        <w:rPr>
          <w:rFonts w:hint="eastAsia" w:cs="Times New Roman"/>
          <w:b/>
          <w:color w:val="C00000"/>
          <w:lang w:eastAsia="zh-CN"/>
        </w:rPr>
        <w:t>手签，不得用签名章代替</w:t>
      </w:r>
      <w:r>
        <w:rPr>
          <w:rFonts w:hint="eastAsia" w:cs="Times New Roman"/>
          <w:bCs w:val="0"/>
          <w:color w:val="C00000"/>
          <w:lang w:eastAsia="zh-CN"/>
        </w:rPr>
        <w:t>。</w:t>
      </w:r>
    </w:p>
    <w:p>
      <w:pPr>
        <w:pStyle w:val="49"/>
        <w:spacing w:beforeLines="0" w:afterLines="0" w:line="240" w:lineRule="auto"/>
        <w:rPr>
          <w:rFonts w:cs="Times New Roman"/>
          <w:bCs w:val="0"/>
          <w:color w:val="C00000"/>
          <w:lang w:eastAsia="zh-CN"/>
        </w:rPr>
      </w:pPr>
      <w:r>
        <w:rPr>
          <w:rFonts w:hint="eastAsia" w:cs="Times New Roman"/>
          <w:bCs w:val="0"/>
          <w:color w:val="C00000"/>
          <w:lang w:eastAsia="zh-CN"/>
        </w:rPr>
        <w:t>3、参选文件的任何一页都不应涂改，不应有行间插字或删除。如果出现上述情况，不论何种原因造成，均由参选文件签字人在改动处签字或盖法人章。</w:t>
      </w:r>
    </w:p>
    <w:p>
      <w:pPr>
        <w:pStyle w:val="49"/>
        <w:spacing w:beforeLines="0" w:afterLines="0" w:line="240" w:lineRule="auto"/>
        <w:rPr>
          <w:rFonts w:cs="Times New Roman"/>
          <w:b/>
          <w:color w:val="C00000"/>
          <w:lang w:eastAsia="zh-CN"/>
        </w:rPr>
      </w:pPr>
      <w:r>
        <w:rPr>
          <w:rFonts w:hint="eastAsia" w:cs="Times New Roman"/>
          <w:bCs w:val="0"/>
          <w:color w:val="C00000"/>
          <w:lang w:eastAsia="zh-CN"/>
        </w:rPr>
        <w:t>4、每包参选文件的正本与副本应分别装订成册，不得采用活页夹，</w:t>
      </w:r>
      <w:r>
        <w:rPr>
          <w:rFonts w:hint="eastAsia" w:cs="Times New Roman"/>
          <w:b/>
          <w:color w:val="C00000"/>
          <w:lang w:eastAsia="zh-CN"/>
        </w:rPr>
        <w:t>必须装订，否则为无效参选文件。参选文件应编制目录，并且逐页标注连续页码。</w:t>
      </w:r>
    </w:p>
    <w:p>
      <w:pPr>
        <w:pStyle w:val="49"/>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5、以下文件中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49"/>
        <w:spacing w:beforeLines="0" w:afterLines="0" w:line="240" w:lineRule="auto"/>
        <w:ind w:firstLine="621" w:firstLineChars="221"/>
        <w:rPr>
          <w:rFonts w:cs="Times New Roman"/>
          <w:b/>
          <w:color w:val="C00000"/>
          <w:lang w:eastAsia="zh-CN"/>
        </w:rPr>
      </w:pPr>
      <w:r>
        <w:rPr>
          <w:rFonts w:hint="eastAsia" w:cs="Times New Roman"/>
          <w:b/>
          <w:color w:val="C00000"/>
          <w:lang w:eastAsia="zh-CN"/>
        </w:rPr>
        <w:t>6、以下文件中红色字体部分，打印时请删除。</w:t>
      </w:r>
    </w:p>
    <w:p>
      <w:pPr>
        <w:spacing w:line="1000" w:lineRule="exact"/>
        <w:jc w:val="center"/>
        <w:rPr>
          <w:b/>
          <w:sz w:val="44"/>
          <w:szCs w:val="44"/>
          <w:lang w:eastAsia="zh-CN"/>
        </w:rPr>
      </w:pPr>
    </w:p>
    <w:bookmarkEnd w:id="33"/>
    <w:p>
      <w:pPr>
        <w:spacing w:before="11" w:line="360" w:lineRule="auto"/>
        <w:rPr>
          <w:b/>
          <w:bCs/>
          <w:sz w:val="24"/>
          <w:szCs w:val="24"/>
          <w:lang w:eastAsia="zh-CN"/>
        </w:rPr>
      </w:pPr>
    </w:p>
    <w:p>
      <w:pPr>
        <w:pStyle w:val="2"/>
      </w:pPr>
    </w:p>
    <w:p>
      <w:pPr>
        <w:pStyle w:val="2"/>
      </w:pPr>
    </w:p>
    <w:p>
      <w:pPr>
        <w:pStyle w:val="2"/>
      </w:pPr>
    </w:p>
    <w:p>
      <w:pPr>
        <w:pStyle w:val="2"/>
      </w:pPr>
    </w:p>
    <w:p>
      <w:pPr>
        <w:pStyle w:val="2"/>
        <w:rPr>
          <w:sz w:val="24"/>
          <w:szCs w:val="24"/>
        </w:rPr>
      </w:pPr>
      <w:r>
        <w:rPr>
          <w:rFonts w:hint="eastAsia"/>
          <w:sz w:val="24"/>
          <w:szCs w:val="24"/>
        </w:rPr>
        <w:t>附件1、</w:t>
      </w:r>
    </w:p>
    <w:p>
      <w:pPr>
        <w:pStyle w:val="16"/>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inorEastAsia" w:hAnsiTheme="minorEastAsia" w:eastAsiaTheme="minorEastAsia"/>
          <w:sz w:val="24"/>
          <w:szCs w:val="24"/>
          <w:u w:val="single"/>
          <w:lang w:eastAsia="zh-CN"/>
        </w:rPr>
        <w:t>储运储罐清洗</w:t>
      </w:r>
      <w:r>
        <w:rPr>
          <w:rFonts w:hint="eastAsia" w:asciiTheme="majorEastAsia" w:hAnsiTheme="majorEastAsia" w:eastAsiaTheme="majorEastAsia"/>
          <w:sz w:val="24"/>
          <w:szCs w:val="24"/>
          <w:u w:val="single"/>
          <w:lang w:eastAsia="zh-CN"/>
        </w:rPr>
        <w:t>服务年约</w:t>
      </w:r>
      <w:r>
        <w:rPr>
          <w:rFonts w:hint="eastAsia"/>
          <w:sz w:val="24"/>
          <w:lang w:eastAsia="zh-CN"/>
        </w:rPr>
        <w:t>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49"/>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ajorEastAsia" w:hAnsiTheme="majorEastAsia" w:eastAsiaTheme="majorEastAsia"/>
          <w:sz w:val="24"/>
          <w:szCs w:val="24"/>
          <w:u w:val="single"/>
          <w:lang w:eastAsia="zh-CN"/>
        </w:rPr>
        <w:t xml:space="preserve"> </w:t>
      </w:r>
      <w:r>
        <w:rPr>
          <w:rFonts w:hint="eastAsia" w:asciiTheme="minorEastAsia" w:hAnsiTheme="minorEastAsia" w:eastAsiaTheme="minorEastAsia"/>
          <w:sz w:val="24"/>
          <w:szCs w:val="24"/>
          <w:u w:val="single"/>
          <w:lang w:eastAsia="zh-CN"/>
        </w:rPr>
        <w:t>储运储罐清洗</w:t>
      </w:r>
      <w:r>
        <w:rPr>
          <w:rFonts w:hint="eastAsia" w:asciiTheme="majorEastAsia" w:hAnsiTheme="majorEastAsia" w:eastAsiaTheme="majorEastAsia"/>
          <w:sz w:val="24"/>
          <w:szCs w:val="24"/>
          <w:u w:val="single"/>
          <w:lang w:eastAsia="zh-CN"/>
        </w:rPr>
        <w:t>服务年约</w:t>
      </w:r>
      <w:r>
        <w:rPr>
          <w:rFonts w:hint="eastAsia"/>
          <w:sz w:val="24"/>
          <w:lang w:eastAsia="zh-CN"/>
        </w:rPr>
        <w:t>项目招标文件中有关要求完全响应，完全满足供应商合格条件。如我公司能在本次中选，我公司郑重承诺如下：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00" w:lineRule="exact"/>
        <w:jc w:val="both"/>
        <w:rPr>
          <w:sz w:val="24"/>
          <w:szCs w:val="24"/>
          <w:lang w:eastAsia="zh-CN"/>
        </w:rPr>
      </w:pPr>
      <w:r>
        <w:rPr>
          <w:rFonts w:hint="eastAsia"/>
          <w:sz w:val="24"/>
          <w:szCs w:val="24"/>
          <w:lang w:eastAsia="zh-CN"/>
        </w:rPr>
        <w:t>附件5、</w:t>
      </w:r>
    </w:p>
    <w:p>
      <w:pPr>
        <w:pStyle w:val="49"/>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49"/>
        <w:spacing w:beforeLines="0" w:afterLines="0" w:line="240" w:lineRule="auto"/>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49"/>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firstLine="480" w:firstLineChars="200"/>
        <w:rPr>
          <w:sz w:val="24"/>
          <w:szCs w:val="24"/>
          <w:u w:val="single"/>
          <w:lang w:eastAsia="zh-CN"/>
        </w:rPr>
      </w:pPr>
      <w:r>
        <w:rPr>
          <w:rFonts w:hint="eastAsia"/>
          <w:sz w:val="24"/>
          <w:szCs w:val="24"/>
          <w:lang w:eastAsia="zh-CN"/>
        </w:rPr>
        <w:t xml:space="preserve">项目名称： </w:t>
      </w:r>
      <w:r>
        <w:rPr>
          <w:rFonts w:hint="eastAsia" w:asciiTheme="minorEastAsia" w:hAnsiTheme="minorEastAsia" w:eastAsiaTheme="minorEastAsia"/>
          <w:sz w:val="24"/>
          <w:szCs w:val="24"/>
          <w:u w:val="single"/>
          <w:lang w:eastAsia="zh-CN"/>
        </w:rPr>
        <w:t>储运储罐清洗</w:t>
      </w:r>
      <w:r>
        <w:rPr>
          <w:rFonts w:hint="eastAsia" w:asciiTheme="majorEastAsia" w:hAnsiTheme="majorEastAsia" w:eastAsiaTheme="majorEastAsia"/>
          <w:sz w:val="24"/>
          <w:szCs w:val="24"/>
          <w:u w:val="single"/>
          <w:lang w:eastAsia="zh-CN"/>
        </w:rPr>
        <w:t xml:space="preserve">服务年约项目 </w:t>
      </w:r>
    </w:p>
    <w:p>
      <w:pPr>
        <w:spacing w:line="360" w:lineRule="auto"/>
        <w:ind w:firstLine="480" w:firstLineChars="200"/>
        <w:rPr>
          <w:rFonts w:asciiTheme="majorEastAsia" w:hAnsiTheme="majorEastAsia" w:eastAsiaTheme="majorEastAsia"/>
          <w:sz w:val="24"/>
          <w:szCs w:val="24"/>
          <w:lang w:eastAsia="zh-CN"/>
        </w:rPr>
      </w:pPr>
      <w:r>
        <w:rPr>
          <w:rFonts w:hint="eastAsia"/>
          <w:sz w:val="24"/>
          <w:szCs w:val="24"/>
          <w:lang w:eastAsia="zh-CN"/>
        </w:rPr>
        <w:t>参选报价：依据附表“报价表”中</w:t>
      </w:r>
      <w:r>
        <w:rPr>
          <w:rFonts w:hint="eastAsia" w:asciiTheme="majorEastAsia" w:hAnsiTheme="majorEastAsia" w:eastAsiaTheme="majorEastAsia"/>
          <w:sz w:val="24"/>
          <w:szCs w:val="24"/>
          <w:lang w:eastAsia="zh-CN"/>
        </w:rPr>
        <w:t>标准单价的基础上整体向下浮动</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lang w:eastAsia="zh-CN"/>
        </w:rPr>
        <w:t>%；</w:t>
      </w:r>
    </w:p>
    <w:p>
      <w:pPr>
        <w:pStyle w:val="2"/>
        <w:spacing w:line="360" w:lineRule="auto"/>
        <w:rPr>
          <w:sz w:val="24"/>
          <w:szCs w:val="24"/>
        </w:rPr>
      </w:pPr>
      <w:r>
        <w:rPr>
          <w:rFonts w:hint="eastAsia"/>
          <w:sz w:val="24"/>
          <w:szCs w:val="24"/>
        </w:rPr>
        <w:t xml:space="preserve">                  储罐底料清理费用为：</w:t>
      </w:r>
      <w:r>
        <w:rPr>
          <w:rFonts w:hint="eastAsia"/>
          <w:sz w:val="24"/>
          <w:szCs w:val="24"/>
          <w:u w:val="single"/>
        </w:rPr>
        <w:t xml:space="preserve">       </w:t>
      </w:r>
      <w:r>
        <w:rPr>
          <w:rFonts w:hint="eastAsia"/>
          <w:sz w:val="24"/>
          <w:szCs w:val="24"/>
        </w:rPr>
        <w:t>元</w:t>
      </w:r>
      <w:r>
        <w:rPr>
          <w:sz w:val="24"/>
          <w:szCs w:val="24"/>
        </w:rPr>
        <w:t>/</w:t>
      </w:r>
      <w:r>
        <w:rPr>
          <w:rFonts w:hint="eastAsia"/>
          <w:sz w:val="24"/>
          <w:szCs w:val="24"/>
        </w:rPr>
        <w:t>吨</w:t>
      </w:r>
    </w:p>
    <w:p>
      <w:pPr>
        <w:pStyle w:val="2"/>
        <w:spacing w:line="360" w:lineRule="auto"/>
        <w:rPr>
          <w:sz w:val="24"/>
          <w:szCs w:val="24"/>
        </w:rPr>
      </w:pPr>
      <w:r>
        <w:rPr>
          <w:rFonts w:hint="eastAsia"/>
        </w:rPr>
        <w:t xml:space="preserve">         </w:t>
      </w:r>
      <w:r>
        <w:rPr>
          <w:rFonts w:hint="eastAsia"/>
          <w:sz w:val="24"/>
          <w:szCs w:val="24"/>
        </w:rPr>
        <w:t>注： 1）价格为含税价，税率：</w:t>
      </w:r>
      <w:r>
        <w:rPr>
          <w:rFonts w:hint="eastAsia"/>
          <w:sz w:val="24"/>
          <w:szCs w:val="24"/>
          <w:u w:val="single"/>
        </w:rPr>
        <w:t xml:space="preserve">    %  </w:t>
      </w:r>
      <w:r>
        <w:rPr>
          <w:rFonts w:hint="eastAsia"/>
          <w:sz w:val="24"/>
          <w:szCs w:val="24"/>
        </w:rPr>
        <w:t xml:space="preserve"> ；</w:t>
      </w:r>
    </w:p>
    <w:p>
      <w:pPr>
        <w:pStyle w:val="2"/>
        <w:spacing w:line="360" w:lineRule="auto"/>
        <w:rPr>
          <w:sz w:val="24"/>
          <w:szCs w:val="24"/>
        </w:rPr>
      </w:pPr>
      <w:r>
        <w:rPr>
          <w:rFonts w:hint="eastAsia"/>
          <w:sz w:val="24"/>
          <w:szCs w:val="24"/>
        </w:rPr>
        <w:t xml:space="preserve">                  2）付款方式：</w:t>
      </w:r>
      <w:r>
        <w:rPr>
          <w:rFonts w:hint="eastAsia"/>
          <w:sz w:val="24"/>
          <w:szCs w:val="24"/>
          <w:u w:val="single"/>
        </w:rPr>
        <w:t xml:space="preserve">  按比选文件内容要求执行  </w:t>
      </w:r>
      <w:r>
        <w:rPr>
          <w:rFonts w:hint="eastAsia"/>
          <w:sz w:val="24"/>
          <w:szCs w:val="24"/>
        </w:rPr>
        <w:t>；</w:t>
      </w:r>
    </w:p>
    <w:p>
      <w:pPr>
        <w:pStyle w:val="2"/>
        <w:spacing w:line="360" w:lineRule="auto"/>
        <w:rPr>
          <w:sz w:val="24"/>
          <w:szCs w:val="24"/>
          <w:u w:val="single"/>
        </w:rPr>
      </w:pPr>
      <w:r>
        <w:rPr>
          <w:rFonts w:hint="eastAsia"/>
          <w:sz w:val="24"/>
          <w:szCs w:val="24"/>
        </w:rPr>
        <w:t xml:space="preserve">    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2"/>
        <w:spacing w:line="360" w:lineRule="auto"/>
        <w:rPr>
          <w:sz w:val="24"/>
          <w:szCs w:val="24"/>
        </w:rPr>
      </w:pPr>
    </w:p>
    <w:p>
      <w:pPr>
        <w:pStyle w:val="2"/>
        <w:rPr>
          <w:sz w:val="24"/>
          <w:szCs w:val="24"/>
        </w:rPr>
      </w:pPr>
      <w:r>
        <w:rPr>
          <w:rFonts w:hint="eastAsia"/>
          <w:sz w:val="24"/>
          <w:szCs w:val="24"/>
        </w:rPr>
        <w:t>报价表：</w:t>
      </w:r>
      <w:r>
        <w:rPr>
          <w:rFonts w:hint="eastAsia" w:asciiTheme="minorEastAsia" w:hAnsiTheme="minorEastAsia" w:eastAsiaTheme="minorEastAsia"/>
          <w:sz w:val="24"/>
          <w:szCs w:val="24"/>
        </w:rPr>
        <w:t>储罐清洗基价</w:t>
      </w:r>
    </w:p>
    <w:tbl>
      <w:tblPr>
        <w:tblStyle w:val="30"/>
        <w:tblW w:w="9795" w:type="dxa"/>
        <w:tblInd w:w="94" w:type="dxa"/>
        <w:tblLayout w:type="autofit"/>
        <w:tblCellMar>
          <w:top w:w="0" w:type="dxa"/>
          <w:left w:w="108" w:type="dxa"/>
          <w:bottom w:w="0" w:type="dxa"/>
          <w:right w:w="108" w:type="dxa"/>
        </w:tblCellMar>
      </w:tblPr>
      <w:tblGrid>
        <w:gridCol w:w="440"/>
        <w:gridCol w:w="992"/>
        <w:gridCol w:w="1417"/>
        <w:gridCol w:w="1026"/>
        <w:gridCol w:w="675"/>
        <w:gridCol w:w="851"/>
        <w:gridCol w:w="709"/>
        <w:gridCol w:w="992"/>
        <w:gridCol w:w="992"/>
        <w:gridCol w:w="1701"/>
      </w:tblGrid>
      <w:tr>
        <w:tblPrEx>
          <w:tblCellMar>
            <w:top w:w="0" w:type="dxa"/>
            <w:left w:w="108" w:type="dxa"/>
            <w:bottom w:w="0" w:type="dxa"/>
            <w:right w:w="108" w:type="dxa"/>
          </w:tblCellMar>
        </w:tblPrEx>
        <w:trPr>
          <w:trHeight w:val="450" w:hRule="atLeast"/>
        </w:trPr>
        <w:tc>
          <w:tcPr>
            <w:tcW w:w="440" w:type="dxa"/>
            <w:tcBorders>
              <w:top w:val="single" w:color="000000" w:sz="4" w:space="0"/>
              <w:left w:val="nil"/>
              <w:bottom w:val="single" w:color="000000" w:sz="4" w:space="0"/>
              <w:right w:val="single" w:color="000000" w:sz="4" w:space="0"/>
            </w:tcBorders>
            <w:shd w:val="clear" w:color="99CCFF" w:fill="99CCFF"/>
            <w:vAlign w:val="center"/>
          </w:tcPr>
          <w:p>
            <w:pPr>
              <w:widowControl/>
              <w:autoSpaceDE/>
              <w:autoSpaceDN/>
              <w:jc w:val="center"/>
              <w:rPr>
                <w:color w:val="000000"/>
                <w:sz w:val="18"/>
                <w:szCs w:val="18"/>
                <w:lang w:eastAsia="zh-CN"/>
              </w:rPr>
            </w:pPr>
            <w:r>
              <w:rPr>
                <w:rFonts w:hint="eastAsia"/>
                <w:color w:val="000000"/>
                <w:sz w:val="18"/>
                <w:szCs w:val="18"/>
                <w:lang w:eastAsia="zh-CN"/>
              </w:rPr>
              <w:t>序号</w:t>
            </w:r>
          </w:p>
        </w:tc>
        <w:tc>
          <w:tcPr>
            <w:tcW w:w="992" w:type="dxa"/>
            <w:tcBorders>
              <w:top w:val="single" w:color="000000" w:sz="4" w:space="0"/>
              <w:left w:val="nil"/>
              <w:bottom w:val="single" w:color="000000" w:sz="4" w:space="0"/>
              <w:right w:val="single" w:color="000000" w:sz="4" w:space="0"/>
            </w:tcBorders>
            <w:shd w:val="clear" w:color="99CCFF" w:fill="99CCFF"/>
            <w:vAlign w:val="center"/>
          </w:tcPr>
          <w:p>
            <w:pPr>
              <w:widowControl/>
              <w:autoSpaceDE/>
              <w:autoSpaceDN/>
              <w:jc w:val="center"/>
              <w:rPr>
                <w:color w:val="000000"/>
                <w:sz w:val="18"/>
                <w:szCs w:val="18"/>
                <w:lang w:eastAsia="zh-CN"/>
              </w:rPr>
            </w:pPr>
            <w:r>
              <w:rPr>
                <w:rFonts w:hint="eastAsia"/>
                <w:color w:val="000000"/>
                <w:sz w:val="18"/>
                <w:szCs w:val="18"/>
                <w:lang w:eastAsia="zh-CN"/>
              </w:rPr>
              <w:t>油罐编号</w:t>
            </w:r>
          </w:p>
        </w:tc>
        <w:tc>
          <w:tcPr>
            <w:tcW w:w="1417" w:type="dxa"/>
            <w:tcBorders>
              <w:top w:val="single" w:color="000000" w:sz="4" w:space="0"/>
              <w:left w:val="nil"/>
              <w:bottom w:val="single" w:color="000000" w:sz="4" w:space="0"/>
              <w:right w:val="single" w:color="000000" w:sz="4" w:space="0"/>
            </w:tcBorders>
            <w:shd w:val="clear" w:color="99CCFF" w:fill="99CCFF"/>
            <w:vAlign w:val="center"/>
          </w:tcPr>
          <w:p>
            <w:pPr>
              <w:widowControl/>
              <w:autoSpaceDE/>
              <w:autoSpaceDN/>
              <w:jc w:val="center"/>
              <w:rPr>
                <w:color w:val="000000"/>
                <w:sz w:val="18"/>
                <w:szCs w:val="18"/>
                <w:lang w:eastAsia="zh-CN"/>
              </w:rPr>
            </w:pPr>
            <w:r>
              <w:rPr>
                <w:rFonts w:hint="eastAsia"/>
                <w:color w:val="000000"/>
                <w:sz w:val="18"/>
                <w:szCs w:val="18"/>
                <w:lang w:eastAsia="zh-CN"/>
              </w:rPr>
              <w:t>介质名称</w:t>
            </w:r>
          </w:p>
        </w:tc>
        <w:tc>
          <w:tcPr>
            <w:tcW w:w="1026" w:type="dxa"/>
            <w:tcBorders>
              <w:top w:val="single" w:color="000000" w:sz="4" w:space="0"/>
              <w:left w:val="nil"/>
              <w:bottom w:val="single" w:color="000000" w:sz="4" w:space="0"/>
              <w:right w:val="single" w:color="000000" w:sz="4" w:space="0"/>
            </w:tcBorders>
            <w:shd w:val="clear" w:color="99CCFF" w:fill="99CCFF"/>
            <w:vAlign w:val="center"/>
          </w:tcPr>
          <w:p>
            <w:pPr>
              <w:widowControl/>
              <w:autoSpaceDE/>
              <w:autoSpaceDN/>
              <w:jc w:val="center"/>
              <w:rPr>
                <w:color w:val="000000"/>
                <w:sz w:val="18"/>
                <w:szCs w:val="18"/>
                <w:lang w:eastAsia="zh-CN"/>
              </w:rPr>
            </w:pPr>
            <w:r>
              <w:rPr>
                <w:rFonts w:hint="eastAsia"/>
                <w:color w:val="000000"/>
                <w:sz w:val="18"/>
                <w:szCs w:val="18"/>
                <w:lang w:eastAsia="zh-CN"/>
              </w:rPr>
              <w:t>容积 (m3)</w:t>
            </w:r>
          </w:p>
        </w:tc>
        <w:tc>
          <w:tcPr>
            <w:tcW w:w="675" w:type="dxa"/>
            <w:tcBorders>
              <w:top w:val="single" w:color="000000" w:sz="4" w:space="0"/>
              <w:left w:val="nil"/>
              <w:bottom w:val="single" w:color="000000" w:sz="4" w:space="0"/>
              <w:right w:val="single" w:color="000000" w:sz="4" w:space="0"/>
            </w:tcBorders>
            <w:shd w:val="clear" w:color="99CCFF" w:fill="99CCFF"/>
            <w:vAlign w:val="center"/>
          </w:tcPr>
          <w:p>
            <w:pPr>
              <w:widowControl/>
              <w:autoSpaceDE/>
              <w:autoSpaceDN/>
              <w:jc w:val="center"/>
              <w:rPr>
                <w:color w:val="000000"/>
                <w:sz w:val="18"/>
                <w:szCs w:val="18"/>
                <w:lang w:eastAsia="zh-CN"/>
              </w:rPr>
            </w:pPr>
            <w:r>
              <w:rPr>
                <w:rFonts w:hint="eastAsia"/>
                <w:color w:val="000000"/>
                <w:sz w:val="18"/>
                <w:szCs w:val="18"/>
                <w:lang w:eastAsia="zh-CN"/>
              </w:rPr>
              <w:t>储罐直径（m）</w:t>
            </w:r>
          </w:p>
        </w:tc>
        <w:tc>
          <w:tcPr>
            <w:tcW w:w="851" w:type="dxa"/>
            <w:tcBorders>
              <w:top w:val="single" w:color="000000" w:sz="4" w:space="0"/>
              <w:left w:val="nil"/>
              <w:bottom w:val="single" w:color="000000" w:sz="4" w:space="0"/>
              <w:right w:val="single" w:color="000000" w:sz="4" w:space="0"/>
            </w:tcBorders>
            <w:shd w:val="clear" w:color="99CCFF" w:fill="99CCFF"/>
            <w:vAlign w:val="center"/>
          </w:tcPr>
          <w:p>
            <w:pPr>
              <w:widowControl/>
              <w:autoSpaceDE/>
              <w:autoSpaceDN/>
              <w:jc w:val="center"/>
              <w:rPr>
                <w:color w:val="000000"/>
                <w:sz w:val="18"/>
                <w:szCs w:val="18"/>
                <w:lang w:eastAsia="zh-CN"/>
              </w:rPr>
            </w:pPr>
            <w:r>
              <w:rPr>
                <w:rFonts w:hint="eastAsia"/>
                <w:color w:val="000000"/>
                <w:sz w:val="18"/>
                <w:szCs w:val="18"/>
                <w:lang w:eastAsia="zh-CN"/>
              </w:rPr>
              <w:t>储罐类型</w:t>
            </w:r>
          </w:p>
        </w:tc>
        <w:tc>
          <w:tcPr>
            <w:tcW w:w="709" w:type="dxa"/>
            <w:tcBorders>
              <w:top w:val="single" w:color="000000" w:sz="4" w:space="0"/>
              <w:left w:val="nil"/>
              <w:bottom w:val="single" w:color="000000" w:sz="4" w:space="0"/>
              <w:right w:val="single" w:color="000000" w:sz="4" w:space="0"/>
            </w:tcBorders>
            <w:shd w:val="clear" w:color="99CCFF" w:fill="99CCFF"/>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single" w:color="000000" w:sz="4" w:space="0"/>
              <w:left w:val="nil"/>
              <w:bottom w:val="single" w:color="000000" w:sz="4" w:space="0"/>
              <w:right w:val="single" w:color="000000" w:sz="4" w:space="0"/>
            </w:tcBorders>
            <w:shd w:val="clear" w:color="99CCFF" w:fill="99CCFF"/>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single" w:color="000000" w:sz="4" w:space="0"/>
              <w:left w:val="nil"/>
              <w:bottom w:val="single" w:color="000000" w:sz="4" w:space="0"/>
              <w:right w:val="single" w:color="000000" w:sz="4" w:space="0"/>
            </w:tcBorders>
            <w:shd w:val="clear" w:color="99CCFF" w:fill="99CCFF"/>
            <w:vAlign w:val="center"/>
          </w:tcPr>
          <w:p>
            <w:pPr>
              <w:widowControl/>
              <w:autoSpaceDE/>
              <w:autoSpaceDN/>
              <w:jc w:val="center"/>
              <w:rPr>
                <w:color w:val="000000"/>
                <w:sz w:val="18"/>
                <w:szCs w:val="18"/>
                <w:lang w:eastAsia="zh-CN"/>
              </w:rPr>
            </w:pPr>
            <w:r>
              <w:rPr>
                <w:rFonts w:hint="eastAsia"/>
                <w:color w:val="000000"/>
                <w:sz w:val="18"/>
                <w:szCs w:val="18"/>
                <w:lang w:eastAsia="zh-CN"/>
              </w:rPr>
              <w:t>综合单价</w:t>
            </w:r>
          </w:p>
          <w:p>
            <w:pPr>
              <w:widowControl/>
              <w:autoSpaceDE/>
              <w:autoSpaceDN/>
              <w:jc w:val="center"/>
              <w:rPr>
                <w:color w:val="000000"/>
                <w:sz w:val="18"/>
                <w:szCs w:val="18"/>
                <w:lang w:eastAsia="zh-CN"/>
              </w:rPr>
            </w:pPr>
            <w:r>
              <w:rPr>
                <w:rFonts w:hint="eastAsia"/>
                <w:color w:val="000000"/>
                <w:sz w:val="18"/>
                <w:szCs w:val="18"/>
                <w:lang w:eastAsia="zh-CN"/>
              </w:rPr>
              <w:t>（万元）</w:t>
            </w:r>
          </w:p>
        </w:tc>
        <w:tc>
          <w:tcPr>
            <w:tcW w:w="1701" w:type="dxa"/>
            <w:tcBorders>
              <w:top w:val="single" w:color="000000" w:sz="4" w:space="0"/>
              <w:left w:val="nil"/>
              <w:bottom w:val="single" w:color="000000" w:sz="4" w:space="0"/>
              <w:right w:val="single" w:color="000000" w:sz="4" w:space="0"/>
            </w:tcBorders>
            <w:shd w:val="clear" w:color="99CCFF" w:fill="99CCFF"/>
            <w:vAlign w:val="center"/>
          </w:tcPr>
          <w:p>
            <w:pPr>
              <w:widowControl/>
              <w:autoSpaceDE/>
              <w:autoSpaceDN/>
              <w:rPr>
                <w:color w:val="000000"/>
                <w:sz w:val="18"/>
                <w:szCs w:val="18"/>
                <w:lang w:eastAsia="zh-CN"/>
              </w:rPr>
            </w:pPr>
            <w:r>
              <w:rPr>
                <w:rFonts w:hint="eastAsia"/>
                <w:color w:val="000000"/>
                <w:sz w:val="18"/>
                <w:szCs w:val="18"/>
                <w:lang w:eastAsia="zh-CN"/>
              </w:rPr>
              <w:t>备注</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1</w:t>
            </w:r>
          </w:p>
        </w:tc>
        <w:tc>
          <w:tcPr>
            <w:tcW w:w="992" w:type="dxa"/>
            <w:tcBorders>
              <w:top w:val="nil"/>
              <w:left w:val="nil"/>
              <w:bottom w:val="nil"/>
              <w:right w:val="single" w:color="000000" w:sz="4" w:space="0"/>
            </w:tcBorders>
            <w:shd w:val="clear" w:color="000000" w:fill="FFFFFF"/>
            <w:vAlign w:val="center"/>
          </w:tcPr>
          <w:p>
            <w:pPr>
              <w:widowControl/>
              <w:autoSpaceDE/>
              <w:autoSpaceDN/>
              <w:rPr>
                <w:color w:val="000000"/>
                <w:sz w:val="18"/>
                <w:szCs w:val="18"/>
                <w:lang w:eastAsia="zh-CN"/>
              </w:rPr>
            </w:pPr>
            <w:r>
              <w:rPr>
                <w:rFonts w:hint="eastAsia"/>
                <w:color w:val="000000"/>
                <w:sz w:val="18"/>
                <w:szCs w:val="18"/>
                <w:lang w:eastAsia="zh-CN"/>
              </w:rPr>
              <w:t>8308</w:t>
            </w:r>
          </w:p>
        </w:tc>
        <w:tc>
          <w:tcPr>
            <w:tcW w:w="1417" w:type="dxa"/>
            <w:tcBorders>
              <w:top w:val="nil"/>
              <w:left w:val="nil"/>
              <w:bottom w:val="nil"/>
              <w:right w:val="single" w:color="000000" w:sz="4" w:space="0"/>
            </w:tcBorders>
            <w:shd w:val="clear" w:color="000000" w:fill="FFFFFF"/>
            <w:vAlign w:val="center"/>
          </w:tcPr>
          <w:p>
            <w:pPr>
              <w:widowControl/>
              <w:autoSpaceDE/>
              <w:autoSpaceDN/>
              <w:rPr>
                <w:color w:val="000000"/>
                <w:sz w:val="18"/>
                <w:szCs w:val="18"/>
                <w:lang w:eastAsia="zh-CN"/>
              </w:rPr>
            </w:pPr>
            <w:r>
              <w:rPr>
                <w:rFonts w:hint="eastAsia"/>
                <w:color w:val="000000"/>
                <w:sz w:val="18"/>
                <w:szCs w:val="18"/>
                <w:lang w:eastAsia="zh-CN"/>
              </w:rPr>
              <w:t>混合溶剂</w:t>
            </w:r>
          </w:p>
        </w:tc>
        <w:tc>
          <w:tcPr>
            <w:tcW w:w="1026" w:type="dxa"/>
            <w:tcBorders>
              <w:top w:val="nil"/>
              <w:left w:val="nil"/>
              <w:bottom w:val="nil"/>
              <w:right w:val="single" w:color="000000" w:sz="4" w:space="0"/>
            </w:tcBorders>
            <w:shd w:val="clear" w:color="000000" w:fill="FFFFFF"/>
            <w:vAlign w:val="center"/>
          </w:tcPr>
          <w:p>
            <w:pPr>
              <w:widowControl/>
              <w:autoSpaceDE/>
              <w:autoSpaceDN/>
              <w:jc w:val="right"/>
              <w:rPr>
                <w:color w:val="000000"/>
                <w:sz w:val="18"/>
                <w:szCs w:val="18"/>
                <w:lang w:eastAsia="zh-CN"/>
              </w:rPr>
            </w:pPr>
            <w:r>
              <w:rPr>
                <w:rFonts w:hint="eastAsia"/>
                <w:color w:val="000000"/>
                <w:sz w:val="18"/>
                <w:szCs w:val="18"/>
                <w:lang w:eastAsia="zh-CN"/>
              </w:rPr>
              <w:t>600.000</w:t>
            </w:r>
          </w:p>
        </w:tc>
        <w:tc>
          <w:tcPr>
            <w:tcW w:w="675" w:type="dxa"/>
            <w:tcBorders>
              <w:top w:val="nil"/>
              <w:left w:val="nil"/>
              <w:bottom w:val="nil"/>
              <w:right w:val="single" w:color="000000" w:sz="4" w:space="0"/>
            </w:tcBorders>
            <w:shd w:val="clear" w:color="000000" w:fill="FFFFFF"/>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10.2 </w:t>
            </w:r>
          </w:p>
        </w:tc>
        <w:tc>
          <w:tcPr>
            <w:tcW w:w="851" w:type="dxa"/>
            <w:tcBorders>
              <w:top w:val="nil"/>
              <w:left w:val="nil"/>
              <w:bottom w:val="nil"/>
              <w:right w:val="single" w:color="000000" w:sz="4" w:space="0"/>
            </w:tcBorders>
            <w:shd w:val="clear" w:color="000000" w:fill="FFFFFF"/>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nil"/>
              <w:right w:val="single" w:color="000000" w:sz="4" w:space="0"/>
            </w:tcBorders>
            <w:shd w:val="clear" w:color="000000" w:fill="FFFFFF"/>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nil"/>
              <w:right w:val="single" w:color="000000" w:sz="4" w:space="0"/>
            </w:tcBorders>
            <w:shd w:val="clear" w:color="000000" w:fill="FFFFFF"/>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nil"/>
              <w:right w:val="single" w:color="000000" w:sz="4" w:space="0"/>
            </w:tcBorders>
            <w:shd w:val="clear" w:color="000000" w:fill="FFFFFF"/>
            <w:vAlign w:val="center"/>
          </w:tcPr>
          <w:p>
            <w:pPr>
              <w:widowControl/>
              <w:autoSpaceDE/>
              <w:autoSpaceDN/>
              <w:jc w:val="center"/>
              <w:rPr>
                <w:color w:val="000000"/>
                <w:sz w:val="18"/>
                <w:szCs w:val="18"/>
                <w:lang w:eastAsia="zh-CN"/>
              </w:rPr>
            </w:pPr>
            <w:r>
              <w:rPr>
                <w:rFonts w:hint="eastAsia"/>
                <w:color w:val="000000"/>
                <w:sz w:val="18"/>
                <w:szCs w:val="18"/>
                <w:lang w:eastAsia="zh-CN"/>
              </w:rPr>
              <w:t>0.360</w:t>
            </w:r>
          </w:p>
        </w:tc>
        <w:tc>
          <w:tcPr>
            <w:tcW w:w="1701" w:type="dxa"/>
            <w:tcBorders>
              <w:top w:val="nil"/>
              <w:left w:val="nil"/>
              <w:bottom w:val="nil"/>
              <w:right w:val="single" w:color="000000" w:sz="4" w:space="0"/>
            </w:tcBorders>
            <w:shd w:val="clear" w:color="000000" w:fill="FFFFFF"/>
            <w:vAlign w:val="center"/>
          </w:tcPr>
          <w:p>
            <w:pPr>
              <w:rPr>
                <w:color w:val="000000"/>
                <w:sz w:val="18"/>
                <w:szCs w:val="18"/>
              </w:rPr>
            </w:pPr>
            <w:r>
              <w:rPr>
                <w:rFonts w:hint="eastAsia"/>
                <w:color w:val="000000"/>
                <w:sz w:val="18"/>
                <w:szCs w:val="18"/>
              </w:rPr>
              <w:t>技改</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2</w:t>
            </w:r>
          </w:p>
        </w:tc>
        <w:tc>
          <w:tcPr>
            <w:tcW w:w="992" w:type="dxa"/>
            <w:tcBorders>
              <w:top w:val="single" w:color="000000" w:sz="4" w:space="0"/>
              <w:left w:val="nil"/>
              <w:bottom w:val="single" w:color="000000" w:sz="4" w:space="0"/>
              <w:right w:val="single" w:color="000000" w:sz="4" w:space="0"/>
            </w:tcBorders>
            <w:shd w:val="clear" w:color="000000" w:fill="FFFFFF"/>
            <w:vAlign w:val="center"/>
          </w:tcPr>
          <w:p>
            <w:pPr>
              <w:widowControl/>
              <w:autoSpaceDE/>
              <w:autoSpaceDN/>
              <w:rPr>
                <w:color w:val="000000"/>
                <w:sz w:val="18"/>
                <w:szCs w:val="18"/>
                <w:lang w:eastAsia="zh-CN"/>
              </w:rPr>
            </w:pPr>
            <w:r>
              <w:rPr>
                <w:rFonts w:hint="eastAsia"/>
                <w:color w:val="000000"/>
                <w:sz w:val="18"/>
                <w:szCs w:val="18"/>
                <w:lang w:eastAsia="zh-CN"/>
              </w:rPr>
              <w:t>8307</w:t>
            </w:r>
          </w:p>
        </w:tc>
        <w:tc>
          <w:tcPr>
            <w:tcW w:w="1417" w:type="dxa"/>
            <w:tcBorders>
              <w:top w:val="single" w:color="000000" w:sz="4" w:space="0"/>
              <w:left w:val="nil"/>
              <w:bottom w:val="single" w:color="000000" w:sz="4" w:space="0"/>
              <w:right w:val="single" w:color="000000" w:sz="4" w:space="0"/>
            </w:tcBorders>
            <w:shd w:val="clear" w:color="000000" w:fill="FFFFFF"/>
            <w:vAlign w:val="center"/>
          </w:tcPr>
          <w:p>
            <w:pPr>
              <w:widowControl/>
              <w:autoSpaceDE/>
              <w:autoSpaceDN/>
              <w:rPr>
                <w:color w:val="000000"/>
                <w:sz w:val="18"/>
                <w:szCs w:val="18"/>
                <w:lang w:eastAsia="zh-CN"/>
              </w:rPr>
            </w:pPr>
            <w:r>
              <w:rPr>
                <w:rFonts w:hint="eastAsia"/>
                <w:color w:val="000000"/>
                <w:sz w:val="18"/>
                <w:szCs w:val="18"/>
                <w:lang w:eastAsia="zh-CN"/>
              </w:rPr>
              <w:t>甲醇</w:t>
            </w: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autoSpaceDE/>
              <w:autoSpaceDN/>
              <w:jc w:val="right"/>
              <w:rPr>
                <w:color w:val="000000"/>
                <w:sz w:val="18"/>
                <w:szCs w:val="18"/>
                <w:lang w:eastAsia="zh-CN"/>
              </w:rPr>
            </w:pPr>
            <w:r>
              <w:rPr>
                <w:rFonts w:hint="eastAsia"/>
                <w:color w:val="000000"/>
                <w:sz w:val="18"/>
                <w:szCs w:val="18"/>
                <w:lang w:eastAsia="zh-CN"/>
              </w:rPr>
              <w:t>1000.000</w:t>
            </w:r>
          </w:p>
        </w:tc>
        <w:tc>
          <w:tcPr>
            <w:tcW w:w="675" w:type="dxa"/>
            <w:tcBorders>
              <w:top w:val="single" w:color="000000" w:sz="4" w:space="0"/>
              <w:left w:val="nil"/>
              <w:bottom w:val="single" w:color="000000" w:sz="4" w:space="0"/>
              <w:right w:val="single" w:color="000000" w:sz="4" w:space="0"/>
            </w:tcBorders>
            <w:shd w:val="clear" w:color="000000" w:fill="FFFFFF"/>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11.5 </w:t>
            </w:r>
          </w:p>
        </w:tc>
        <w:tc>
          <w:tcPr>
            <w:tcW w:w="851" w:type="dxa"/>
            <w:tcBorders>
              <w:top w:val="single" w:color="000000" w:sz="4" w:space="0"/>
              <w:left w:val="nil"/>
              <w:bottom w:val="single" w:color="000000" w:sz="4" w:space="0"/>
              <w:right w:val="single" w:color="000000" w:sz="4" w:space="0"/>
            </w:tcBorders>
            <w:shd w:val="clear" w:color="000000" w:fill="FFFFFF"/>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single" w:color="000000" w:sz="4" w:space="0"/>
              <w:left w:val="nil"/>
              <w:bottom w:val="single" w:color="000000" w:sz="4" w:space="0"/>
              <w:right w:val="single" w:color="000000" w:sz="4" w:space="0"/>
            </w:tcBorders>
            <w:shd w:val="clear" w:color="000000" w:fill="FFFFFF"/>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single" w:color="000000" w:sz="4" w:space="0"/>
              <w:left w:val="nil"/>
              <w:bottom w:val="single" w:color="000000" w:sz="4" w:space="0"/>
              <w:right w:val="single" w:color="000000" w:sz="4" w:space="0"/>
            </w:tcBorders>
            <w:shd w:val="clear" w:color="000000" w:fill="FFFFFF"/>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single" w:color="000000" w:sz="4" w:space="0"/>
              <w:left w:val="nil"/>
              <w:bottom w:val="single" w:color="000000" w:sz="4" w:space="0"/>
              <w:right w:val="single" w:color="000000" w:sz="4" w:space="0"/>
            </w:tcBorders>
            <w:shd w:val="clear" w:color="000000" w:fill="FFFFFF"/>
            <w:vAlign w:val="center"/>
          </w:tcPr>
          <w:p>
            <w:pPr>
              <w:widowControl/>
              <w:autoSpaceDE/>
              <w:autoSpaceDN/>
              <w:jc w:val="center"/>
              <w:rPr>
                <w:color w:val="000000"/>
                <w:sz w:val="18"/>
                <w:szCs w:val="18"/>
                <w:lang w:eastAsia="zh-CN"/>
              </w:rPr>
            </w:pPr>
            <w:r>
              <w:rPr>
                <w:rFonts w:hint="eastAsia"/>
                <w:color w:val="000000"/>
                <w:sz w:val="18"/>
                <w:szCs w:val="18"/>
                <w:lang w:eastAsia="zh-CN"/>
              </w:rPr>
              <w:t>0.600</w:t>
            </w:r>
          </w:p>
        </w:tc>
        <w:tc>
          <w:tcPr>
            <w:tcW w:w="1701" w:type="dxa"/>
            <w:tcBorders>
              <w:top w:val="single" w:color="000000" w:sz="4" w:space="0"/>
              <w:left w:val="nil"/>
              <w:bottom w:val="single" w:color="000000" w:sz="4" w:space="0"/>
              <w:right w:val="single" w:color="000000" w:sz="4" w:space="0"/>
            </w:tcBorders>
            <w:shd w:val="clear" w:color="000000" w:fill="FFFFFF"/>
            <w:vAlign w:val="center"/>
          </w:tcPr>
          <w:p>
            <w:pPr>
              <w:rPr>
                <w:color w:val="000000"/>
                <w:sz w:val="18"/>
                <w:szCs w:val="18"/>
              </w:rPr>
            </w:pPr>
            <w:r>
              <w:rPr>
                <w:rFonts w:hint="eastAsia"/>
                <w:color w:val="000000"/>
                <w:sz w:val="18"/>
                <w:szCs w:val="18"/>
              </w:rPr>
              <w:t>技改</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3</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61_T_706</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邻二甲苯</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1000.000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11.0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2.500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4</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61_T_707</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邻二甲苯</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1000.000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11.0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2.500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5</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61_T_708</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苯</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1000.000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11.0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2.500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lang w:eastAsia="zh-CN"/>
              </w:rPr>
            </w:pPr>
            <w:r>
              <w:rPr>
                <w:rFonts w:hint="eastAsia"/>
                <w:color w:val="000000"/>
                <w:sz w:val="18"/>
                <w:szCs w:val="18"/>
                <w:lang w:eastAsia="zh-CN"/>
              </w:rPr>
              <w:t>浮盘检尺孔检修；劳动保护腐蚀严重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6</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61_T_709</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苯</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1000.000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11.0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2.500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lang w:eastAsia="zh-CN"/>
              </w:rPr>
            </w:pPr>
            <w:r>
              <w:rPr>
                <w:rFonts w:hint="eastAsia"/>
                <w:color w:val="000000"/>
                <w:sz w:val="18"/>
                <w:szCs w:val="18"/>
                <w:lang w:eastAsia="zh-CN"/>
              </w:rPr>
              <w:t>浮盘检尺孔检修；劳动保护腐蚀严重</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7</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64_T_109</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尾油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1000.000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11.0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拱顶罐</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2.500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8</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64_T_110</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尾油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1000.000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11.0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拱顶罐</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2.500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9</w:t>
            </w:r>
          </w:p>
        </w:tc>
        <w:tc>
          <w:tcPr>
            <w:tcW w:w="992" w:type="dxa"/>
            <w:tcBorders>
              <w:top w:val="nil"/>
              <w:left w:val="nil"/>
              <w:bottom w:val="single" w:color="000000" w:sz="4" w:space="0"/>
              <w:right w:val="single" w:color="000000" w:sz="4" w:space="0"/>
            </w:tcBorders>
            <w:shd w:val="clear" w:color="000000" w:fill="FFFFFF"/>
            <w:vAlign w:val="center"/>
          </w:tcPr>
          <w:p>
            <w:pPr>
              <w:widowControl/>
              <w:autoSpaceDE/>
              <w:autoSpaceDN/>
              <w:rPr>
                <w:color w:val="000000"/>
                <w:sz w:val="18"/>
                <w:szCs w:val="18"/>
                <w:lang w:eastAsia="zh-CN"/>
              </w:rPr>
            </w:pPr>
            <w:r>
              <w:rPr>
                <w:rFonts w:hint="eastAsia"/>
                <w:color w:val="000000"/>
                <w:sz w:val="18"/>
                <w:szCs w:val="18"/>
                <w:lang w:eastAsia="zh-CN"/>
              </w:rPr>
              <w:t>8303C</w:t>
            </w:r>
          </w:p>
        </w:tc>
        <w:tc>
          <w:tcPr>
            <w:tcW w:w="1417" w:type="dxa"/>
            <w:tcBorders>
              <w:top w:val="nil"/>
              <w:left w:val="nil"/>
              <w:bottom w:val="single" w:color="000000" w:sz="4" w:space="0"/>
              <w:right w:val="single" w:color="000000" w:sz="4" w:space="0"/>
            </w:tcBorders>
            <w:shd w:val="clear" w:color="000000" w:fill="FFFFFF"/>
            <w:vAlign w:val="center"/>
          </w:tcPr>
          <w:p>
            <w:pPr>
              <w:widowControl/>
              <w:autoSpaceDE/>
              <w:autoSpaceDN/>
              <w:rPr>
                <w:color w:val="000000"/>
                <w:sz w:val="18"/>
                <w:szCs w:val="18"/>
                <w:lang w:eastAsia="zh-CN"/>
              </w:rPr>
            </w:pPr>
            <w:r>
              <w:rPr>
                <w:rFonts w:hint="eastAsia"/>
                <w:color w:val="000000"/>
                <w:sz w:val="18"/>
                <w:szCs w:val="18"/>
                <w:lang w:eastAsia="zh-CN"/>
              </w:rPr>
              <w:t>醋酸</w:t>
            </w:r>
          </w:p>
        </w:tc>
        <w:tc>
          <w:tcPr>
            <w:tcW w:w="1026" w:type="dxa"/>
            <w:tcBorders>
              <w:top w:val="nil"/>
              <w:left w:val="nil"/>
              <w:bottom w:val="single" w:color="000000" w:sz="4" w:space="0"/>
              <w:right w:val="single" w:color="000000" w:sz="4" w:space="0"/>
            </w:tcBorders>
            <w:shd w:val="clear" w:color="000000" w:fill="FFFFFF"/>
            <w:vAlign w:val="center"/>
          </w:tcPr>
          <w:p>
            <w:pPr>
              <w:widowControl/>
              <w:autoSpaceDE/>
              <w:autoSpaceDN/>
              <w:jc w:val="right"/>
              <w:rPr>
                <w:color w:val="000000"/>
                <w:sz w:val="18"/>
                <w:szCs w:val="18"/>
                <w:lang w:eastAsia="zh-CN"/>
              </w:rPr>
            </w:pPr>
            <w:r>
              <w:rPr>
                <w:rFonts w:hint="eastAsia"/>
                <w:color w:val="000000"/>
                <w:sz w:val="18"/>
                <w:szCs w:val="18"/>
                <w:lang w:eastAsia="zh-CN"/>
              </w:rPr>
              <w:t>2000.000</w:t>
            </w:r>
          </w:p>
        </w:tc>
        <w:tc>
          <w:tcPr>
            <w:tcW w:w="675" w:type="dxa"/>
            <w:tcBorders>
              <w:top w:val="nil"/>
              <w:left w:val="nil"/>
              <w:bottom w:val="single" w:color="000000" w:sz="4" w:space="0"/>
              <w:right w:val="single" w:color="000000" w:sz="4" w:space="0"/>
            </w:tcBorders>
            <w:shd w:val="clear" w:color="000000" w:fill="FFFFFF"/>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15.8 </w:t>
            </w:r>
          </w:p>
        </w:tc>
        <w:tc>
          <w:tcPr>
            <w:tcW w:w="851" w:type="dxa"/>
            <w:tcBorders>
              <w:top w:val="nil"/>
              <w:left w:val="nil"/>
              <w:bottom w:val="single" w:color="000000" w:sz="4" w:space="0"/>
              <w:right w:val="single" w:color="000000" w:sz="4" w:space="0"/>
            </w:tcBorders>
            <w:shd w:val="clear" w:color="000000" w:fill="FFFFFF"/>
            <w:vAlign w:val="center"/>
          </w:tcPr>
          <w:p>
            <w:pPr>
              <w:widowControl/>
              <w:autoSpaceDE/>
              <w:autoSpaceDN/>
              <w:jc w:val="center"/>
              <w:rPr>
                <w:color w:val="000000"/>
                <w:sz w:val="18"/>
                <w:szCs w:val="18"/>
                <w:lang w:eastAsia="zh-CN"/>
              </w:rPr>
            </w:pPr>
            <w:r>
              <w:rPr>
                <w:rFonts w:hint="eastAsia"/>
                <w:color w:val="000000"/>
                <w:sz w:val="18"/>
                <w:szCs w:val="18"/>
                <w:lang w:eastAsia="zh-CN"/>
              </w:rPr>
              <w:t>拱顶罐</w:t>
            </w:r>
          </w:p>
        </w:tc>
        <w:tc>
          <w:tcPr>
            <w:tcW w:w="709" w:type="dxa"/>
            <w:tcBorders>
              <w:top w:val="nil"/>
              <w:left w:val="nil"/>
              <w:bottom w:val="single" w:color="000000" w:sz="4" w:space="0"/>
              <w:right w:val="single" w:color="000000" w:sz="4" w:space="0"/>
            </w:tcBorders>
            <w:shd w:val="clear" w:color="000000" w:fill="FFFFFF"/>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000000" w:fill="FFFFFF"/>
            <w:vAlign w:val="center"/>
          </w:tcPr>
          <w:p>
            <w:pPr>
              <w:widowControl/>
              <w:autoSpaceDE/>
              <w:autoSpaceDN/>
              <w:rPr>
                <w:color w:val="000000"/>
                <w:sz w:val="18"/>
                <w:szCs w:val="18"/>
                <w:lang w:eastAsia="zh-CN"/>
              </w:rPr>
            </w:pPr>
            <w:r>
              <w:rPr>
                <w:rFonts w:hint="eastAsia"/>
                <w:color w:val="000000"/>
                <w:sz w:val="18"/>
                <w:szCs w:val="18"/>
                <w:lang w:eastAsia="zh-CN"/>
              </w:rPr>
              <w:t>伴热</w:t>
            </w:r>
          </w:p>
        </w:tc>
        <w:tc>
          <w:tcPr>
            <w:tcW w:w="992" w:type="dxa"/>
            <w:tcBorders>
              <w:top w:val="nil"/>
              <w:left w:val="nil"/>
              <w:bottom w:val="single" w:color="000000" w:sz="4" w:space="0"/>
              <w:right w:val="single" w:color="000000" w:sz="4" w:space="0"/>
            </w:tcBorders>
            <w:shd w:val="clear" w:color="000000" w:fill="FFFFFF"/>
            <w:vAlign w:val="center"/>
          </w:tcPr>
          <w:p>
            <w:pPr>
              <w:widowControl/>
              <w:autoSpaceDE/>
              <w:autoSpaceDN/>
              <w:jc w:val="center"/>
              <w:rPr>
                <w:color w:val="000000"/>
                <w:sz w:val="18"/>
                <w:szCs w:val="18"/>
                <w:lang w:eastAsia="zh-CN"/>
              </w:rPr>
            </w:pPr>
            <w:r>
              <w:rPr>
                <w:rFonts w:hint="eastAsia"/>
                <w:color w:val="000000"/>
                <w:sz w:val="18"/>
                <w:szCs w:val="18"/>
                <w:lang w:eastAsia="zh-CN"/>
              </w:rPr>
              <w:t>1.200</w:t>
            </w:r>
          </w:p>
        </w:tc>
        <w:tc>
          <w:tcPr>
            <w:tcW w:w="1701" w:type="dxa"/>
            <w:tcBorders>
              <w:top w:val="nil"/>
              <w:left w:val="nil"/>
              <w:bottom w:val="single" w:color="000000" w:sz="4" w:space="0"/>
              <w:right w:val="single" w:color="000000" w:sz="4" w:space="0"/>
            </w:tcBorders>
            <w:shd w:val="clear" w:color="000000" w:fill="FFFFFF"/>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10</w:t>
            </w:r>
          </w:p>
        </w:tc>
        <w:tc>
          <w:tcPr>
            <w:tcW w:w="992" w:type="dxa"/>
            <w:tcBorders>
              <w:top w:val="nil"/>
              <w:left w:val="nil"/>
              <w:bottom w:val="single" w:color="000000" w:sz="4" w:space="0"/>
              <w:right w:val="single" w:color="000000" w:sz="4" w:space="0"/>
            </w:tcBorders>
            <w:shd w:val="clear" w:color="000000" w:fill="FFFFFF"/>
            <w:vAlign w:val="center"/>
          </w:tcPr>
          <w:p>
            <w:pPr>
              <w:widowControl/>
              <w:autoSpaceDE/>
              <w:autoSpaceDN/>
              <w:rPr>
                <w:color w:val="000000"/>
                <w:sz w:val="18"/>
                <w:szCs w:val="18"/>
                <w:lang w:eastAsia="zh-CN"/>
              </w:rPr>
            </w:pPr>
            <w:r>
              <w:rPr>
                <w:rFonts w:hint="eastAsia"/>
                <w:color w:val="000000"/>
                <w:sz w:val="18"/>
                <w:szCs w:val="18"/>
                <w:lang w:eastAsia="zh-CN"/>
              </w:rPr>
              <w:t>8304</w:t>
            </w:r>
          </w:p>
        </w:tc>
        <w:tc>
          <w:tcPr>
            <w:tcW w:w="1417" w:type="dxa"/>
            <w:tcBorders>
              <w:top w:val="nil"/>
              <w:left w:val="nil"/>
              <w:bottom w:val="single" w:color="000000" w:sz="4" w:space="0"/>
              <w:right w:val="single" w:color="000000" w:sz="4" w:space="0"/>
            </w:tcBorders>
            <w:shd w:val="clear" w:color="000000" w:fill="FFFFFF"/>
            <w:vAlign w:val="center"/>
          </w:tcPr>
          <w:p>
            <w:pPr>
              <w:widowControl/>
              <w:autoSpaceDE/>
              <w:autoSpaceDN/>
              <w:rPr>
                <w:color w:val="000000"/>
                <w:sz w:val="18"/>
                <w:szCs w:val="18"/>
                <w:lang w:eastAsia="zh-CN"/>
              </w:rPr>
            </w:pPr>
            <w:r>
              <w:rPr>
                <w:rFonts w:hint="eastAsia"/>
                <w:color w:val="000000"/>
                <w:sz w:val="18"/>
                <w:szCs w:val="18"/>
                <w:lang w:eastAsia="zh-CN"/>
              </w:rPr>
              <w:t>醋酸异丁脂</w:t>
            </w:r>
          </w:p>
        </w:tc>
        <w:tc>
          <w:tcPr>
            <w:tcW w:w="1026" w:type="dxa"/>
            <w:tcBorders>
              <w:top w:val="nil"/>
              <w:left w:val="nil"/>
              <w:bottom w:val="single" w:color="000000" w:sz="4" w:space="0"/>
              <w:right w:val="single" w:color="000000" w:sz="4" w:space="0"/>
            </w:tcBorders>
            <w:shd w:val="clear" w:color="000000" w:fill="FFFFFF"/>
            <w:vAlign w:val="center"/>
          </w:tcPr>
          <w:p>
            <w:pPr>
              <w:widowControl/>
              <w:autoSpaceDE/>
              <w:autoSpaceDN/>
              <w:jc w:val="right"/>
              <w:rPr>
                <w:color w:val="000000"/>
                <w:sz w:val="18"/>
                <w:szCs w:val="18"/>
                <w:lang w:eastAsia="zh-CN"/>
              </w:rPr>
            </w:pPr>
            <w:r>
              <w:rPr>
                <w:rFonts w:hint="eastAsia"/>
                <w:color w:val="000000"/>
                <w:sz w:val="18"/>
                <w:szCs w:val="18"/>
                <w:lang w:eastAsia="zh-CN"/>
              </w:rPr>
              <w:t>2000.000</w:t>
            </w:r>
          </w:p>
        </w:tc>
        <w:tc>
          <w:tcPr>
            <w:tcW w:w="675" w:type="dxa"/>
            <w:tcBorders>
              <w:top w:val="nil"/>
              <w:left w:val="nil"/>
              <w:bottom w:val="single" w:color="000000" w:sz="4" w:space="0"/>
              <w:right w:val="single" w:color="000000" w:sz="4" w:space="0"/>
            </w:tcBorders>
            <w:shd w:val="clear" w:color="000000" w:fill="FFFFFF"/>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15.8 </w:t>
            </w:r>
          </w:p>
        </w:tc>
        <w:tc>
          <w:tcPr>
            <w:tcW w:w="851" w:type="dxa"/>
            <w:tcBorders>
              <w:top w:val="nil"/>
              <w:left w:val="nil"/>
              <w:bottom w:val="single" w:color="000000" w:sz="4" w:space="0"/>
              <w:right w:val="single" w:color="000000" w:sz="4" w:space="0"/>
            </w:tcBorders>
            <w:shd w:val="clear" w:color="000000" w:fill="FFFFFF"/>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000000" w:fill="FFFFFF"/>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000000" w:fill="FFFFFF"/>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000000" w:fill="FFFFFF"/>
            <w:vAlign w:val="center"/>
          </w:tcPr>
          <w:p>
            <w:pPr>
              <w:widowControl/>
              <w:autoSpaceDE/>
              <w:autoSpaceDN/>
              <w:jc w:val="center"/>
              <w:rPr>
                <w:color w:val="000000"/>
                <w:sz w:val="18"/>
                <w:szCs w:val="18"/>
                <w:lang w:eastAsia="zh-CN"/>
              </w:rPr>
            </w:pPr>
            <w:r>
              <w:rPr>
                <w:rFonts w:hint="eastAsia"/>
                <w:color w:val="000000"/>
                <w:sz w:val="18"/>
                <w:szCs w:val="18"/>
                <w:lang w:eastAsia="zh-CN"/>
              </w:rPr>
              <w:t>1.200</w:t>
            </w:r>
          </w:p>
        </w:tc>
        <w:tc>
          <w:tcPr>
            <w:tcW w:w="1701" w:type="dxa"/>
            <w:tcBorders>
              <w:top w:val="nil"/>
              <w:left w:val="nil"/>
              <w:bottom w:val="single" w:color="000000" w:sz="4" w:space="0"/>
              <w:right w:val="single" w:color="000000" w:sz="4" w:space="0"/>
            </w:tcBorders>
            <w:shd w:val="clear" w:color="000000" w:fill="FFFFFF"/>
            <w:vAlign w:val="center"/>
          </w:tcPr>
          <w:p>
            <w:pPr>
              <w:rPr>
                <w:color w:val="000000"/>
                <w:sz w:val="18"/>
                <w:szCs w:val="18"/>
              </w:rPr>
            </w:pPr>
            <w:r>
              <w:rPr>
                <w:rFonts w:hint="eastAsia"/>
                <w:color w:val="000000"/>
                <w:sz w:val="18"/>
                <w:szCs w:val="18"/>
              </w:rPr>
              <w:t>技改</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11</w:t>
            </w:r>
          </w:p>
        </w:tc>
        <w:tc>
          <w:tcPr>
            <w:tcW w:w="992" w:type="dxa"/>
            <w:tcBorders>
              <w:top w:val="nil"/>
              <w:left w:val="nil"/>
              <w:bottom w:val="single" w:color="000000" w:sz="4" w:space="0"/>
              <w:right w:val="single" w:color="000000" w:sz="4" w:space="0"/>
            </w:tcBorders>
            <w:shd w:val="clear" w:color="000000" w:fill="FFFFFF"/>
            <w:vAlign w:val="center"/>
          </w:tcPr>
          <w:p>
            <w:pPr>
              <w:widowControl/>
              <w:autoSpaceDE/>
              <w:autoSpaceDN/>
              <w:rPr>
                <w:color w:val="000000"/>
                <w:sz w:val="18"/>
                <w:szCs w:val="18"/>
                <w:lang w:eastAsia="zh-CN"/>
              </w:rPr>
            </w:pPr>
            <w:r>
              <w:rPr>
                <w:rFonts w:hint="eastAsia"/>
                <w:color w:val="000000"/>
                <w:sz w:val="18"/>
                <w:szCs w:val="18"/>
                <w:lang w:eastAsia="zh-CN"/>
              </w:rPr>
              <w:t>8306</w:t>
            </w:r>
          </w:p>
        </w:tc>
        <w:tc>
          <w:tcPr>
            <w:tcW w:w="1417" w:type="dxa"/>
            <w:tcBorders>
              <w:top w:val="nil"/>
              <w:left w:val="nil"/>
              <w:bottom w:val="single" w:color="000000" w:sz="4" w:space="0"/>
              <w:right w:val="single" w:color="000000" w:sz="4" w:space="0"/>
            </w:tcBorders>
            <w:shd w:val="clear" w:color="000000" w:fill="FFFFFF"/>
            <w:vAlign w:val="center"/>
          </w:tcPr>
          <w:p>
            <w:pPr>
              <w:widowControl/>
              <w:autoSpaceDE/>
              <w:autoSpaceDN/>
              <w:rPr>
                <w:color w:val="000000"/>
                <w:sz w:val="18"/>
                <w:szCs w:val="18"/>
                <w:lang w:eastAsia="zh-CN"/>
              </w:rPr>
            </w:pPr>
            <w:r>
              <w:rPr>
                <w:rFonts w:hint="eastAsia"/>
                <w:color w:val="000000"/>
                <w:sz w:val="18"/>
                <w:szCs w:val="18"/>
                <w:lang w:eastAsia="zh-CN"/>
              </w:rPr>
              <w:t>甲醇</w:t>
            </w:r>
          </w:p>
        </w:tc>
        <w:tc>
          <w:tcPr>
            <w:tcW w:w="1026" w:type="dxa"/>
            <w:tcBorders>
              <w:top w:val="nil"/>
              <w:left w:val="nil"/>
              <w:bottom w:val="single" w:color="000000" w:sz="4" w:space="0"/>
              <w:right w:val="single" w:color="000000" w:sz="4" w:space="0"/>
            </w:tcBorders>
            <w:shd w:val="clear" w:color="000000" w:fill="FFFFFF"/>
            <w:vAlign w:val="center"/>
          </w:tcPr>
          <w:p>
            <w:pPr>
              <w:widowControl/>
              <w:autoSpaceDE/>
              <w:autoSpaceDN/>
              <w:jc w:val="right"/>
              <w:rPr>
                <w:color w:val="000000"/>
                <w:sz w:val="18"/>
                <w:szCs w:val="18"/>
                <w:lang w:eastAsia="zh-CN"/>
              </w:rPr>
            </w:pPr>
            <w:r>
              <w:rPr>
                <w:rFonts w:hint="eastAsia"/>
                <w:color w:val="000000"/>
                <w:sz w:val="18"/>
                <w:szCs w:val="18"/>
                <w:lang w:eastAsia="zh-CN"/>
              </w:rPr>
              <w:t>2000.000</w:t>
            </w:r>
          </w:p>
        </w:tc>
        <w:tc>
          <w:tcPr>
            <w:tcW w:w="675" w:type="dxa"/>
            <w:tcBorders>
              <w:top w:val="nil"/>
              <w:left w:val="nil"/>
              <w:bottom w:val="single" w:color="000000" w:sz="4" w:space="0"/>
              <w:right w:val="single" w:color="000000" w:sz="4" w:space="0"/>
            </w:tcBorders>
            <w:shd w:val="clear" w:color="000000" w:fill="FFFFFF"/>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15.8 </w:t>
            </w:r>
          </w:p>
        </w:tc>
        <w:tc>
          <w:tcPr>
            <w:tcW w:w="851" w:type="dxa"/>
            <w:tcBorders>
              <w:top w:val="nil"/>
              <w:left w:val="nil"/>
              <w:bottom w:val="single" w:color="000000" w:sz="4" w:space="0"/>
              <w:right w:val="single" w:color="000000" w:sz="4" w:space="0"/>
            </w:tcBorders>
            <w:shd w:val="clear" w:color="000000" w:fill="FFFFFF"/>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000000" w:fill="FFFFFF"/>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000000" w:fill="FFFFFF"/>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000000" w:fill="FFFFFF"/>
            <w:vAlign w:val="center"/>
          </w:tcPr>
          <w:p>
            <w:pPr>
              <w:widowControl/>
              <w:autoSpaceDE/>
              <w:autoSpaceDN/>
              <w:jc w:val="center"/>
              <w:rPr>
                <w:color w:val="000000"/>
                <w:sz w:val="18"/>
                <w:szCs w:val="18"/>
                <w:lang w:eastAsia="zh-CN"/>
              </w:rPr>
            </w:pPr>
            <w:r>
              <w:rPr>
                <w:rFonts w:hint="eastAsia"/>
                <w:color w:val="000000"/>
                <w:sz w:val="18"/>
                <w:szCs w:val="18"/>
                <w:lang w:eastAsia="zh-CN"/>
              </w:rPr>
              <w:t>1.200</w:t>
            </w:r>
          </w:p>
        </w:tc>
        <w:tc>
          <w:tcPr>
            <w:tcW w:w="1701" w:type="dxa"/>
            <w:tcBorders>
              <w:top w:val="nil"/>
              <w:left w:val="nil"/>
              <w:bottom w:val="single" w:color="000000" w:sz="4" w:space="0"/>
              <w:right w:val="single" w:color="000000" w:sz="4" w:space="0"/>
            </w:tcBorders>
            <w:shd w:val="clear" w:color="000000" w:fill="FFFFFF"/>
            <w:vAlign w:val="center"/>
          </w:tcPr>
          <w:p>
            <w:pPr>
              <w:rPr>
                <w:color w:val="000000"/>
                <w:sz w:val="18"/>
                <w:szCs w:val="18"/>
              </w:rPr>
            </w:pPr>
            <w:r>
              <w:rPr>
                <w:rFonts w:hint="eastAsia"/>
                <w:color w:val="000000"/>
                <w:sz w:val="18"/>
                <w:szCs w:val="18"/>
              </w:rPr>
              <w:t>技改</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12</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61_T_705</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甲苯</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3000.000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17.0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3.000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13</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61_T_710</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抽提产品</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3000.000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17.0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3.000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14</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61_T_711</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抽提产品</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3000.000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17.0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3.000</w:t>
            </w:r>
          </w:p>
        </w:tc>
        <w:tc>
          <w:tcPr>
            <w:tcW w:w="1701" w:type="dxa"/>
            <w:tcBorders>
              <w:top w:val="nil"/>
              <w:left w:val="nil"/>
              <w:bottom w:val="single" w:color="000000" w:sz="4" w:space="0"/>
              <w:right w:val="single" w:color="000000" w:sz="4" w:space="0"/>
            </w:tcBorders>
            <w:shd w:val="clear" w:color="auto" w:fill="auto"/>
            <w:vAlign w:val="center"/>
          </w:tcPr>
          <w:p>
            <w:pPr>
              <w:spacing w:line="200" w:lineRule="exact"/>
              <w:rPr>
                <w:color w:val="000000"/>
                <w:sz w:val="18"/>
                <w:szCs w:val="18"/>
                <w:lang w:eastAsia="zh-CN"/>
              </w:rPr>
            </w:pPr>
            <w:r>
              <w:rPr>
                <w:rFonts w:hint="eastAsia"/>
                <w:color w:val="000000"/>
                <w:sz w:val="18"/>
                <w:szCs w:val="18"/>
                <w:lang w:eastAsia="zh-CN"/>
              </w:rPr>
              <w:t>浮盘检尺孔检修；劳动保护腐蚀严重</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15</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61_T_720</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轻污油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3000.000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17.0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2.700</w:t>
            </w:r>
          </w:p>
        </w:tc>
        <w:tc>
          <w:tcPr>
            <w:tcW w:w="1701" w:type="dxa"/>
            <w:tcBorders>
              <w:top w:val="nil"/>
              <w:left w:val="nil"/>
              <w:bottom w:val="single" w:color="000000" w:sz="4" w:space="0"/>
              <w:right w:val="single" w:color="000000" w:sz="4" w:space="0"/>
            </w:tcBorders>
            <w:shd w:val="clear" w:color="auto" w:fill="auto"/>
            <w:vAlign w:val="center"/>
          </w:tcPr>
          <w:p>
            <w:pPr>
              <w:spacing w:line="200" w:lineRule="exact"/>
              <w:rPr>
                <w:color w:val="000000"/>
                <w:sz w:val="18"/>
                <w:szCs w:val="18"/>
                <w:lang w:eastAsia="zh-CN"/>
              </w:rPr>
            </w:pPr>
            <w:r>
              <w:rPr>
                <w:rFonts w:hint="eastAsia"/>
                <w:color w:val="000000"/>
                <w:sz w:val="18"/>
                <w:szCs w:val="18"/>
                <w:lang w:eastAsia="zh-CN"/>
              </w:rPr>
              <w:t>罐内杂质多，劳动保护腐蚀严重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16</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61_T_721</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轻污油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3000.000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17.0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2.700</w:t>
            </w:r>
          </w:p>
        </w:tc>
        <w:tc>
          <w:tcPr>
            <w:tcW w:w="1701" w:type="dxa"/>
            <w:tcBorders>
              <w:top w:val="nil"/>
              <w:left w:val="nil"/>
              <w:bottom w:val="single" w:color="000000" w:sz="4" w:space="0"/>
              <w:right w:val="single" w:color="000000" w:sz="4" w:space="0"/>
            </w:tcBorders>
            <w:shd w:val="clear" w:color="auto" w:fill="auto"/>
            <w:vAlign w:val="center"/>
          </w:tcPr>
          <w:p>
            <w:pPr>
              <w:spacing w:line="200" w:lineRule="exact"/>
              <w:rPr>
                <w:color w:val="000000"/>
                <w:sz w:val="18"/>
                <w:szCs w:val="18"/>
                <w:lang w:eastAsia="zh-CN"/>
              </w:rPr>
            </w:pPr>
            <w:r>
              <w:rPr>
                <w:rFonts w:hint="eastAsia"/>
                <w:color w:val="000000"/>
                <w:sz w:val="18"/>
                <w:szCs w:val="18"/>
                <w:lang w:eastAsia="zh-CN"/>
              </w:rPr>
              <w:t>罐内杂质多，劳动保护腐蚀严重</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17</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64_T_101</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燃料油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3000.000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17.0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拱顶罐</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3.300</w:t>
            </w:r>
          </w:p>
        </w:tc>
        <w:tc>
          <w:tcPr>
            <w:tcW w:w="1701" w:type="dxa"/>
            <w:tcBorders>
              <w:top w:val="nil"/>
              <w:left w:val="nil"/>
              <w:bottom w:val="single" w:color="000000" w:sz="4" w:space="0"/>
              <w:right w:val="single" w:color="000000" w:sz="4" w:space="0"/>
            </w:tcBorders>
            <w:shd w:val="clear" w:color="auto" w:fill="auto"/>
            <w:vAlign w:val="center"/>
          </w:tcPr>
          <w:p>
            <w:pPr>
              <w:spacing w:line="200" w:lineRule="exact"/>
              <w:rPr>
                <w:color w:val="000000"/>
                <w:sz w:val="18"/>
                <w:szCs w:val="18"/>
                <w:lang w:eastAsia="zh-CN"/>
              </w:rPr>
            </w:pPr>
            <w:r>
              <w:rPr>
                <w:rFonts w:hint="eastAsia"/>
                <w:color w:val="000000"/>
                <w:sz w:val="18"/>
                <w:szCs w:val="18"/>
                <w:lang w:eastAsia="zh-CN"/>
              </w:rPr>
              <w:t>储存介质变更，劳动保护腐蚀严重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18</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64_T_102</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燃料油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3000.000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17.0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拱顶罐</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3.300</w:t>
            </w:r>
          </w:p>
        </w:tc>
        <w:tc>
          <w:tcPr>
            <w:tcW w:w="1701" w:type="dxa"/>
            <w:tcBorders>
              <w:top w:val="nil"/>
              <w:left w:val="nil"/>
              <w:bottom w:val="single" w:color="000000" w:sz="4" w:space="0"/>
              <w:right w:val="single" w:color="000000" w:sz="4" w:space="0"/>
            </w:tcBorders>
            <w:shd w:val="clear" w:color="auto" w:fill="auto"/>
            <w:vAlign w:val="center"/>
          </w:tcPr>
          <w:p>
            <w:pPr>
              <w:spacing w:line="200" w:lineRule="exact"/>
              <w:rPr>
                <w:color w:val="000000"/>
                <w:sz w:val="18"/>
                <w:szCs w:val="18"/>
                <w:lang w:eastAsia="zh-CN"/>
              </w:rPr>
            </w:pPr>
            <w:r>
              <w:rPr>
                <w:rFonts w:hint="eastAsia"/>
                <w:color w:val="000000"/>
                <w:sz w:val="18"/>
                <w:szCs w:val="18"/>
                <w:lang w:eastAsia="zh-CN"/>
              </w:rPr>
              <w:t>储存介质变更，劳动保护腐蚀严重</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19</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64_T_103</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燃料油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3000.000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17.0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拱顶罐</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3.300</w:t>
            </w:r>
          </w:p>
        </w:tc>
        <w:tc>
          <w:tcPr>
            <w:tcW w:w="1701" w:type="dxa"/>
            <w:tcBorders>
              <w:top w:val="nil"/>
              <w:left w:val="nil"/>
              <w:bottom w:val="single" w:color="000000" w:sz="4" w:space="0"/>
              <w:right w:val="single" w:color="000000" w:sz="4" w:space="0"/>
            </w:tcBorders>
            <w:shd w:val="clear" w:color="auto" w:fill="auto"/>
            <w:vAlign w:val="center"/>
          </w:tcPr>
          <w:p>
            <w:pPr>
              <w:spacing w:line="200" w:lineRule="exact"/>
              <w:rPr>
                <w:color w:val="000000"/>
                <w:sz w:val="18"/>
                <w:szCs w:val="18"/>
                <w:lang w:eastAsia="zh-CN"/>
              </w:rPr>
            </w:pPr>
            <w:r>
              <w:rPr>
                <w:rFonts w:hint="eastAsia"/>
                <w:color w:val="000000"/>
                <w:sz w:val="18"/>
                <w:szCs w:val="18"/>
                <w:lang w:eastAsia="zh-CN"/>
              </w:rPr>
              <w:t>储存介质变更，劳动保护腐蚀严重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20</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64_T_105</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重污油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3000.000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17.0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拱顶罐</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3.300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21</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64_T_106</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重污油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3000.000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17.0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拱顶罐</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3.300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22</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64_T_107</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重芳烃</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3000.000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17.0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拱顶罐</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3.300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23</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64_T_108</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重芳烃</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3000.000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17.0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拱顶罐</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3.300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24</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61_T_701</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加氢重石脑油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5000.000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21.0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4.100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25</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61_T_702</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加氢重石脑油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5000.000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21.0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4.100</w:t>
            </w:r>
          </w:p>
        </w:tc>
        <w:tc>
          <w:tcPr>
            <w:tcW w:w="1701" w:type="dxa"/>
            <w:tcBorders>
              <w:top w:val="nil"/>
              <w:left w:val="nil"/>
              <w:bottom w:val="single" w:color="000000" w:sz="4" w:space="0"/>
              <w:right w:val="single" w:color="000000" w:sz="4" w:space="0"/>
            </w:tcBorders>
            <w:shd w:val="clear" w:color="auto" w:fill="auto"/>
            <w:vAlign w:val="center"/>
          </w:tcPr>
          <w:p>
            <w:pPr>
              <w:spacing w:line="200" w:lineRule="exact"/>
              <w:rPr>
                <w:color w:val="000000"/>
                <w:sz w:val="18"/>
                <w:szCs w:val="18"/>
                <w:lang w:eastAsia="zh-CN"/>
              </w:rPr>
            </w:pPr>
            <w:r>
              <w:rPr>
                <w:rFonts w:hint="eastAsia"/>
                <w:color w:val="000000"/>
                <w:sz w:val="18"/>
                <w:szCs w:val="18"/>
                <w:lang w:eastAsia="zh-CN"/>
              </w:rPr>
              <w:t>浮盘检尺孔检修；劳动保护腐蚀严重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26</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61_T_704</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解吸剂(PDEB)</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5000.000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21.0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4.100</w:t>
            </w:r>
          </w:p>
        </w:tc>
        <w:tc>
          <w:tcPr>
            <w:tcW w:w="1701" w:type="dxa"/>
            <w:tcBorders>
              <w:top w:val="nil"/>
              <w:left w:val="nil"/>
              <w:bottom w:val="single" w:color="000000" w:sz="4" w:space="0"/>
              <w:right w:val="single" w:color="000000" w:sz="4" w:space="0"/>
            </w:tcBorders>
            <w:shd w:val="clear" w:color="auto" w:fill="auto"/>
            <w:vAlign w:val="center"/>
          </w:tcPr>
          <w:p>
            <w:pPr>
              <w:spacing w:line="200" w:lineRule="exact"/>
              <w:rPr>
                <w:color w:val="000000"/>
                <w:sz w:val="18"/>
                <w:szCs w:val="18"/>
                <w:lang w:eastAsia="zh-CN"/>
              </w:rPr>
            </w:pPr>
            <w:r>
              <w:rPr>
                <w:rFonts w:hint="eastAsia"/>
                <w:color w:val="000000"/>
                <w:sz w:val="18"/>
                <w:szCs w:val="18"/>
                <w:lang w:eastAsia="zh-CN"/>
              </w:rPr>
              <w:t>浮盘检尺孔检修；劳动保护腐蚀严重</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27</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61_T_712</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对二甲苯</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5000.000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21.0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4.100</w:t>
            </w:r>
          </w:p>
        </w:tc>
        <w:tc>
          <w:tcPr>
            <w:tcW w:w="1701" w:type="dxa"/>
            <w:tcBorders>
              <w:top w:val="nil"/>
              <w:left w:val="nil"/>
              <w:bottom w:val="single" w:color="000000" w:sz="4" w:space="0"/>
              <w:right w:val="single" w:color="000000" w:sz="4" w:space="0"/>
            </w:tcBorders>
            <w:shd w:val="clear" w:color="auto" w:fill="auto"/>
            <w:vAlign w:val="center"/>
          </w:tcPr>
          <w:p>
            <w:pPr>
              <w:spacing w:line="200" w:lineRule="exact"/>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28</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61_T_713</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对二甲苯</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5000.000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21.0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4.100</w:t>
            </w:r>
          </w:p>
        </w:tc>
        <w:tc>
          <w:tcPr>
            <w:tcW w:w="1701" w:type="dxa"/>
            <w:tcBorders>
              <w:top w:val="nil"/>
              <w:left w:val="nil"/>
              <w:bottom w:val="single" w:color="000000" w:sz="4" w:space="0"/>
              <w:right w:val="single" w:color="000000" w:sz="4" w:space="0"/>
            </w:tcBorders>
            <w:shd w:val="clear" w:color="auto" w:fill="auto"/>
            <w:vAlign w:val="center"/>
          </w:tcPr>
          <w:p>
            <w:pPr>
              <w:spacing w:line="200" w:lineRule="exact"/>
              <w:rPr>
                <w:color w:val="000000"/>
                <w:sz w:val="18"/>
                <w:szCs w:val="18"/>
                <w:lang w:eastAsia="zh-CN"/>
              </w:rPr>
            </w:pPr>
            <w:r>
              <w:rPr>
                <w:rFonts w:hint="eastAsia"/>
                <w:color w:val="000000"/>
                <w:sz w:val="18"/>
                <w:szCs w:val="18"/>
                <w:lang w:eastAsia="zh-CN"/>
              </w:rPr>
              <w:t>罐壁13米处有漏点，劳动保护腐蚀严重</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29</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61_T_714</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对二甲苯</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5000.000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21.0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4.100</w:t>
            </w:r>
          </w:p>
        </w:tc>
        <w:tc>
          <w:tcPr>
            <w:tcW w:w="1701" w:type="dxa"/>
            <w:tcBorders>
              <w:top w:val="nil"/>
              <w:left w:val="nil"/>
              <w:bottom w:val="single" w:color="000000" w:sz="4" w:space="0"/>
              <w:right w:val="single" w:color="000000" w:sz="4" w:space="0"/>
            </w:tcBorders>
            <w:shd w:val="clear" w:color="auto" w:fill="auto"/>
            <w:vAlign w:val="center"/>
          </w:tcPr>
          <w:p>
            <w:pPr>
              <w:spacing w:line="200" w:lineRule="exact"/>
              <w:rPr>
                <w:color w:val="000000"/>
                <w:sz w:val="18"/>
                <w:szCs w:val="18"/>
                <w:lang w:eastAsia="zh-CN"/>
              </w:rPr>
            </w:pPr>
            <w:r>
              <w:rPr>
                <w:rFonts w:hint="eastAsia"/>
                <w:color w:val="000000"/>
                <w:sz w:val="18"/>
                <w:szCs w:val="18"/>
                <w:lang w:eastAsia="zh-CN"/>
              </w:rPr>
              <w:t>浮盘检尺孔检修；劳动保护腐蚀严重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30</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61_T_715</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对二甲苯</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5000.000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21.0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4.100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31</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61_T_717</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PDEB/二甲苯</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5000.000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21.0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4.100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32</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61_T_507</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减三线蜡油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10000.000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30.0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拱顶罐</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15.000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加热盘管腐蚀穿孔</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33</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61_T_508</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减三线蜡油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10000.000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30.0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拱顶罐</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15.000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罐内采样器检修</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34</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61_T_604</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C9+A</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10000.000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30.0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4.500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35</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61_T_605</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混合二甲苯</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10000.000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30.0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4.800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36</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61_T_606</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混合二甲苯</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10000.000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30.0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4.800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37</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61_T_611</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柴油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10000.000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30.0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4.500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38</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61_T_612</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柴油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10000.000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30.0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4.500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39</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8302</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对二甲苯</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20000.000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40.5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8.000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40</w:t>
            </w:r>
          </w:p>
        </w:tc>
        <w:tc>
          <w:tcPr>
            <w:tcW w:w="992" w:type="dxa"/>
            <w:tcBorders>
              <w:top w:val="nil"/>
              <w:left w:val="nil"/>
              <w:bottom w:val="single" w:color="auto" w:sz="4" w:space="0"/>
              <w:right w:val="single" w:color="auto"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61_T_102</w:t>
            </w:r>
          </w:p>
        </w:tc>
        <w:tc>
          <w:tcPr>
            <w:tcW w:w="1417" w:type="dxa"/>
            <w:tcBorders>
              <w:top w:val="nil"/>
              <w:left w:val="nil"/>
              <w:bottom w:val="single" w:color="auto" w:sz="4" w:space="0"/>
              <w:right w:val="single" w:color="auto"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常压渣油</w:t>
            </w:r>
          </w:p>
        </w:tc>
        <w:tc>
          <w:tcPr>
            <w:tcW w:w="1026" w:type="dxa"/>
            <w:tcBorders>
              <w:top w:val="nil"/>
              <w:left w:val="nil"/>
              <w:bottom w:val="single" w:color="auto" w:sz="4" w:space="0"/>
              <w:right w:val="single" w:color="auto"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20000.000</w:t>
            </w:r>
          </w:p>
        </w:tc>
        <w:tc>
          <w:tcPr>
            <w:tcW w:w="675" w:type="dxa"/>
            <w:tcBorders>
              <w:top w:val="nil"/>
              <w:left w:val="nil"/>
              <w:bottom w:val="single" w:color="auto" w:sz="4" w:space="0"/>
              <w:right w:val="single" w:color="auto"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40.5 </w:t>
            </w:r>
          </w:p>
        </w:tc>
        <w:tc>
          <w:tcPr>
            <w:tcW w:w="851"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外浮顶</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auto" w:sz="4" w:space="0"/>
              <w:right w:val="single" w:color="auto"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20.000</w:t>
            </w:r>
          </w:p>
        </w:tc>
        <w:tc>
          <w:tcPr>
            <w:tcW w:w="1701" w:type="dxa"/>
            <w:tcBorders>
              <w:top w:val="nil"/>
              <w:left w:val="nil"/>
              <w:bottom w:val="single" w:color="auto" w:sz="4" w:space="0"/>
              <w:right w:val="single" w:color="auto" w:sz="4" w:space="0"/>
            </w:tcBorders>
            <w:shd w:val="clear" w:color="000000" w:fill="FFFFFF"/>
            <w:vAlign w:val="center"/>
          </w:tcPr>
          <w:p>
            <w:pPr>
              <w:rPr>
                <w:color w:val="000000"/>
                <w:sz w:val="18"/>
                <w:szCs w:val="18"/>
              </w:rPr>
            </w:pPr>
            <w:r>
              <w:rPr>
                <w:rFonts w:hint="eastAsia"/>
                <w:color w:val="000000"/>
                <w:sz w:val="18"/>
                <w:szCs w:val="18"/>
              </w:rPr>
              <w:t>罐内杂质较多</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41</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61_T_308</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轻石脑油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30000.000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46.0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12.000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42</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61_T_201</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凝析油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50000.000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60.0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35.000</w:t>
            </w:r>
          </w:p>
        </w:tc>
        <w:tc>
          <w:tcPr>
            <w:tcW w:w="1701" w:type="dxa"/>
            <w:tcBorders>
              <w:top w:val="nil"/>
              <w:left w:val="nil"/>
              <w:bottom w:val="single" w:color="000000" w:sz="4" w:space="0"/>
              <w:right w:val="single" w:color="000000" w:sz="4" w:space="0"/>
            </w:tcBorders>
            <w:shd w:val="clear" w:color="000000" w:fill="FFFFFF"/>
            <w:vAlign w:val="center"/>
          </w:tcPr>
          <w:p>
            <w:pPr>
              <w:rPr>
                <w:color w:val="000000"/>
                <w:sz w:val="18"/>
                <w:szCs w:val="18"/>
              </w:rPr>
            </w:pPr>
            <w:r>
              <w:rPr>
                <w:rFonts w:hint="eastAsia"/>
                <w:color w:val="000000"/>
                <w:sz w:val="18"/>
                <w:szCs w:val="18"/>
              </w:rPr>
              <w:t>罐内杂质较多</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43</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61_T_202</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凝析油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50000.000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60.0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35.000</w:t>
            </w:r>
          </w:p>
        </w:tc>
        <w:tc>
          <w:tcPr>
            <w:tcW w:w="1701" w:type="dxa"/>
            <w:tcBorders>
              <w:top w:val="nil"/>
              <w:left w:val="nil"/>
              <w:bottom w:val="single" w:color="000000" w:sz="4" w:space="0"/>
              <w:right w:val="single" w:color="000000" w:sz="4" w:space="0"/>
            </w:tcBorders>
            <w:shd w:val="clear" w:color="000000" w:fill="FFFFFF"/>
            <w:vAlign w:val="center"/>
          </w:tcPr>
          <w:p>
            <w:pPr>
              <w:rPr>
                <w:color w:val="000000"/>
                <w:sz w:val="18"/>
                <w:szCs w:val="18"/>
              </w:rPr>
            </w:pPr>
            <w:r>
              <w:rPr>
                <w:rFonts w:hint="eastAsia"/>
                <w:color w:val="000000"/>
                <w:sz w:val="18"/>
                <w:szCs w:val="18"/>
              </w:rPr>
              <w:t>罐内杂质较多</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44</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61_T_203</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凝析油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50000.000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60.0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35.000</w:t>
            </w:r>
          </w:p>
        </w:tc>
        <w:tc>
          <w:tcPr>
            <w:tcW w:w="1701" w:type="dxa"/>
            <w:tcBorders>
              <w:top w:val="nil"/>
              <w:left w:val="nil"/>
              <w:bottom w:val="single" w:color="000000" w:sz="4" w:space="0"/>
              <w:right w:val="single" w:color="000000" w:sz="4" w:space="0"/>
            </w:tcBorders>
            <w:shd w:val="clear" w:color="000000" w:fill="FFFFFF"/>
            <w:vAlign w:val="center"/>
          </w:tcPr>
          <w:p>
            <w:pPr>
              <w:rPr>
                <w:color w:val="000000"/>
                <w:sz w:val="18"/>
                <w:szCs w:val="18"/>
              </w:rPr>
            </w:pPr>
            <w:r>
              <w:rPr>
                <w:rFonts w:hint="eastAsia"/>
                <w:color w:val="000000"/>
                <w:sz w:val="18"/>
                <w:szCs w:val="18"/>
              </w:rPr>
              <w:t>罐内杂质较多</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45</w:t>
            </w:r>
          </w:p>
        </w:tc>
        <w:tc>
          <w:tcPr>
            <w:tcW w:w="992" w:type="dxa"/>
            <w:tcBorders>
              <w:top w:val="nil"/>
              <w:left w:val="nil"/>
              <w:bottom w:val="single" w:color="auto"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61_T_204</w:t>
            </w:r>
          </w:p>
        </w:tc>
        <w:tc>
          <w:tcPr>
            <w:tcW w:w="1417" w:type="dxa"/>
            <w:tcBorders>
              <w:top w:val="nil"/>
              <w:left w:val="nil"/>
              <w:bottom w:val="single" w:color="auto"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凝析油</w:t>
            </w:r>
          </w:p>
        </w:tc>
        <w:tc>
          <w:tcPr>
            <w:tcW w:w="1026" w:type="dxa"/>
            <w:tcBorders>
              <w:top w:val="nil"/>
              <w:left w:val="nil"/>
              <w:bottom w:val="single" w:color="auto"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50000.000</w:t>
            </w:r>
          </w:p>
        </w:tc>
        <w:tc>
          <w:tcPr>
            <w:tcW w:w="675" w:type="dxa"/>
            <w:tcBorders>
              <w:top w:val="nil"/>
              <w:left w:val="nil"/>
              <w:bottom w:val="single" w:color="auto"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60.0 </w:t>
            </w:r>
          </w:p>
        </w:tc>
        <w:tc>
          <w:tcPr>
            <w:tcW w:w="851" w:type="dxa"/>
            <w:tcBorders>
              <w:top w:val="nil"/>
              <w:left w:val="nil"/>
              <w:bottom w:val="single" w:color="auto"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auto"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auto"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auto"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35.000</w:t>
            </w:r>
          </w:p>
        </w:tc>
        <w:tc>
          <w:tcPr>
            <w:tcW w:w="1701" w:type="dxa"/>
            <w:tcBorders>
              <w:top w:val="nil"/>
              <w:left w:val="nil"/>
              <w:bottom w:val="single" w:color="auto" w:sz="4" w:space="0"/>
              <w:right w:val="single" w:color="000000" w:sz="4" w:space="0"/>
            </w:tcBorders>
            <w:shd w:val="clear" w:color="000000" w:fill="FFFFFF"/>
            <w:vAlign w:val="center"/>
          </w:tcPr>
          <w:p>
            <w:pPr>
              <w:rPr>
                <w:color w:val="000000"/>
                <w:sz w:val="18"/>
                <w:szCs w:val="18"/>
              </w:rPr>
            </w:pPr>
            <w:r>
              <w:rPr>
                <w:rFonts w:hint="eastAsia"/>
                <w:color w:val="000000"/>
                <w:sz w:val="18"/>
                <w:szCs w:val="18"/>
              </w:rPr>
              <w:t>罐内杂质较多</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p>
        </w:tc>
        <w:tc>
          <w:tcPr>
            <w:tcW w:w="6662" w:type="dxa"/>
            <w:gridSpan w:val="7"/>
            <w:tcBorders>
              <w:top w:val="single" w:color="auto" w:sz="4" w:space="0"/>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asciiTheme="minorEastAsia" w:hAnsiTheme="minorEastAsia" w:eastAsiaTheme="minorEastAsia"/>
                <w:sz w:val="24"/>
                <w:szCs w:val="24"/>
                <w:lang w:eastAsia="zh-CN"/>
              </w:rPr>
              <w:t>储罐</w:t>
            </w:r>
            <w:r>
              <w:rPr>
                <w:rFonts w:hint="eastAsia" w:asciiTheme="minorEastAsia" w:hAnsiTheme="minorEastAsia" w:eastAsiaTheme="minorEastAsia"/>
                <w:sz w:val="24"/>
                <w:szCs w:val="24"/>
              </w:rPr>
              <w:t>底料清理费用</w:t>
            </w:r>
          </w:p>
        </w:tc>
        <w:tc>
          <w:tcPr>
            <w:tcW w:w="992" w:type="dxa"/>
            <w:tcBorders>
              <w:top w:val="single" w:color="auto" w:sz="4" w:space="0"/>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u w:val="single"/>
                <w:lang w:eastAsia="zh-CN"/>
              </w:rPr>
              <w:t xml:space="preserve">   </w:t>
            </w:r>
            <w:r>
              <w:rPr>
                <w:rFonts w:hint="eastAsia"/>
                <w:color w:val="000000"/>
                <w:sz w:val="18"/>
                <w:szCs w:val="18"/>
                <w:lang w:eastAsia="zh-CN"/>
              </w:rPr>
              <w:t>元/吨</w:t>
            </w:r>
          </w:p>
        </w:tc>
        <w:tc>
          <w:tcPr>
            <w:tcW w:w="1701" w:type="dxa"/>
            <w:tcBorders>
              <w:top w:val="single" w:color="auto" w:sz="4" w:space="0"/>
              <w:left w:val="nil"/>
              <w:bottom w:val="single" w:color="000000" w:sz="4" w:space="0"/>
              <w:right w:val="single" w:color="000000" w:sz="4" w:space="0"/>
            </w:tcBorders>
            <w:shd w:val="clear" w:color="000000" w:fill="FFFFFF"/>
            <w:vAlign w:val="center"/>
          </w:tcPr>
          <w:p>
            <w:pPr>
              <w:spacing w:line="200" w:lineRule="exact"/>
              <w:rPr>
                <w:color w:val="000000"/>
                <w:sz w:val="18"/>
                <w:szCs w:val="18"/>
                <w:lang w:eastAsia="zh-CN"/>
              </w:rPr>
            </w:pPr>
            <w:r>
              <w:rPr>
                <w:rFonts w:hint="eastAsia" w:asciiTheme="minorEastAsia" w:hAnsiTheme="minorEastAsia" w:eastAsiaTheme="minorEastAsia"/>
                <w:sz w:val="18"/>
                <w:szCs w:val="18"/>
                <w:lang w:eastAsia="zh-CN"/>
              </w:rPr>
              <w:t>含车辆、装底料容器及机器具等所有转运费用</w:t>
            </w:r>
          </w:p>
        </w:tc>
      </w:tr>
    </w:tbl>
    <w:p>
      <w:pPr>
        <w:pStyle w:val="2"/>
        <w:rPr>
          <w:sz w:val="24"/>
          <w:szCs w:val="24"/>
        </w:rPr>
      </w:pPr>
    </w:p>
    <w:p>
      <w:pPr>
        <w:pStyle w:val="2"/>
        <w:rPr>
          <w:sz w:val="24"/>
          <w:szCs w:val="24"/>
        </w:rPr>
      </w:pPr>
      <w:r>
        <w:rPr>
          <w:rFonts w:hint="eastAsia"/>
          <w:sz w:val="24"/>
          <w:szCs w:val="24"/>
        </w:rPr>
        <w:t>备注：</w:t>
      </w:r>
    </w:p>
    <w:p>
      <w:pPr>
        <w:pStyle w:val="2"/>
        <w:ind w:firstLine="720" w:firstLineChars="300"/>
        <w:rPr>
          <w:sz w:val="24"/>
          <w:szCs w:val="24"/>
        </w:rPr>
      </w:pPr>
      <w:r>
        <w:rPr>
          <w:rFonts w:hint="eastAsia"/>
          <w:sz w:val="24"/>
          <w:szCs w:val="24"/>
        </w:rPr>
        <w:t>以上综合单价为含税价格，税率为</w:t>
      </w:r>
      <w:r>
        <w:rPr>
          <w:rFonts w:hint="eastAsia"/>
          <w:sz w:val="24"/>
          <w:szCs w:val="24"/>
          <w:u w:val="single"/>
        </w:rPr>
        <w:t xml:space="preserve">   </w:t>
      </w:r>
      <w:r>
        <w:rPr>
          <w:rFonts w:hint="eastAsia"/>
          <w:sz w:val="24"/>
          <w:szCs w:val="24"/>
        </w:rPr>
        <w:t>%；</w:t>
      </w:r>
    </w:p>
    <w:sectPr>
      <w:footerReference r:id="rId4" w:type="default"/>
      <w:pgSz w:w="11910" w:h="16840"/>
      <w:pgMar w:top="1134" w:right="1134" w:bottom="1134" w:left="1134" w:header="0" w:footer="5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5E4FB9"/>
    <w:multiLevelType w:val="multilevel"/>
    <w:tmpl w:val="0B5E4FB9"/>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15A65B1"/>
    <w:multiLevelType w:val="multilevel"/>
    <w:tmpl w:val="115A65B1"/>
    <w:lvl w:ilvl="0" w:tentative="0">
      <w:start w:val="1"/>
      <w:numFmt w:val="decimal"/>
      <w:lvlText w:val="%1、"/>
      <w:lvlJc w:val="left"/>
      <w:pPr>
        <w:tabs>
          <w:tab w:val="left" w:pos="360"/>
        </w:tabs>
        <w:ind w:left="360" w:hanging="360"/>
      </w:pPr>
      <w:rPr>
        <w:color w:val="auto"/>
      </w:rPr>
    </w:lvl>
    <w:lvl w:ilvl="1" w:tentative="0">
      <w:start w:val="1"/>
      <w:numFmt w:val="decimal"/>
      <w:lvlText w:val="（%2）"/>
      <w:lvlJc w:val="left"/>
      <w:pPr>
        <w:ind w:left="1140" w:hanging="7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4117DB0"/>
    <w:multiLevelType w:val="multilevel"/>
    <w:tmpl w:val="14117DB0"/>
    <w:lvl w:ilvl="0" w:tentative="0">
      <w:start w:val="1"/>
      <w:numFmt w:val="japaneseCounting"/>
      <w:lvlText w:val="%1、"/>
      <w:lvlJc w:val="left"/>
      <w:pPr>
        <w:ind w:left="1258" w:hanging="720"/>
      </w:pPr>
      <w:rPr>
        <w:rFonts w:hint="default"/>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193B2303"/>
    <w:multiLevelType w:val="multilevel"/>
    <w:tmpl w:val="193B2303"/>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F484AD2"/>
    <w:multiLevelType w:val="multilevel"/>
    <w:tmpl w:val="1F484AD2"/>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18A654C"/>
    <w:multiLevelType w:val="multilevel"/>
    <w:tmpl w:val="218A654C"/>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67B6B15"/>
    <w:multiLevelType w:val="multilevel"/>
    <w:tmpl w:val="267B6B15"/>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82A0B62"/>
    <w:multiLevelType w:val="multilevel"/>
    <w:tmpl w:val="282A0B62"/>
    <w:lvl w:ilvl="0" w:tentative="0">
      <w:start w:val="4"/>
      <w:numFmt w:val="japaneseCounting"/>
      <w:lvlText w:val="%1、"/>
      <w:lvlJc w:val="left"/>
      <w:pPr>
        <w:ind w:left="1310" w:hanging="720"/>
      </w:pPr>
      <w:rPr>
        <w:rFonts w:hint="default"/>
      </w:r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abstractNum w:abstractNumId="8">
    <w:nsid w:val="2CB252B6"/>
    <w:multiLevelType w:val="multilevel"/>
    <w:tmpl w:val="2CB252B6"/>
    <w:lvl w:ilvl="0" w:tentative="0">
      <w:start w:val="1"/>
      <w:numFmt w:val="decimal"/>
      <w:lvlText w:val="%1."/>
      <w:lvlJc w:val="left"/>
      <w:pPr>
        <w:ind w:left="425" w:hanging="425"/>
      </w:pPr>
      <w:rPr>
        <w:rFonts w:hint="eastAsia"/>
      </w:rPr>
    </w:lvl>
    <w:lvl w:ilvl="1" w:tentative="0">
      <w:start w:val="1"/>
      <w:numFmt w:val="decimal"/>
      <w:lvlText w:val="%1.%2."/>
      <w:lvlJc w:val="left"/>
      <w:pPr>
        <w:ind w:left="851" w:hanging="567"/>
      </w:pPr>
    </w:lvl>
    <w:lvl w:ilvl="2" w:tentative="0">
      <w:start w:val="1"/>
      <w:numFmt w:val="decimal"/>
      <w:lvlText w:val="%1.%2.%3."/>
      <w:lvlJc w:val="left"/>
      <w:pPr>
        <w:ind w:left="1135" w:hanging="709"/>
      </w:pPr>
    </w:lvl>
    <w:lvl w:ilvl="3" w:tentative="0">
      <w:start w:val="1"/>
      <w:numFmt w:val="decimal"/>
      <w:lvlText w:val="%1.%2.%3.%4."/>
      <w:lvlJc w:val="left"/>
      <w:pPr>
        <w:ind w:left="1419"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9">
    <w:nsid w:val="33AC11DA"/>
    <w:multiLevelType w:val="multilevel"/>
    <w:tmpl w:val="33AC11DA"/>
    <w:lvl w:ilvl="0" w:tentative="0">
      <w:start w:val="1"/>
      <w:numFmt w:val="decimal"/>
      <w:pStyle w:val="28"/>
      <w:lvlText w:val="%1."/>
      <w:lvlJc w:val="left"/>
      <w:pPr>
        <w:ind w:left="562" w:hanging="420"/>
      </w:pPr>
      <w:rPr>
        <w:rFonts w:hint="eastAsia"/>
      </w:rPr>
    </w:lvl>
    <w:lvl w:ilvl="1" w:tentative="0">
      <w:start w:val="1"/>
      <w:numFmt w:val="decimal"/>
      <w:isLgl/>
      <w:lvlText w:val="%1.%2"/>
      <w:lvlJc w:val="left"/>
      <w:pPr>
        <w:ind w:left="564" w:hanging="480"/>
      </w:pPr>
      <w:rPr>
        <w:rFonts w:hint="default"/>
      </w:rPr>
    </w:lvl>
    <w:lvl w:ilvl="2" w:tentative="0">
      <w:start w:val="1"/>
      <w:numFmt w:val="decimal"/>
      <w:isLgl/>
      <w:lvlText w:val="%1.%2.%3"/>
      <w:lvlJc w:val="left"/>
      <w:pPr>
        <w:ind w:left="1422" w:hanging="720"/>
      </w:pPr>
      <w:rPr>
        <w:rFonts w:hint="default"/>
      </w:rPr>
    </w:lvl>
    <w:lvl w:ilvl="3" w:tentative="0">
      <w:start w:val="1"/>
      <w:numFmt w:val="decimal"/>
      <w:isLgl/>
      <w:lvlText w:val="%1.%2.%3.%4"/>
      <w:lvlJc w:val="left"/>
      <w:pPr>
        <w:ind w:left="2062" w:hanging="1080"/>
      </w:pPr>
      <w:rPr>
        <w:rFonts w:hint="default"/>
      </w:rPr>
    </w:lvl>
    <w:lvl w:ilvl="4" w:tentative="0">
      <w:start w:val="1"/>
      <w:numFmt w:val="decimal"/>
      <w:isLgl/>
      <w:lvlText w:val="%1.%2.%3.%4.%5"/>
      <w:lvlJc w:val="left"/>
      <w:pPr>
        <w:ind w:left="2342" w:hanging="1080"/>
      </w:pPr>
      <w:rPr>
        <w:rFonts w:hint="default"/>
      </w:rPr>
    </w:lvl>
    <w:lvl w:ilvl="5" w:tentative="0">
      <w:start w:val="1"/>
      <w:numFmt w:val="decimal"/>
      <w:isLgl/>
      <w:lvlText w:val="%1.%2.%3.%4.%5.%6"/>
      <w:lvlJc w:val="left"/>
      <w:pPr>
        <w:ind w:left="2982" w:hanging="1440"/>
      </w:pPr>
      <w:rPr>
        <w:rFonts w:hint="default"/>
      </w:rPr>
    </w:lvl>
    <w:lvl w:ilvl="6" w:tentative="0">
      <w:start w:val="1"/>
      <w:numFmt w:val="decimal"/>
      <w:isLgl/>
      <w:lvlText w:val="%1.%2.%3.%4.%5.%6.%7"/>
      <w:lvlJc w:val="left"/>
      <w:pPr>
        <w:ind w:left="3622" w:hanging="1800"/>
      </w:pPr>
      <w:rPr>
        <w:rFonts w:hint="default"/>
      </w:rPr>
    </w:lvl>
    <w:lvl w:ilvl="7" w:tentative="0">
      <w:start w:val="1"/>
      <w:numFmt w:val="decimal"/>
      <w:isLgl/>
      <w:lvlText w:val="%1.%2.%3.%4.%5.%6.%7.%8"/>
      <w:lvlJc w:val="left"/>
      <w:pPr>
        <w:ind w:left="3902" w:hanging="1800"/>
      </w:pPr>
      <w:rPr>
        <w:rFonts w:hint="default"/>
      </w:rPr>
    </w:lvl>
    <w:lvl w:ilvl="8" w:tentative="0">
      <w:start w:val="1"/>
      <w:numFmt w:val="decimal"/>
      <w:isLgl/>
      <w:lvlText w:val="%1.%2.%3.%4.%5.%6.%7.%8.%9"/>
      <w:lvlJc w:val="left"/>
      <w:pPr>
        <w:ind w:left="4542" w:hanging="2160"/>
      </w:pPr>
      <w:rPr>
        <w:rFonts w:hint="default"/>
      </w:rPr>
    </w:lvl>
  </w:abstractNum>
  <w:abstractNum w:abstractNumId="10">
    <w:nsid w:val="3B321FCE"/>
    <w:multiLevelType w:val="multilevel"/>
    <w:tmpl w:val="3B321FCE"/>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FB96F4A"/>
    <w:multiLevelType w:val="multilevel"/>
    <w:tmpl w:val="3FB96F4A"/>
    <w:lvl w:ilvl="0" w:tentative="0">
      <w:start w:val="1"/>
      <w:numFmt w:val="chineseCountingThousand"/>
      <w:lvlText w:val="第%1条"/>
      <w:lvlJc w:val="left"/>
      <w:pPr>
        <w:tabs>
          <w:tab w:val="left" w:pos="360"/>
        </w:tabs>
        <w:ind w:left="360" w:hanging="36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FDA5C1B"/>
    <w:multiLevelType w:val="multilevel"/>
    <w:tmpl w:val="3FDA5C1B"/>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423662D3"/>
    <w:multiLevelType w:val="multilevel"/>
    <w:tmpl w:val="423662D3"/>
    <w:lvl w:ilvl="0" w:tentative="0">
      <w:start w:val="15"/>
      <w:numFmt w:val="decimal"/>
      <w:lvlText w:val="%1"/>
      <w:lvlJc w:val="left"/>
      <w:pPr>
        <w:ind w:left="450" w:hanging="450"/>
      </w:pPr>
      <w:rPr>
        <w:rFonts w:hint="default"/>
      </w:rPr>
    </w:lvl>
    <w:lvl w:ilvl="1" w:tentative="0">
      <w:start w:val="3"/>
      <w:numFmt w:val="decimal"/>
      <w:lvlText w:val="%1.%2"/>
      <w:lvlJc w:val="left"/>
      <w:pPr>
        <w:ind w:left="450" w:hanging="45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4">
    <w:nsid w:val="45F5045D"/>
    <w:multiLevelType w:val="multilevel"/>
    <w:tmpl w:val="45F5045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5">
    <w:nsid w:val="49F44BE4"/>
    <w:multiLevelType w:val="multilevel"/>
    <w:tmpl w:val="49F44BE4"/>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4E443DC9"/>
    <w:multiLevelType w:val="multilevel"/>
    <w:tmpl w:val="4E443DC9"/>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555E4917"/>
    <w:multiLevelType w:val="multilevel"/>
    <w:tmpl w:val="555E4917"/>
    <w:lvl w:ilvl="0" w:tentative="0">
      <w:start w:val="15"/>
      <w:numFmt w:val="decimal"/>
      <w:lvlText w:val="%1"/>
      <w:lvlJc w:val="left"/>
      <w:pPr>
        <w:ind w:left="405" w:hanging="405"/>
      </w:pPr>
      <w:rPr>
        <w:rFonts w:hint="default"/>
      </w:rPr>
    </w:lvl>
    <w:lvl w:ilvl="1" w:tentative="0">
      <w:start w:val="1"/>
      <w:numFmt w:val="decimal"/>
      <w:lvlText w:val="%1.%2"/>
      <w:lvlJc w:val="left"/>
      <w:pPr>
        <w:ind w:left="405" w:hanging="40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8">
    <w:nsid w:val="60254766"/>
    <w:multiLevelType w:val="multilevel"/>
    <w:tmpl w:val="60254766"/>
    <w:lvl w:ilvl="0" w:tentative="0">
      <w:start w:val="1"/>
      <w:numFmt w:val="chineseCountingThousand"/>
      <w:pStyle w:val="2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6006974"/>
    <w:multiLevelType w:val="multilevel"/>
    <w:tmpl w:val="66006974"/>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75080D9B"/>
    <w:multiLevelType w:val="multilevel"/>
    <w:tmpl w:val="75080D9B"/>
    <w:lvl w:ilvl="0" w:tentative="0">
      <w:start w:val="1"/>
      <w:numFmt w:val="decimal"/>
      <w:lvlText w:val="%1、"/>
      <w:lvlJc w:val="left"/>
      <w:pPr>
        <w:tabs>
          <w:tab w:val="left" w:pos="7307"/>
        </w:tabs>
        <w:ind w:left="7307" w:hanging="360"/>
      </w:pPr>
    </w:lvl>
    <w:lvl w:ilvl="1" w:tentative="0">
      <w:start w:val="7"/>
      <w:numFmt w:val="japaneseCounting"/>
      <w:lvlText w:val="第%2条"/>
      <w:lvlJc w:val="left"/>
      <w:pPr>
        <w:tabs>
          <w:tab w:val="left" w:pos="7803"/>
        </w:tabs>
        <w:ind w:left="7803" w:hanging="720"/>
      </w:pPr>
    </w:lvl>
    <w:lvl w:ilvl="2" w:tentative="0">
      <w:start w:val="1"/>
      <w:numFmt w:val="lowerRoman"/>
      <w:lvlText w:val="%3."/>
      <w:lvlJc w:val="right"/>
      <w:pPr>
        <w:tabs>
          <w:tab w:val="left" w:pos="7923"/>
        </w:tabs>
        <w:ind w:left="7923" w:hanging="420"/>
      </w:pPr>
    </w:lvl>
    <w:lvl w:ilvl="3" w:tentative="0">
      <w:start w:val="1"/>
      <w:numFmt w:val="decimal"/>
      <w:lvlText w:val="%4."/>
      <w:lvlJc w:val="left"/>
      <w:pPr>
        <w:tabs>
          <w:tab w:val="left" w:pos="8343"/>
        </w:tabs>
        <w:ind w:left="8343" w:hanging="420"/>
      </w:pPr>
    </w:lvl>
    <w:lvl w:ilvl="4" w:tentative="0">
      <w:start w:val="1"/>
      <w:numFmt w:val="lowerLetter"/>
      <w:lvlText w:val="%5)"/>
      <w:lvlJc w:val="left"/>
      <w:pPr>
        <w:tabs>
          <w:tab w:val="left" w:pos="8763"/>
        </w:tabs>
        <w:ind w:left="8763" w:hanging="420"/>
      </w:pPr>
    </w:lvl>
    <w:lvl w:ilvl="5" w:tentative="0">
      <w:start w:val="1"/>
      <w:numFmt w:val="lowerRoman"/>
      <w:lvlText w:val="%6."/>
      <w:lvlJc w:val="right"/>
      <w:pPr>
        <w:tabs>
          <w:tab w:val="left" w:pos="9183"/>
        </w:tabs>
        <w:ind w:left="9183" w:hanging="420"/>
      </w:pPr>
    </w:lvl>
    <w:lvl w:ilvl="6" w:tentative="0">
      <w:start w:val="1"/>
      <w:numFmt w:val="decimal"/>
      <w:lvlText w:val="%7."/>
      <w:lvlJc w:val="left"/>
      <w:pPr>
        <w:tabs>
          <w:tab w:val="left" w:pos="9603"/>
        </w:tabs>
        <w:ind w:left="9603" w:hanging="420"/>
      </w:pPr>
    </w:lvl>
    <w:lvl w:ilvl="7" w:tentative="0">
      <w:start w:val="1"/>
      <w:numFmt w:val="lowerLetter"/>
      <w:lvlText w:val="%8)"/>
      <w:lvlJc w:val="left"/>
      <w:pPr>
        <w:tabs>
          <w:tab w:val="left" w:pos="10023"/>
        </w:tabs>
        <w:ind w:left="10023" w:hanging="420"/>
      </w:pPr>
    </w:lvl>
    <w:lvl w:ilvl="8" w:tentative="0">
      <w:start w:val="1"/>
      <w:numFmt w:val="lowerRoman"/>
      <w:lvlText w:val="%9."/>
      <w:lvlJc w:val="right"/>
      <w:pPr>
        <w:tabs>
          <w:tab w:val="left" w:pos="10443"/>
        </w:tabs>
        <w:ind w:left="10443" w:hanging="420"/>
      </w:pPr>
    </w:lvl>
  </w:abstractNum>
  <w:abstractNum w:abstractNumId="21">
    <w:nsid w:val="77821852"/>
    <w:multiLevelType w:val="multilevel"/>
    <w:tmpl w:val="7782185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8"/>
  </w:num>
  <w:num w:numId="2">
    <w:abstractNumId w:val="9"/>
  </w:num>
  <w:num w:numId="3">
    <w:abstractNumId w:val="7"/>
  </w:num>
  <w:num w:numId="4">
    <w:abstractNumId w:val="2"/>
  </w:num>
  <w:num w:numId="5">
    <w:abstractNumId w:val="1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8"/>
  </w:num>
  <w:num w:numId="20">
    <w:abstractNumId w:val="21"/>
  </w:num>
  <w:num w:numId="21">
    <w:abstractNumId w:val="1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23B"/>
    <w:rsid w:val="00005B9E"/>
    <w:rsid w:val="0001014A"/>
    <w:rsid w:val="0001333C"/>
    <w:rsid w:val="0001534B"/>
    <w:rsid w:val="000172D6"/>
    <w:rsid w:val="00017E0E"/>
    <w:rsid w:val="000202CA"/>
    <w:rsid w:val="00021B5D"/>
    <w:rsid w:val="00023EC0"/>
    <w:rsid w:val="00025944"/>
    <w:rsid w:val="00026E62"/>
    <w:rsid w:val="00030A03"/>
    <w:rsid w:val="000323A3"/>
    <w:rsid w:val="00033697"/>
    <w:rsid w:val="0003720A"/>
    <w:rsid w:val="00041330"/>
    <w:rsid w:val="00046DEC"/>
    <w:rsid w:val="00053167"/>
    <w:rsid w:val="000566C1"/>
    <w:rsid w:val="000574D8"/>
    <w:rsid w:val="00057B80"/>
    <w:rsid w:val="0006110B"/>
    <w:rsid w:val="00061920"/>
    <w:rsid w:val="000633F3"/>
    <w:rsid w:val="00065211"/>
    <w:rsid w:val="0006734B"/>
    <w:rsid w:val="00074021"/>
    <w:rsid w:val="00077B9D"/>
    <w:rsid w:val="00082CB7"/>
    <w:rsid w:val="00083E6F"/>
    <w:rsid w:val="00092A16"/>
    <w:rsid w:val="00094E76"/>
    <w:rsid w:val="000978A0"/>
    <w:rsid w:val="000A3EC0"/>
    <w:rsid w:val="000B32D4"/>
    <w:rsid w:val="000C072B"/>
    <w:rsid w:val="000C1165"/>
    <w:rsid w:val="000C3E45"/>
    <w:rsid w:val="000C5F12"/>
    <w:rsid w:val="000C64A8"/>
    <w:rsid w:val="000D11B0"/>
    <w:rsid w:val="000E01DA"/>
    <w:rsid w:val="000E3D99"/>
    <w:rsid w:val="000E6345"/>
    <w:rsid w:val="000E76E8"/>
    <w:rsid w:val="000F0D6F"/>
    <w:rsid w:val="000F134F"/>
    <w:rsid w:val="000F1F09"/>
    <w:rsid w:val="000F58B5"/>
    <w:rsid w:val="00100B1C"/>
    <w:rsid w:val="00102DC9"/>
    <w:rsid w:val="00102DE0"/>
    <w:rsid w:val="0010355B"/>
    <w:rsid w:val="0010369D"/>
    <w:rsid w:val="001116F7"/>
    <w:rsid w:val="001129CC"/>
    <w:rsid w:val="00113613"/>
    <w:rsid w:val="001150E8"/>
    <w:rsid w:val="0012227C"/>
    <w:rsid w:val="00126DE3"/>
    <w:rsid w:val="00127930"/>
    <w:rsid w:val="00127CFD"/>
    <w:rsid w:val="00130566"/>
    <w:rsid w:val="0013176B"/>
    <w:rsid w:val="00132A2F"/>
    <w:rsid w:val="0013405E"/>
    <w:rsid w:val="00134B8B"/>
    <w:rsid w:val="00140FC5"/>
    <w:rsid w:val="00141561"/>
    <w:rsid w:val="001440F5"/>
    <w:rsid w:val="00144D18"/>
    <w:rsid w:val="00144E45"/>
    <w:rsid w:val="001466CA"/>
    <w:rsid w:val="00146F1A"/>
    <w:rsid w:val="0014715F"/>
    <w:rsid w:val="00147DEA"/>
    <w:rsid w:val="0015114E"/>
    <w:rsid w:val="001516B5"/>
    <w:rsid w:val="00155D5F"/>
    <w:rsid w:val="00156D18"/>
    <w:rsid w:val="0016313A"/>
    <w:rsid w:val="001714D2"/>
    <w:rsid w:val="001723A5"/>
    <w:rsid w:val="00174EC0"/>
    <w:rsid w:val="00177533"/>
    <w:rsid w:val="0018226E"/>
    <w:rsid w:val="0018241B"/>
    <w:rsid w:val="00187E02"/>
    <w:rsid w:val="00192B7D"/>
    <w:rsid w:val="00193817"/>
    <w:rsid w:val="00195099"/>
    <w:rsid w:val="001A230E"/>
    <w:rsid w:val="001A36B1"/>
    <w:rsid w:val="001A7C6F"/>
    <w:rsid w:val="001B233C"/>
    <w:rsid w:val="001B3742"/>
    <w:rsid w:val="001B5F95"/>
    <w:rsid w:val="001B698B"/>
    <w:rsid w:val="001C430C"/>
    <w:rsid w:val="001D129E"/>
    <w:rsid w:val="001D3B71"/>
    <w:rsid w:val="001E058A"/>
    <w:rsid w:val="001E4700"/>
    <w:rsid w:val="001E7BAD"/>
    <w:rsid w:val="001F29F9"/>
    <w:rsid w:val="001F6DCE"/>
    <w:rsid w:val="002040F6"/>
    <w:rsid w:val="00206E34"/>
    <w:rsid w:val="002076B5"/>
    <w:rsid w:val="00212A20"/>
    <w:rsid w:val="0021338D"/>
    <w:rsid w:val="00222516"/>
    <w:rsid w:val="00226C0B"/>
    <w:rsid w:val="0022716A"/>
    <w:rsid w:val="00227556"/>
    <w:rsid w:val="0023436A"/>
    <w:rsid w:val="00235A02"/>
    <w:rsid w:val="00237A3F"/>
    <w:rsid w:val="00240817"/>
    <w:rsid w:val="002432A4"/>
    <w:rsid w:val="00243784"/>
    <w:rsid w:val="0025090F"/>
    <w:rsid w:val="00255354"/>
    <w:rsid w:val="00257FFA"/>
    <w:rsid w:val="00261F6C"/>
    <w:rsid w:val="00263139"/>
    <w:rsid w:val="00273F40"/>
    <w:rsid w:val="0027625C"/>
    <w:rsid w:val="0028289E"/>
    <w:rsid w:val="00283E18"/>
    <w:rsid w:val="0028469F"/>
    <w:rsid w:val="00285A20"/>
    <w:rsid w:val="00290661"/>
    <w:rsid w:val="00292402"/>
    <w:rsid w:val="00295585"/>
    <w:rsid w:val="002A0C8B"/>
    <w:rsid w:val="002A647A"/>
    <w:rsid w:val="002B0A06"/>
    <w:rsid w:val="002B1F73"/>
    <w:rsid w:val="002B3B3F"/>
    <w:rsid w:val="002C18CA"/>
    <w:rsid w:val="002C6338"/>
    <w:rsid w:val="002D2646"/>
    <w:rsid w:val="002D62C1"/>
    <w:rsid w:val="002E1E41"/>
    <w:rsid w:val="002E210C"/>
    <w:rsid w:val="002E35CC"/>
    <w:rsid w:val="002E4298"/>
    <w:rsid w:val="002E6ED4"/>
    <w:rsid w:val="002F0FE0"/>
    <w:rsid w:val="003045A7"/>
    <w:rsid w:val="003070B5"/>
    <w:rsid w:val="003218EF"/>
    <w:rsid w:val="00322549"/>
    <w:rsid w:val="0032399D"/>
    <w:rsid w:val="00323A48"/>
    <w:rsid w:val="00333E2A"/>
    <w:rsid w:val="00334A35"/>
    <w:rsid w:val="003352AA"/>
    <w:rsid w:val="0034037A"/>
    <w:rsid w:val="00342D1B"/>
    <w:rsid w:val="003504D9"/>
    <w:rsid w:val="00353DDB"/>
    <w:rsid w:val="00353FD4"/>
    <w:rsid w:val="00361ABB"/>
    <w:rsid w:val="00362538"/>
    <w:rsid w:val="00365AFE"/>
    <w:rsid w:val="00367B55"/>
    <w:rsid w:val="00370828"/>
    <w:rsid w:val="00371CA0"/>
    <w:rsid w:val="00372FA5"/>
    <w:rsid w:val="003740AA"/>
    <w:rsid w:val="003763FF"/>
    <w:rsid w:val="00385B0E"/>
    <w:rsid w:val="003914FA"/>
    <w:rsid w:val="00392683"/>
    <w:rsid w:val="003A1BC6"/>
    <w:rsid w:val="003A1FDF"/>
    <w:rsid w:val="003A256E"/>
    <w:rsid w:val="003A327F"/>
    <w:rsid w:val="003A75CA"/>
    <w:rsid w:val="003B2BCD"/>
    <w:rsid w:val="003B2D77"/>
    <w:rsid w:val="003B3BF2"/>
    <w:rsid w:val="003B4363"/>
    <w:rsid w:val="003B6081"/>
    <w:rsid w:val="003C50F1"/>
    <w:rsid w:val="003C705F"/>
    <w:rsid w:val="003D2806"/>
    <w:rsid w:val="003D77B7"/>
    <w:rsid w:val="003E3ACB"/>
    <w:rsid w:val="003F1446"/>
    <w:rsid w:val="003F1FAC"/>
    <w:rsid w:val="003F6D33"/>
    <w:rsid w:val="003F7255"/>
    <w:rsid w:val="0040273C"/>
    <w:rsid w:val="00403756"/>
    <w:rsid w:val="00403AFA"/>
    <w:rsid w:val="0040417A"/>
    <w:rsid w:val="0040687C"/>
    <w:rsid w:val="0040778F"/>
    <w:rsid w:val="00413D09"/>
    <w:rsid w:val="00422E84"/>
    <w:rsid w:val="00435FF6"/>
    <w:rsid w:val="0043796A"/>
    <w:rsid w:val="0044054B"/>
    <w:rsid w:val="0044287E"/>
    <w:rsid w:val="004508A4"/>
    <w:rsid w:val="0045274E"/>
    <w:rsid w:val="00453EA6"/>
    <w:rsid w:val="0045672D"/>
    <w:rsid w:val="0045749C"/>
    <w:rsid w:val="00471E39"/>
    <w:rsid w:val="0047282D"/>
    <w:rsid w:val="004730C1"/>
    <w:rsid w:val="004763D4"/>
    <w:rsid w:val="00477E26"/>
    <w:rsid w:val="00480401"/>
    <w:rsid w:val="0048261B"/>
    <w:rsid w:val="00482B42"/>
    <w:rsid w:val="004835AF"/>
    <w:rsid w:val="004850BB"/>
    <w:rsid w:val="00487C35"/>
    <w:rsid w:val="004919EE"/>
    <w:rsid w:val="00497CEA"/>
    <w:rsid w:val="004A3AE1"/>
    <w:rsid w:val="004A5A19"/>
    <w:rsid w:val="004A68E8"/>
    <w:rsid w:val="004B2F27"/>
    <w:rsid w:val="004C0007"/>
    <w:rsid w:val="004C3761"/>
    <w:rsid w:val="004C4941"/>
    <w:rsid w:val="004C5008"/>
    <w:rsid w:val="004D16FD"/>
    <w:rsid w:val="004D7D03"/>
    <w:rsid w:val="004E0D61"/>
    <w:rsid w:val="004E0E75"/>
    <w:rsid w:val="004E37BB"/>
    <w:rsid w:val="004F5E72"/>
    <w:rsid w:val="00500F04"/>
    <w:rsid w:val="0050268E"/>
    <w:rsid w:val="00502ADE"/>
    <w:rsid w:val="00503354"/>
    <w:rsid w:val="00510E9C"/>
    <w:rsid w:val="00511BBF"/>
    <w:rsid w:val="00511EBA"/>
    <w:rsid w:val="00513B86"/>
    <w:rsid w:val="00514791"/>
    <w:rsid w:val="00524492"/>
    <w:rsid w:val="005257EA"/>
    <w:rsid w:val="0053396C"/>
    <w:rsid w:val="00533D5B"/>
    <w:rsid w:val="00540F71"/>
    <w:rsid w:val="0054306E"/>
    <w:rsid w:val="0054734D"/>
    <w:rsid w:val="00551549"/>
    <w:rsid w:val="00552E4D"/>
    <w:rsid w:val="0055478E"/>
    <w:rsid w:val="00555319"/>
    <w:rsid w:val="00564B7F"/>
    <w:rsid w:val="00566FBD"/>
    <w:rsid w:val="005722E9"/>
    <w:rsid w:val="00581520"/>
    <w:rsid w:val="005829E2"/>
    <w:rsid w:val="0058459A"/>
    <w:rsid w:val="00584659"/>
    <w:rsid w:val="00593270"/>
    <w:rsid w:val="00593EAB"/>
    <w:rsid w:val="00595392"/>
    <w:rsid w:val="005956E3"/>
    <w:rsid w:val="00595F8F"/>
    <w:rsid w:val="005A0464"/>
    <w:rsid w:val="005A267F"/>
    <w:rsid w:val="005A4B0B"/>
    <w:rsid w:val="005A7BB0"/>
    <w:rsid w:val="005B104C"/>
    <w:rsid w:val="005B3A08"/>
    <w:rsid w:val="005B4BA0"/>
    <w:rsid w:val="005B5E44"/>
    <w:rsid w:val="005B66C2"/>
    <w:rsid w:val="005B77AC"/>
    <w:rsid w:val="005C4060"/>
    <w:rsid w:val="005C43E3"/>
    <w:rsid w:val="005C49AB"/>
    <w:rsid w:val="005D12E3"/>
    <w:rsid w:val="005D19AE"/>
    <w:rsid w:val="005D4648"/>
    <w:rsid w:val="005D57D2"/>
    <w:rsid w:val="005D6EE8"/>
    <w:rsid w:val="005D7E6C"/>
    <w:rsid w:val="005E0672"/>
    <w:rsid w:val="005E1F9A"/>
    <w:rsid w:val="005E626D"/>
    <w:rsid w:val="005F036C"/>
    <w:rsid w:val="005F0B35"/>
    <w:rsid w:val="005F2E5C"/>
    <w:rsid w:val="005F30AA"/>
    <w:rsid w:val="005F63E8"/>
    <w:rsid w:val="00601441"/>
    <w:rsid w:val="006026CD"/>
    <w:rsid w:val="0060334B"/>
    <w:rsid w:val="00605BBD"/>
    <w:rsid w:val="00610D2B"/>
    <w:rsid w:val="006127B7"/>
    <w:rsid w:val="00612F3E"/>
    <w:rsid w:val="00614725"/>
    <w:rsid w:val="006171E9"/>
    <w:rsid w:val="00621355"/>
    <w:rsid w:val="00623250"/>
    <w:rsid w:val="006243F4"/>
    <w:rsid w:val="00624785"/>
    <w:rsid w:val="00627058"/>
    <w:rsid w:val="00627167"/>
    <w:rsid w:val="00632F46"/>
    <w:rsid w:val="00636ABF"/>
    <w:rsid w:val="00637703"/>
    <w:rsid w:val="00637987"/>
    <w:rsid w:val="00637A05"/>
    <w:rsid w:val="006414EB"/>
    <w:rsid w:val="00641AE9"/>
    <w:rsid w:val="0064240F"/>
    <w:rsid w:val="006424AE"/>
    <w:rsid w:val="00645F1C"/>
    <w:rsid w:val="006460EC"/>
    <w:rsid w:val="00646D64"/>
    <w:rsid w:val="00650924"/>
    <w:rsid w:val="0065390E"/>
    <w:rsid w:val="00654397"/>
    <w:rsid w:val="006560D2"/>
    <w:rsid w:val="006565A2"/>
    <w:rsid w:val="006607C3"/>
    <w:rsid w:val="00667E90"/>
    <w:rsid w:val="006711D5"/>
    <w:rsid w:val="00671E1A"/>
    <w:rsid w:val="006739A9"/>
    <w:rsid w:val="006747D6"/>
    <w:rsid w:val="00674AB4"/>
    <w:rsid w:val="00680835"/>
    <w:rsid w:val="00683267"/>
    <w:rsid w:val="006837AD"/>
    <w:rsid w:val="00686952"/>
    <w:rsid w:val="00687836"/>
    <w:rsid w:val="00692262"/>
    <w:rsid w:val="00692F73"/>
    <w:rsid w:val="00693209"/>
    <w:rsid w:val="00695AA3"/>
    <w:rsid w:val="00696CC1"/>
    <w:rsid w:val="0069733E"/>
    <w:rsid w:val="006A04B8"/>
    <w:rsid w:val="006A430A"/>
    <w:rsid w:val="006A5640"/>
    <w:rsid w:val="006A61A9"/>
    <w:rsid w:val="006A74F2"/>
    <w:rsid w:val="006B160A"/>
    <w:rsid w:val="006B18EF"/>
    <w:rsid w:val="006C17C9"/>
    <w:rsid w:val="006C27A0"/>
    <w:rsid w:val="006C3906"/>
    <w:rsid w:val="006C5136"/>
    <w:rsid w:val="006C5F2E"/>
    <w:rsid w:val="006C66F6"/>
    <w:rsid w:val="006D0C10"/>
    <w:rsid w:val="006D47A3"/>
    <w:rsid w:val="006E572C"/>
    <w:rsid w:val="006E62DE"/>
    <w:rsid w:val="006F7BC8"/>
    <w:rsid w:val="00701934"/>
    <w:rsid w:val="007025DE"/>
    <w:rsid w:val="00703FAF"/>
    <w:rsid w:val="007055DD"/>
    <w:rsid w:val="007077CB"/>
    <w:rsid w:val="007138C5"/>
    <w:rsid w:val="0071533E"/>
    <w:rsid w:val="007154AB"/>
    <w:rsid w:val="00720A5C"/>
    <w:rsid w:val="00721D76"/>
    <w:rsid w:val="00722500"/>
    <w:rsid w:val="007230F3"/>
    <w:rsid w:val="00725D91"/>
    <w:rsid w:val="007279C2"/>
    <w:rsid w:val="00731460"/>
    <w:rsid w:val="00735243"/>
    <w:rsid w:val="00740A47"/>
    <w:rsid w:val="007425A4"/>
    <w:rsid w:val="00742673"/>
    <w:rsid w:val="007470A4"/>
    <w:rsid w:val="00751740"/>
    <w:rsid w:val="00752CBC"/>
    <w:rsid w:val="00754486"/>
    <w:rsid w:val="007563C8"/>
    <w:rsid w:val="007627D8"/>
    <w:rsid w:val="007646B1"/>
    <w:rsid w:val="0077094C"/>
    <w:rsid w:val="00774D2A"/>
    <w:rsid w:val="007760C7"/>
    <w:rsid w:val="00777F1F"/>
    <w:rsid w:val="00780944"/>
    <w:rsid w:val="007868C2"/>
    <w:rsid w:val="0078787D"/>
    <w:rsid w:val="0079541F"/>
    <w:rsid w:val="007A0629"/>
    <w:rsid w:val="007A3950"/>
    <w:rsid w:val="007A7888"/>
    <w:rsid w:val="007B038E"/>
    <w:rsid w:val="007B569D"/>
    <w:rsid w:val="007B6C5D"/>
    <w:rsid w:val="007C402C"/>
    <w:rsid w:val="007C43CE"/>
    <w:rsid w:val="007C5BFE"/>
    <w:rsid w:val="007D09B5"/>
    <w:rsid w:val="007D1BC9"/>
    <w:rsid w:val="007D4407"/>
    <w:rsid w:val="007D7C61"/>
    <w:rsid w:val="007E10F9"/>
    <w:rsid w:val="007E6AA1"/>
    <w:rsid w:val="007E7A37"/>
    <w:rsid w:val="007F139C"/>
    <w:rsid w:val="007F37A6"/>
    <w:rsid w:val="007F5584"/>
    <w:rsid w:val="0080002D"/>
    <w:rsid w:val="00805348"/>
    <w:rsid w:val="00807905"/>
    <w:rsid w:val="00811C75"/>
    <w:rsid w:val="00815E73"/>
    <w:rsid w:val="00820E36"/>
    <w:rsid w:val="00831E2E"/>
    <w:rsid w:val="0083583C"/>
    <w:rsid w:val="008361D8"/>
    <w:rsid w:val="0084094D"/>
    <w:rsid w:val="008427A4"/>
    <w:rsid w:val="00842866"/>
    <w:rsid w:val="00844EA1"/>
    <w:rsid w:val="00845BCA"/>
    <w:rsid w:val="00845ECF"/>
    <w:rsid w:val="00852B25"/>
    <w:rsid w:val="00853DDB"/>
    <w:rsid w:val="00854D48"/>
    <w:rsid w:val="00861616"/>
    <w:rsid w:val="008667CC"/>
    <w:rsid w:val="00870A48"/>
    <w:rsid w:val="00871209"/>
    <w:rsid w:val="00872837"/>
    <w:rsid w:val="008736F1"/>
    <w:rsid w:val="008741CD"/>
    <w:rsid w:val="00874F74"/>
    <w:rsid w:val="00876102"/>
    <w:rsid w:val="008769E8"/>
    <w:rsid w:val="00882413"/>
    <w:rsid w:val="00884265"/>
    <w:rsid w:val="00884873"/>
    <w:rsid w:val="00886356"/>
    <w:rsid w:val="00890D8E"/>
    <w:rsid w:val="00892302"/>
    <w:rsid w:val="00892A7C"/>
    <w:rsid w:val="00895E27"/>
    <w:rsid w:val="00896532"/>
    <w:rsid w:val="008A291B"/>
    <w:rsid w:val="008A4205"/>
    <w:rsid w:val="008A5545"/>
    <w:rsid w:val="008A59AE"/>
    <w:rsid w:val="008B03BB"/>
    <w:rsid w:val="008B177E"/>
    <w:rsid w:val="008B54B6"/>
    <w:rsid w:val="008B6D71"/>
    <w:rsid w:val="008C06B2"/>
    <w:rsid w:val="008C0A12"/>
    <w:rsid w:val="008C21B5"/>
    <w:rsid w:val="008C4569"/>
    <w:rsid w:val="008C488E"/>
    <w:rsid w:val="008C68BC"/>
    <w:rsid w:val="008D4C06"/>
    <w:rsid w:val="008D5CA9"/>
    <w:rsid w:val="008D7465"/>
    <w:rsid w:val="008E0F9A"/>
    <w:rsid w:val="008E1DB0"/>
    <w:rsid w:val="008E2AB6"/>
    <w:rsid w:val="008F1C5D"/>
    <w:rsid w:val="008F47A3"/>
    <w:rsid w:val="008F6946"/>
    <w:rsid w:val="00901C7B"/>
    <w:rsid w:val="00902CE2"/>
    <w:rsid w:val="00902CEE"/>
    <w:rsid w:val="0090301E"/>
    <w:rsid w:val="009038B6"/>
    <w:rsid w:val="00906C06"/>
    <w:rsid w:val="009223A0"/>
    <w:rsid w:val="00922B67"/>
    <w:rsid w:val="0092402A"/>
    <w:rsid w:val="00925AEC"/>
    <w:rsid w:val="00930422"/>
    <w:rsid w:val="009312CA"/>
    <w:rsid w:val="00932E1A"/>
    <w:rsid w:val="00932E5D"/>
    <w:rsid w:val="0093507F"/>
    <w:rsid w:val="00936AB5"/>
    <w:rsid w:val="00937ED6"/>
    <w:rsid w:val="00937F27"/>
    <w:rsid w:val="009413DC"/>
    <w:rsid w:val="00943426"/>
    <w:rsid w:val="009475E9"/>
    <w:rsid w:val="0094760B"/>
    <w:rsid w:val="00953697"/>
    <w:rsid w:val="00953778"/>
    <w:rsid w:val="00957DAD"/>
    <w:rsid w:val="00960781"/>
    <w:rsid w:val="00962A39"/>
    <w:rsid w:val="00967702"/>
    <w:rsid w:val="00970800"/>
    <w:rsid w:val="00973032"/>
    <w:rsid w:val="00974969"/>
    <w:rsid w:val="00980519"/>
    <w:rsid w:val="00981423"/>
    <w:rsid w:val="0098443A"/>
    <w:rsid w:val="00986A43"/>
    <w:rsid w:val="009873F1"/>
    <w:rsid w:val="00995671"/>
    <w:rsid w:val="009A0766"/>
    <w:rsid w:val="009A106C"/>
    <w:rsid w:val="009A63DD"/>
    <w:rsid w:val="009B2826"/>
    <w:rsid w:val="009B30BD"/>
    <w:rsid w:val="009B3333"/>
    <w:rsid w:val="009B34E7"/>
    <w:rsid w:val="009C013E"/>
    <w:rsid w:val="009C2204"/>
    <w:rsid w:val="009C3BE2"/>
    <w:rsid w:val="009C4917"/>
    <w:rsid w:val="009C76EB"/>
    <w:rsid w:val="009D35D3"/>
    <w:rsid w:val="009D6569"/>
    <w:rsid w:val="009E0FC7"/>
    <w:rsid w:val="009F1737"/>
    <w:rsid w:val="009F186E"/>
    <w:rsid w:val="00A00F4B"/>
    <w:rsid w:val="00A12DF4"/>
    <w:rsid w:val="00A16EDC"/>
    <w:rsid w:val="00A22B2E"/>
    <w:rsid w:val="00A238B9"/>
    <w:rsid w:val="00A244BE"/>
    <w:rsid w:val="00A25797"/>
    <w:rsid w:val="00A257E0"/>
    <w:rsid w:val="00A26BD6"/>
    <w:rsid w:val="00A3094A"/>
    <w:rsid w:val="00A33864"/>
    <w:rsid w:val="00A374CB"/>
    <w:rsid w:val="00A37B66"/>
    <w:rsid w:val="00A4785D"/>
    <w:rsid w:val="00A50792"/>
    <w:rsid w:val="00A536A6"/>
    <w:rsid w:val="00A54A9D"/>
    <w:rsid w:val="00A638CC"/>
    <w:rsid w:val="00A66C05"/>
    <w:rsid w:val="00A77229"/>
    <w:rsid w:val="00A81C9C"/>
    <w:rsid w:val="00A84167"/>
    <w:rsid w:val="00A86721"/>
    <w:rsid w:val="00A867E8"/>
    <w:rsid w:val="00A876BA"/>
    <w:rsid w:val="00A91DA4"/>
    <w:rsid w:val="00A93306"/>
    <w:rsid w:val="00A9710D"/>
    <w:rsid w:val="00A976BF"/>
    <w:rsid w:val="00A97D0E"/>
    <w:rsid w:val="00AA062F"/>
    <w:rsid w:val="00AA4B71"/>
    <w:rsid w:val="00AA5A54"/>
    <w:rsid w:val="00AA6D81"/>
    <w:rsid w:val="00AA7541"/>
    <w:rsid w:val="00AA7CD5"/>
    <w:rsid w:val="00AB3C54"/>
    <w:rsid w:val="00AB50C4"/>
    <w:rsid w:val="00AB5538"/>
    <w:rsid w:val="00AB798A"/>
    <w:rsid w:val="00AC019C"/>
    <w:rsid w:val="00AC0A3F"/>
    <w:rsid w:val="00AC175D"/>
    <w:rsid w:val="00AD3B25"/>
    <w:rsid w:val="00AE0225"/>
    <w:rsid w:val="00AE058E"/>
    <w:rsid w:val="00AE14F2"/>
    <w:rsid w:val="00AE488C"/>
    <w:rsid w:val="00AE4B95"/>
    <w:rsid w:val="00AE4FD5"/>
    <w:rsid w:val="00AE5ABC"/>
    <w:rsid w:val="00AE5AF2"/>
    <w:rsid w:val="00AF2AD1"/>
    <w:rsid w:val="00AF4539"/>
    <w:rsid w:val="00B002FC"/>
    <w:rsid w:val="00B0075A"/>
    <w:rsid w:val="00B0216E"/>
    <w:rsid w:val="00B02339"/>
    <w:rsid w:val="00B065F7"/>
    <w:rsid w:val="00B152CD"/>
    <w:rsid w:val="00B15FF6"/>
    <w:rsid w:val="00B20863"/>
    <w:rsid w:val="00B26192"/>
    <w:rsid w:val="00B27085"/>
    <w:rsid w:val="00B30104"/>
    <w:rsid w:val="00B307F2"/>
    <w:rsid w:val="00B41E88"/>
    <w:rsid w:val="00B44FC3"/>
    <w:rsid w:val="00B45868"/>
    <w:rsid w:val="00B46A02"/>
    <w:rsid w:val="00B56E54"/>
    <w:rsid w:val="00B57CBA"/>
    <w:rsid w:val="00B7018D"/>
    <w:rsid w:val="00B705AE"/>
    <w:rsid w:val="00B7332C"/>
    <w:rsid w:val="00B73A92"/>
    <w:rsid w:val="00B73EF4"/>
    <w:rsid w:val="00B75565"/>
    <w:rsid w:val="00B75EC9"/>
    <w:rsid w:val="00B841C5"/>
    <w:rsid w:val="00B85CDD"/>
    <w:rsid w:val="00B905D2"/>
    <w:rsid w:val="00B92675"/>
    <w:rsid w:val="00B93FAE"/>
    <w:rsid w:val="00B966DA"/>
    <w:rsid w:val="00BA0122"/>
    <w:rsid w:val="00BA29FE"/>
    <w:rsid w:val="00BA5558"/>
    <w:rsid w:val="00BB01F8"/>
    <w:rsid w:val="00BB5C37"/>
    <w:rsid w:val="00BB6DA4"/>
    <w:rsid w:val="00BC0D36"/>
    <w:rsid w:val="00BC0FE8"/>
    <w:rsid w:val="00BC45B8"/>
    <w:rsid w:val="00BC6E52"/>
    <w:rsid w:val="00BC7345"/>
    <w:rsid w:val="00BC7AF6"/>
    <w:rsid w:val="00BD15B7"/>
    <w:rsid w:val="00BD3682"/>
    <w:rsid w:val="00BD562D"/>
    <w:rsid w:val="00BD6FA3"/>
    <w:rsid w:val="00BD79B1"/>
    <w:rsid w:val="00BF0351"/>
    <w:rsid w:val="00BF25C1"/>
    <w:rsid w:val="00BF301A"/>
    <w:rsid w:val="00BF41E6"/>
    <w:rsid w:val="00BF42DC"/>
    <w:rsid w:val="00BF5ECE"/>
    <w:rsid w:val="00BF68B8"/>
    <w:rsid w:val="00C00D13"/>
    <w:rsid w:val="00C00D2A"/>
    <w:rsid w:val="00C01248"/>
    <w:rsid w:val="00C0167E"/>
    <w:rsid w:val="00C03A00"/>
    <w:rsid w:val="00C05A91"/>
    <w:rsid w:val="00C06CCB"/>
    <w:rsid w:val="00C10120"/>
    <w:rsid w:val="00C13E7D"/>
    <w:rsid w:val="00C14D43"/>
    <w:rsid w:val="00C16F95"/>
    <w:rsid w:val="00C236A4"/>
    <w:rsid w:val="00C237DC"/>
    <w:rsid w:val="00C3117F"/>
    <w:rsid w:val="00C31793"/>
    <w:rsid w:val="00C3555D"/>
    <w:rsid w:val="00C37CA6"/>
    <w:rsid w:val="00C4322B"/>
    <w:rsid w:val="00C549F2"/>
    <w:rsid w:val="00C5640F"/>
    <w:rsid w:val="00C60594"/>
    <w:rsid w:val="00C60FD5"/>
    <w:rsid w:val="00C61DB8"/>
    <w:rsid w:val="00C73BF4"/>
    <w:rsid w:val="00C74C62"/>
    <w:rsid w:val="00C74DF5"/>
    <w:rsid w:val="00C80CE7"/>
    <w:rsid w:val="00C81B27"/>
    <w:rsid w:val="00C8325B"/>
    <w:rsid w:val="00C845B7"/>
    <w:rsid w:val="00C8684E"/>
    <w:rsid w:val="00C900D2"/>
    <w:rsid w:val="00C929E9"/>
    <w:rsid w:val="00C936A1"/>
    <w:rsid w:val="00C94F35"/>
    <w:rsid w:val="00C97478"/>
    <w:rsid w:val="00CA2C40"/>
    <w:rsid w:val="00CA4FC2"/>
    <w:rsid w:val="00CB13B4"/>
    <w:rsid w:val="00CB2215"/>
    <w:rsid w:val="00CB2E01"/>
    <w:rsid w:val="00CB41BE"/>
    <w:rsid w:val="00CC27C8"/>
    <w:rsid w:val="00CD38BB"/>
    <w:rsid w:val="00CD4203"/>
    <w:rsid w:val="00CD6FD5"/>
    <w:rsid w:val="00CE1050"/>
    <w:rsid w:val="00CE1DFD"/>
    <w:rsid w:val="00CE26A2"/>
    <w:rsid w:val="00CF0D75"/>
    <w:rsid w:val="00CF2260"/>
    <w:rsid w:val="00CF22A0"/>
    <w:rsid w:val="00CF414E"/>
    <w:rsid w:val="00CF6340"/>
    <w:rsid w:val="00CF7055"/>
    <w:rsid w:val="00D02A0A"/>
    <w:rsid w:val="00D15084"/>
    <w:rsid w:val="00D15F34"/>
    <w:rsid w:val="00D20A66"/>
    <w:rsid w:val="00D227E9"/>
    <w:rsid w:val="00D239A4"/>
    <w:rsid w:val="00D252B3"/>
    <w:rsid w:val="00D368B3"/>
    <w:rsid w:val="00D4010F"/>
    <w:rsid w:val="00D43086"/>
    <w:rsid w:val="00D45471"/>
    <w:rsid w:val="00D461AC"/>
    <w:rsid w:val="00D55815"/>
    <w:rsid w:val="00D56426"/>
    <w:rsid w:val="00D56CA5"/>
    <w:rsid w:val="00D63BEF"/>
    <w:rsid w:val="00D700BB"/>
    <w:rsid w:val="00D735D2"/>
    <w:rsid w:val="00D7448B"/>
    <w:rsid w:val="00D749CB"/>
    <w:rsid w:val="00D74CF8"/>
    <w:rsid w:val="00D809BD"/>
    <w:rsid w:val="00D8165C"/>
    <w:rsid w:val="00D81A23"/>
    <w:rsid w:val="00D84374"/>
    <w:rsid w:val="00D844C1"/>
    <w:rsid w:val="00D947D8"/>
    <w:rsid w:val="00D97E3F"/>
    <w:rsid w:val="00DA72F8"/>
    <w:rsid w:val="00DA7DE4"/>
    <w:rsid w:val="00DB33D7"/>
    <w:rsid w:val="00DB4A46"/>
    <w:rsid w:val="00DB6325"/>
    <w:rsid w:val="00DC237C"/>
    <w:rsid w:val="00DC3284"/>
    <w:rsid w:val="00DC3D8A"/>
    <w:rsid w:val="00DC4D44"/>
    <w:rsid w:val="00DC5A96"/>
    <w:rsid w:val="00DC61B1"/>
    <w:rsid w:val="00DD56C2"/>
    <w:rsid w:val="00DD7B9C"/>
    <w:rsid w:val="00DE1405"/>
    <w:rsid w:val="00DE1C6C"/>
    <w:rsid w:val="00DE1DE2"/>
    <w:rsid w:val="00DE5602"/>
    <w:rsid w:val="00DE6B27"/>
    <w:rsid w:val="00DE7F98"/>
    <w:rsid w:val="00DF1C4F"/>
    <w:rsid w:val="00E00829"/>
    <w:rsid w:val="00E0140A"/>
    <w:rsid w:val="00E02A34"/>
    <w:rsid w:val="00E056F8"/>
    <w:rsid w:val="00E07C82"/>
    <w:rsid w:val="00E10FA5"/>
    <w:rsid w:val="00E16F38"/>
    <w:rsid w:val="00E228C6"/>
    <w:rsid w:val="00E24382"/>
    <w:rsid w:val="00E2472F"/>
    <w:rsid w:val="00E26863"/>
    <w:rsid w:val="00E26971"/>
    <w:rsid w:val="00E272E1"/>
    <w:rsid w:val="00E306D8"/>
    <w:rsid w:val="00E333A0"/>
    <w:rsid w:val="00E33712"/>
    <w:rsid w:val="00E362C1"/>
    <w:rsid w:val="00E41BB2"/>
    <w:rsid w:val="00E44AC8"/>
    <w:rsid w:val="00E52E37"/>
    <w:rsid w:val="00E54388"/>
    <w:rsid w:val="00E55EDF"/>
    <w:rsid w:val="00E56F9B"/>
    <w:rsid w:val="00E60E19"/>
    <w:rsid w:val="00E62C2E"/>
    <w:rsid w:val="00E6389E"/>
    <w:rsid w:val="00E72FE6"/>
    <w:rsid w:val="00E733FB"/>
    <w:rsid w:val="00E75AE7"/>
    <w:rsid w:val="00E75FE5"/>
    <w:rsid w:val="00E7702D"/>
    <w:rsid w:val="00E80125"/>
    <w:rsid w:val="00E83940"/>
    <w:rsid w:val="00E84E3A"/>
    <w:rsid w:val="00E950FE"/>
    <w:rsid w:val="00E95ACA"/>
    <w:rsid w:val="00EB2E58"/>
    <w:rsid w:val="00EB4E1A"/>
    <w:rsid w:val="00EB6494"/>
    <w:rsid w:val="00EB672A"/>
    <w:rsid w:val="00EC6214"/>
    <w:rsid w:val="00ED07B2"/>
    <w:rsid w:val="00ED0D7F"/>
    <w:rsid w:val="00ED0EB7"/>
    <w:rsid w:val="00ED2A50"/>
    <w:rsid w:val="00ED399B"/>
    <w:rsid w:val="00ED5E20"/>
    <w:rsid w:val="00ED63E2"/>
    <w:rsid w:val="00ED65AE"/>
    <w:rsid w:val="00ED6A31"/>
    <w:rsid w:val="00EE07FE"/>
    <w:rsid w:val="00EE2B7C"/>
    <w:rsid w:val="00EE735B"/>
    <w:rsid w:val="00EF17F7"/>
    <w:rsid w:val="00EF5DFE"/>
    <w:rsid w:val="00EF6371"/>
    <w:rsid w:val="00EF7108"/>
    <w:rsid w:val="00F03A3C"/>
    <w:rsid w:val="00F060A9"/>
    <w:rsid w:val="00F06CFC"/>
    <w:rsid w:val="00F11867"/>
    <w:rsid w:val="00F14430"/>
    <w:rsid w:val="00F168E1"/>
    <w:rsid w:val="00F21B24"/>
    <w:rsid w:val="00F22B67"/>
    <w:rsid w:val="00F22F56"/>
    <w:rsid w:val="00F2350E"/>
    <w:rsid w:val="00F25655"/>
    <w:rsid w:val="00F30027"/>
    <w:rsid w:val="00F360E4"/>
    <w:rsid w:val="00F42B7B"/>
    <w:rsid w:val="00F443A8"/>
    <w:rsid w:val="00F4605C"/>
    <w:rsid w:val="00F52641"/>
    <w:rsid w:val="00F56134"/>
    <w:rsid w:val="00F57E65"/>
    <w:rsid w:val="00F60757"/>
    <w:rsid w:val="00F62379"/>
    <w:rsid w:val="00F6274B"/>
    <w:rsid w:val="00F64067"/>
    <w:rsid w:val="00F6409E"/>
    <w:rsid w:val="00F72394"/>
    <w:rsid w:val="00F7405E"/>
    <w:rsid w:val="00F80742"/>
    <w:rsid w:val="00F81DC8"/>
    <w:rsid w:val="00F84FDA"/>
    <w:rsid w:val="00F86A99"/>
    <w:rsid w:val="00F86B1A"/>
    <w:rsid w:val="00F904FF"/>
    <w:rsid w:val="00F92C64"/>
    <w:rsid w:val="00F97E24"/>
    <w:rsid w:val="00FA00FA"/>
    <w:rsid w:val="00FA187E"/>
    <w:rsid w:val="00FA2290"/>
    <w:rsid w:val="00FA3B06"/>
    <w:rsid w:val="00FA5E9F"/>
    <w:rsid w:val="00FA7989"/>
    <w:rsid w:val="00FA7EF2"/>
    <w:rsid w:val="00FB093C"/>
    <w:rsid w:val="00FB3167"/>
    <w:rsid w:val="00FB4B2B"/>
    <w:rsid w:val="00FB52E3"/>
    <w:rsid w:val="00FC0F19"/>
    <w:rsid w:val="00FC65B6"/>
    <w:rsid w:val="00FD2FD3"/>
    <w:rsid w:val="00FD31B4"/>
    <w:rsid w:val="00FD5BEF"/>
    <w:rsid w:val="00FD6FDC"/>
    <w:rsid w:val="00FE0F31"/>
    <w:rsid w:val="00FE3098"/>
    <w:rsid w:val="00FE775B"/>
    <w:rsid w:val="00FF1BFD"/>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BD8007D"/>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qFormat="1" w:unhideWhenUsed="0" w:uiPriority="99"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38"/>
    <w:qFormat/>
    <w:uiPriority w:val="9"/>
    <w:pPr>
      <w:ind w:left="538"/>
      <w:outlineLvl w:val="0"/>
    </w:pPr>
    <w:rPr>
      <w:b/>
      <w:bCs/>
      <w:sz w:val="28"/>
      <w:szCs w:val="28"/>
    </w:rPr>
  </w:style>
  <w:style w:type="paragraph" w:styleId="4">
    <w:name w:val="heading 2"/>
    <w:basedOn w:val="1"/>
    <w:next w:val="1"/>
    <w:link w:val="39"/>
    <w:qFormat/>
    <w:uiPriority w:val="0"/>
    <w:pPr>
      <w:ind w:left="629"/>
      <w:outlineLvl w:val="1"/>
    </w:pPr>
    <w:rPr>
      <w:b/>
      <w:bCs/>
      <w:sz w:val="24"/>
      <w:szCs w:val="24"/>
    </w:rPr>
  </w:style>
  <w:style w:type="paragraph" w:styleId="5">
    <w:name w:val="heading 3"/>
    <w:basedOn w:val="1"/>
    <w:next w:val="1"/>
    <w:link w:val="40"/>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4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2">
    <w:name w:val="Default Paragraph Font"/>
    <w:semiHidden/>
    <w:unhideWhenUsed/>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正文1"/>
    <w:link w:val="82"/>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7">
    <w:name w:val="toc 7"/>
    <w:basedOn w:val="1"/>
    <w:next w:val="1"/>
    <w:qFormat/>
    <w:uiPriority w:val="0"/>
    <w:pPr>
      <w:ind w:left="2520" w:leftChars="1200"/>
    </w:pPr>
  </w:style>
  <w:style w:type="paragraph" w:styleId="8">
    <w:name w:val="Normal Indent"/>
    <w:basedOn w:val="1"/>
    <w:next w:val="9"/>
    <w:link w:val="79"/>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9">
    <w:name w:val="header"/>
    <w:basedOn w:val="1"/>
    <w:link w:val="4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Document Map"/>
    <w:basedOn w:val="1"/>
    <w:link w:val="66"/>
    <w:qFormat/>
    <w:uiPriority w:val="0"/>
    <w:pPr>
      <w:shd w:val="clear" w:color="auto" w:fill="000080"/>
      <w:autoSpaceDE/>
      <w:autoSpaceDN/>
      <w:jc w:val="both"/>
    </w:pPr>
    <w:rPr>
      <w:rFonts w:ascii="Times New Roman" w:hAnsi="Times New Roman" w:cs="Times New Roman"/>
      <w:kern w:val="2"/>
      <w:sz w:val="21"/>
      <w:szCs w:val="24"/>
      <w:lang w:eastAsia="zh-CN"/>
    </w:rPr>
  </w:style>
  <w:style w:type="paragraph" w:styleId="11">
    <w:name w:val="annotation text"/>
    <w:basedOn w:val="1"/>
    <w:link w:val="58"/>
    <w:qFormat/>
    <w:uiPriority w:val="0"/>
    <w:pPr>
      <w:autoSpaceDE/>
      <w:autoSpaceDN/>
      <w:jc w:val="both"/>
    </w:pPr>
    <w:rPr>
      <w:rFonts w:ascii="Times New Roman" w:hAnsi="Times New Roman" w:cs="Times New Roman"/>
      <w:kern w:val="2"/>
      <w:sz w:val="21"/>
      <w:szCs w:val="20"/>
      <w:lang w:eastAsia="zh-CN"/>
    </w:rPr>
  </w:style>
  <w:style w:type="paragraph" w:styleId="12">
    <w:name w:val="Closing"/>
    <w:basedOn w:val="1"/>
    <w:link w:val="61"/>
    <w:qFormat/>
    <w:uiPriority w:val="99"/>
    <w:pPr>
      <w:autoSpaceDE/>
      <w:autoSpaceDN/>
      <w:ind w:left="100" w:leftChars="2100"/>
      <w:jc w:val="both"/>
    </w:pPr>
    <w:rPr>
      <w:rFonts w:ascii="Times New Roman" w:hAnsi="Times New Roman" w:cs="Times New Roman"/>
      <w:b/>
      <w:kern w:val="2"/>
      <w:sz w:val="21"/>
      <w:szCs w:val="20"/>
      <w:lang w:eastAsia="zh-CN"/>
    </w:rPr>
  </w:style>
  <w:style w:type="paragraph" w:styleId="13">
    <w:name w:val="Body Text"/>
    <w:basedOn w:val="1"/>
    <w:link w:val="42"/>
    <w:qFormat/>
    <w:uiPriority w:val="0"/>
    <w:rPr>
      <w:sz w:val="24"/>
      <w:szCs w:val="24"/>
    </w:rPr>
  </w:style>
  <w:style w:type="paragraph" w:styleId="14">
    <w:name w:val="Body Text Indent"/>
    <w:basedOn w:val="1"/>
    <w:link w:val="62"/>
    <w:qFormat/>
    <w:uiPriority w:val="0"/>
    <w:pPr>
      <w:spacing w:after="120"/>
      <w:ind w:left="420" w:leftChars="200"/>
    </w:pPr>
  </w:style>
  <w:style w:type="paragraph" w:styleId="15">
    <w:name w:val="toc 3"/>
    <w:basedOn w:val="1"/>
    <w:next w:val="1"/>
    <w:qFormat/>
    <w:uiPriority w:val="39"/>
    <w:pPr>
      <w:ind w:left="840" w:leftChars="400"/>
    </w:pPr>
  </w:style>
  <w:style w:type="paragraph" w:styleId="16">
    <w:name w:val="Plain Text"/>
    <w:basedOn w:val="1"/>
    <w:link w:val="43"/>
    <w:qFormat/>
    <w:uiPriority w:val="99"/>
    <w:rPr>
      <w:rFonts w:hAnsi="Courier New" w:cs="Courier New"/>
      <w:szCs w:val="21"/>
    </w:rPr>
  </w:style>
  <w:style w:type="paragraph" w:styleId="17">
    <w:name w:val="Date"/>
    <w:basedOn w:val="1"/>
    <w:next w:val="1"/>
    <w:link w:val="50"/>
    <w:unhideWhenUsed/>
    <w:qFormat/>
    <w:uiPriority w:val="99"/>
    <w:pPr>
      <w:autoSpaceDE/>
      <w:autoSpaceDN/>
      <w:ind w:left="100" w:leftChars="2500"/>
      <w:jc w:val="both"/>
    </w:pPr>
    <w:rPr>
      <w:rFonts w:asciiTheme="minorHAnsi" w:hAnsiTheme="minorHAnsi" w:eastAsiaTheme="minorEastAsia" w:cstheme="minorBidi"/>
      <w:kern w:val="2"/>
      <w:sz w:val="21"/>
      <w:lang w:eastAsia="zh-CN"/>
    </w:rPr>
  </w:style>
  <w:style w:type="paragraph" w:styleId="18">
    <w:name w:val="Body Text Indent 2"/>
    <w:basedOn w:val="1"/>
    <w:link w:val="60"/>
    <w:qFormat/>
    <w:uiPriority w:val="0"/>
    <w:pPr>
      <w:spacing w:after="120" w:line="480" w:lineRule="auto"/>
      <w:ind w:left="420" w:leftChars="200"/>
    </w:pPr>
  </w:style>
  <w:style w:type="paragraph" w:styleId="19">
    <w:name w:val="Balloon Text"/>
    <w:basedOn w:val="1"/>
    <w:link w:val="54"/>
    <w:qFormat/>
    <w:uiPriority w:val="99"/>
    <w:rPr>
      <w:sz w:val="18"/>
      <w:szCs w:val="18"/>
    </w:rPr>
  </w:style>
  <w:style w:type="paragraph" w:styleId="20">
    <w:name w:val="footer"/>
    <w:basedOn w:val="1"/>
    <w:link w:val="44"/>
    <w:qFormat/>
    <w:uiPriority w:val="99"/>
    <w:pPr>
      <w:tabs>
        <w:tab w:val="center" w:pos="4153"/>
        <w:tab w:val="right" w:pos="8306"/>
      </w:tabs>
      <w:snapToGrid w:val="0"/>
    </w:pPr>
    <w:rPr>
      <w:sz w:val="18"/>
      <w:szCs w:val="18"/>
    </w:rPr>
  </w:style>
  <w:style w:type="paragraph" w:styleId="21">
    <w:name w:val="toc 1"/>
    <w:basedOn w:val="1"/>
    <w:next w:val="1"/>
    <w:qFormat/>
    <w:uiPriority w:val="39"/>
    <w:pPr>
      <w:autoSpaceDE/>
      <w:autoSpaceDN/>
      <w:spacing w:before="120" w:after="120"/>
    </w:pPr>
    <w:rPr>
      <w:rFonts w:ascii="Times New Roman" w:hAnsi="Times New Roman" w:cs="Times New Roman"/>
      <w:b/>
      <w:caps/>
      <w:kern w:val="2"/>
      <w:sz w:val="20"/>
      <w:szCs w:val="20"/>
      <w:lang w:eastAsia="zh-CN"/>
    </w:rPr>
  </w:style>
  <w:style w:type="paragraph" w:styleId="22">
    <w:name w:val="Subtitle"/>
    <w:basedOn w:val="1"/>
    <w:next w:val="1"/>
    <w:link w:val="85"/>
    <w:qFormat/>
    <w:uiPriority w:val="11"/>
    <w:pPr>
      <w:numPr>
        <w:ilvl w:val="0"/>
        <w:numId w:val="1"/>
      </w:numPr>
      <w:autoSpaceDE/>
      <w:autoSpaceDN/>
      <w:spacing w:before="240" w:after="60" w:line="312" w:lineRule="auto"/>
      <w:ind w:firstLine="200" w:firstLineChars="200"/>
      <w:outlineLvl w:val="1"/>
    </w:pPr>
    <w:rPr>
      <w:rFonts w:asciiTheme="majorHAnsi" w:hAnsiTheme="majorHAnsi" w:cstheme="majorBidi"/>
      <w:b/>
      <w:bCs/>
      <w:kern w:val="28"/>
      <w:sz w:val="28"/>
      <w:szCs w:val="32"/>
      <w:lang w:eastAsia="zh-CN"/>
    </w:rPr>
  </w:style>
  <w:style w:type="paragraph" w:styleId="23">
    <w:name w:val="List"/>
    <w:basedOn w:val="1"/>
    <w:qFormat/>
    <w:uiPriority w:val="0"/>
    <w:pPr>
      <w:widowControl/>
      <w:autoSpaceDE/>
      <w:autoSpaceDN/>
      <w:ind w:left="420" w:hanging="420"/>
    </w:pPr>
    <w:rPr>
      <w:rFonts w:hAnsi="Times New Roman" w:cs="Times New Roman"/>
      <w:szCs w:val="20"/>
      <w:lang w:eastAsia="zh-CN"/>
    </w:rPr>
  </w:style>
  <w:style w:type="paragraph" w:styleId="24">
    <w:name w:val="Body Text Indent 3"/>
    <w:basedOn w:val="1"/>
    <w:link w:val="74"/>
    <w:uiPriority w:val="0"/>
    <w:pPr>
      <w:tabs>
        <w:tab w:val="left" w:pos="360"/>
      </w:tabs>
      <w:autoSpaceDE/>
      <w:autoSpaceDN/>
      <w:adjustRightInd w:val="0"/>
      <w:snapToGrid w:val="0"/>
      <w:spacing w:line="360" w:lineRule="auto"/>
      <w:ind w:firstLine="480" w:firstLineChars="200"/>
      <w:jc w:val="both"/>
    </w:pPr>
    <w:rPr>
      <w:rFonts w:hint="eastAsia" w:cs="Times New Roman"/>
      <w:kern w:val="2"/>
      <w:sz w:val="24"/>
      <w:szCs w:val="24"/>
      <w:lang w:eastAsia="zh-CN"/>
    </w:rPr>
  </w:style>
  <w:style w:type="paragraph" w:styleId="25">
    <w:name w:val="toc 2"/>
    <w:basedOn w:val="1"/>
    <w:next w:val="1"/>
    <w:qFormat/>
    <w:uiPriority w:val="39"/>
    <w:pPr>
      <w:tabs>
        <w:tab w:val="left" w:pos="780"/>
        <w:tab w:val="right" w:leader="hyphen" w:pos="8279"/>
        <w:tab w:val="right" w:leader="dot" w:pos="8820"/>
        <w:tab w:val="right" w:leader="dot" w:pos="8949"/>
        <w:tab w:val="right" w:leader="dot" w:pos="9089"/>
      </w:tabs>
      <w:autoSpaceDE/>
      <w:autoSpaceDN/>
      <w:adjustRightInd w:val="0"/>
      <w:spacing w:line="360" w:lineRule="auto"/>
      <w:ind w:firstLine="540" w:firstLineChars="225"/>
      <w:jc w:val="both"/>
      <w:textAlignment w:val="baseline"/>
    </w:pPr>
    <w:rPr>
      <w:rFonts w:ascii="Times New Roman" w:hAnsi="Times New Roman" w:cs="Times New Roman"/>
      <w:smallCaps/>
      <w:sz w:val="24"/>
      <w:szCs w:val="20"/>
      <w:lang w:eastAsia="zh-CN"/>
    </w:rPr>
  </w:style>
  <w:style w:type="paragraph" w:styleId="26">
    <w:name w:val="Normal (Web)"/>
    <w:basedOn w:val="1"/>
    <w:unhideWhenUsed/>
    <w:qFormat/>
    <w:uiPriority w:val="99"/>
    <w:pPr>
      <w:widowControl/>
      <w:autoSpaceDE/>
      <w:autoSpaceDN/>
      <w:spacing w:before="100" w:beforeAutospacing="1" w:after="100" w:afterAutospacing="1"/>
    </w:pPr>
    <w:rPr>
      <w:sz w:val="24"/>
      <w:szCs w:val="24"/>
      <w:lang w:eastAsia="zh-CN"/>
    </w:rPr>
  </w:style>
  <w:style w:type="paragraph" w:styleId="27">
    <w:name w:val="index 1"/>
    <w:basedOn w:val="1"/>
    <w:next w:val="1"/>
    <w:qFormat/>
    <w:uiPriority w:val="0"/>
    <w:pPr>
      <w:autoSpaceDE/>
      <w:autoSpaceDN/>
      <w:spacing w:line="400" w:lineRule="atLeast"/>
      <w:jc w:val="both"/>
    </w:pPr>
    <w:rPr>
      <w:rFonts w:hint="eastAsia" w:cs="Times New Roman"/>
      <w:kern w:val="2"/>
      <w:sz w:val="24"/>
      <w:szCs w:val="24"/>
      <w:lang w:eastAsia="zh-CN"/>
    </w:rPr>
  </w:style>
  <w:style w:type="paragraph" w:styleId="28">
    <w:name w:val="Title"/>
    <w:basedOn w:val="1"/>
    <w:next w:val="1"/>
    <w:link w:val="83"/>
    <w:qFormat/>
    <w:uiPriority w:val="10"/>
    <w:pPr>
      <w:numPr>
        <w:ilvl w:val="0"/>
        <w:numId w:val="2"/>
      </w:numPr>
      <w:autoSpaceDE/>
      <w:autoSpaceDN/>
      <w:spacing w:before="240" w:after="60" w:line="360" w:lineRule="auto"/>
      <w:ind w:firstLine="0"/>
      <w:outlineLvl w:val="1"/>
    </w:pPr>
    <w:rPr>
      <w:rFonts w:asciiTheme="majorHAnsi" w:hAnsiTheme="majorHAnsi" w:cstheme="majorBidi"/>
      <w:bCs/>
      <w:kern w:val="2"/>
      <w:sz w:val="24"/>
      <w:szCs w:val="32"/>
      <w:lang w:eastAsia="zh-CN"/>
    </w:rPr>
  </w:style>
  <w:style w:type="paragraph" w:styleId="29">
    <w:name w:val="annotation subject"/>
    <w:basedOn w:val="11"/>
    <w:next w:val="11"/>
    <w:link w:val="63"/>
    <w:qFormat/>
    <w:uiPriority w:val="0"/>
    <w:pPr>
      <w:adjustRightInd w:val="0"/>
      <w:spacing w:line="360" w:lineRule="atLeast"/>
      <w:jc w:val="left"/>
      <w:textAlignment w:val="baseline"/>
    </w:pPr>
    <w:rPr>
      <w:b/>
      <w:bCs/>
      <w:kern w:val="0"/>
      <w:sz w:val="20"/>
    </w:rPr>
  </w:style>
  <w:style w:type="table" w:styleId="31">
    <w:name w:val="Table Grid"/>
    <w:basedOn w:val="3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22"/>
    <w:rPr>
      <w:b/>
      <w:bCs/>
    </w:rPr>
  </w:style>
  <w:style w:type="character" w:styleId="34">
    <w:name w:val="page number"/>
    <w:basedOn w:val="32"/>
    <w:qFormat/>
    <w:uiPriority w:val="0"/>
  </w:style>
  <w:style w:type="character" w:styleId="35">
    <w:name w:val="FollowedHyperlink"/>
    <w:basedOn w:val="32"/>
    <w:qFormat/>
    <w:uiPriority w:val="99"/>
    <w:rPr>
      <w:color w:val="800080"/>
      <w:u w:val="single"/>
    </w:rPr>
  </w:style>
  <w:style w:type="character" w:styleId="36">
    <w:name w:val="Hyperlink"/>
    <w:basedOn w:val="32"/>
    <w:qFormat/>
    <w:uiPriority w:val="99"/>
    <w:rPr>
      <w:color w:val="0000FF"/>
      <w:u w:val="single"/>
    </w:rPr>
  </w:style>
  <w:style w:type="character" w:styleId="37">
    <w:name w:val="annotation reference"/>
    <w:qFormat/>
    <w:uiPriority w:val="0"/>
    <w:rPr>
      <w:sz w:val="21"/>
      <w:szCs w:val="21"/>
    </w:rPr>
  </w:style>
  <w:style w:type="character" w:customStyle="1" w:styleId="38">
    <w:name w:val="标题 1 Char"/>
    <w:link w:val="3"/>
    <w:uiPriority w:val="0"/>
    <w:rPr>
      <w:rFonts w:ascii="宋体" w:hAnsi="宋体" w:cs="宋体"/>
      <w:b/>
      <w:bCs/>
      <w:sz w:val="28"/>
      <w:szCs w:val="28"/>
      <w:lang w:eastAsia="en-US"/>
    </w:rPr>
  </w:style>
  <w:style w:type="character" w:customStyle="1" w:styleId="39">
    <w:name w:val="标题 2 Char"/>
    <w:basedOn w:val="32"/>
    <w:link w:val="4"/>
    <w:uiPriority w:val="0"/>
    <w:rPr>
      <w:rFonts w:ascii="宋体" w:hAnsi="宋体" w:cs="宋体"/>
      <w:b/>
      <w:bCs/>
      <w:sz w:val="24"/>
      <w:szCs w:val="24"/>
      <w:lang w:eastAsia="en-US"/>
    </w:rPr>
  </w:style>
  <w:style w:type="character" w:customStyle="1" w:styleId="40">
    <w:name w:val="标题 3 Char"/>
    <w:basedOn w:val="32"/>
    <w:link w:val="5"/>
    <w:uiPriority w:val="0"/>
    <w:rPr>
      <w:rFonts w:ascii="宋体" w:hAnsi="宋体" w:cs="宋体"/>
      <w:b/>
      <w:bCs/>
      <w:sz w:val="32"/>
      <w:szCs w:val="32"/>
      <w:lang w:eastAsia="en-US"/>
    </w:rPr>
  </w:style>
  <w:style w:type="character" w:customStyle="1" w:styleId="41">
    <w:name w:val="标题 4 Char"/>
    <w:basedOn w:val="32"/>
    <w:link w:val="6"/>
    <w:semiHidden/>
    <w:uiPriority w:val="0"/>
    <w:rPr>
      <w:rFonts w:asciiTheme="majorHAnsi" w:hAnsiTheme="majorHAnsi" w:eastAsiaTheme="majorEastAsia" w:cstheme="majorBidi"/>
      <w:b/>
      <w:bCs/>
      <w:sz w:val="28"/>
      <w:szCs w:val="28"/>
      <w:lang w:eastAsia="en-US"/>
    </w:rPr>
  </w:style>
  <w:style w:type="character" w:customStyle="1" w:styleId="42">
    <w:name w:val="正文文本 Char"/>
    <w:basedOn w:val="32"/>
    <w:link w:val="13"/>
    <w:qFormat/>
    <w:uiPriority w:val="0"/>
    <w:rPr>
      <w:rFonts w:ascii="宋体" w:hAnsi="宋体" w:cs="宋体"/>
      <w:sz w:val="24"/>
      <w:szCs w:val="24"/>
      <w:lang w:eastAsia="en-US"/>
    </w:rPr>
  </w:style>
  <w:style w:type="character" w:customStyle="1" w:styleId="43">
    <w:name w:val="纯文本 Char1"/>
    <w:link w:val="16"/>
    <w:qFormat/>
    <w:uiPriority w:val="0"/>
    <w:rPr>
      <w:rFonts w:ascii="宋体" w:hAnsi="Courier New" w:cs="Courier New"/>
      <w:sz w:val="22"/>
      <w:szCs w:val="21"/>
      <w:lang w:eastAsia="en-US"/>
    </w:rPr>
  </w:style>
  <w:style w:type="character" w:customStyle="1" w:styleId="44">
    <w:name w:val="页脚 Char"/>
    <w:basedOn w:val="32"/>
    <w:link w:val="20"/>
    <w:qFormat/>
    <w:uiPriority w:val="99"/>
    <w:rPr>
      <w:rFonts w:ascii="宋体" w:hAnsi="宋体" w:cs="宋体"/>
      <w:sz w:val="18"/>
      <w:szCs w:val="18"/>
      <w:lang w:eastAsia="en-US"/>
    </w:rPr>
  </w:style>
  <w:style w:type="character" w:customStyle="1" w:styleId="45">
    <w:name w:val="页眉 Char"/>
    <w:basedOn w:val="32"/>
    <w:link w:val="9"/>
    <w:qFormat/>
    <w:uiPriority w:val="99"/>
    <w:rPr>
      <w:rFonts w:ascii="宋体" w:hAnsi="宋体" w:cs="宋体"/>
      <w:sz w:val="18"/>
      <w:szCs w:val="22"/>
      <w:lang w:eastAsia="en-US"/>
    </w:rPr>
  </w:style>
  <w:style w:type="table" w:customStyle="1" w:styleId="46">
    <w:name w:val="Table Normal"/>
    <w:semiHidden/>
    <w:unhideWhenUsed/>
    <w:qFormat/>
    <w:uiPriority w:val="2"/>
    <w:tblPr>
      <w:tblCellMar>
        <w:top w:w="0" w:type="dxa"/>
        <w:left w:w="0" w:type="dxa"/>
        <w:bottom w:w="0" w:type="dxa"/>
        <w:right w:w="0" w:type="dxa"/>
      </w:tblCellMar>
    </w:tblPr>
  </w:style>
  <w:style w:type="paragraph" w:styleId="47">
    <w:name w:val="List Paragraph"/>
    <w:basedOn w:val="1"/>
    <w:qFormat/>
    <w:uiPriority w:val="34"/>
    <w:pPr>
      <w:spacing w:before="206"/>
      <w:ind w:left="959" w:hanging="361"/>
    </w:pPr>
  </w:style>
  <w:style w:type="paragraph" w:customStyle="1" w:styleId="48">
    <w:name w:val="Table Paragraph"/>
    <w:basedOn w:val="1"/>
    <w:qFormat/>
    <w:uiPriority w:val="1"/>
  </w:style>
  <w:style w:type="paragraph" w:customStyle="1" w:styleId="49">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50">
    <w:name w:val="日期 Char"/>
    <w:basedOn w:val="32"/>
    <w:link w:val="17"/>
    <w:qFormat/>
    <w:uiPriority w:val="99"/>
    <w:rPr>
      <w:rFonts w:asciiTheme="minorHAnsi" w:hAnsiTheme="minorHAnsi" w:eastAsiaTheme="minorEastAsia" w:cstheme="minorBidi"/>
      <w:kern w:val="2"/>
      <w:sz w:val="21"/>
      <w:szCs w:val="22"/>
    </w:rPr>
  </w:style>
  <w:style w:type="paragraph" w:customStyle="1" w:styleId="51">
    <w:name w:val="样式1"/>
    <w:basedOn w:val="1"/>
    <w:link w:val="8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52">
    <w:name w:val="列出段落2"/>
    <w:basedOn w:val="1"/>
    <w:qFormat/>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53">
    <w:name w:val="xdrichtextbox2"/>
    <w:basedOn w:val="32"/>
    <w:qFormat/>
    <w:uiPriority w:val="0"/>
    <w:rPr>
      <w:color w:val="0000FF"/>
      <w:sz w:val="18"/>
      <w:szCs w:val="18"/>
      <w:u w:val="none"/>
      <w:bdr w:val="single" w:color="DCDCDC" w:sz="8" w:space="0"/>
      <w:shd w:val="clear" w:color="auto" w:fill="FFFFFF"/>
    </w:rPr>
  </w:style>
  <w:style w:type="character" w:customStyle="1" w:styleId="54">
    <w:name w:val="批注框文本 Char"/>
    <w:basedOn w:val="32"/>
    <w:link w:val="19"/>
    <w:qFormat/>
    <w:uiPriority w:val="99"/>
    <w:rPr>
      <w:rFonts w:ascii="宋体" w:hAnsi="宋体" w:cs="宋体"/>
      <w:sz w:val="18"/>
      <w:szCs w:val="18"/>
      <w:lang w:eastAsia="en-US"/>
    </w:rPr>
  </w:style>
  <w:style w:type="paragraph" w:customStyle="1" w:styleId="55">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56">
    <w:name w:val="apple-converted-space"/>
    <w:basedOn w:val="32"/>
    <w:qFormat/>
    <w:uiPriority w:val="0"/>
  </w:style>
  <w:style w:type="paragraph" w:customStyle="1" w:styleId="57">
    <w:name w:val="* 左对齐的段落"/>
    <w:qFormat/>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58">
    <w:name w:val="批注文字 Char"/>
    <w:basedOn w:val="32"/>
    <w:link w:val="11"/>
    <w:qFormat/>
    <w:uiPriority w:val="0"/>
    <w:rPr>
      <w:kern w:val="2"/>
      <w:sz w:val="21"/>
    </w:rPr>
  </w:style>
  <w:style w:type="paragraph" w:customStyle="1" w:styleId="59">
    <w:name w:val="正文格式"/>
    <w:basedOn w:val="1"/>
    <w:qFormat/>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60">
    <w:name w:val="正文文本缩进 2 Char"/>
    <w:basedOn w:val="32"/>
    <w:link w:val="18"/>
    <w:qFormat/>
    <w:uiPriority w:val="0"/>
    <w:rPr>
      <w:rFonts w:ascii="宋体" w:hAnsi="宋体" w:cs="宋体"/>
      <w:sz w:val="22"/>
      <w:szCs w:val="22"/>
      <w:lang w:eastAsia="en-US"/>
    </w:rPr>
  </w:style>
  <w:style w:type="character" w:customStyle="1" w:styleId="61">
    <w:name w:val="结束语 Char"/>
    <w:basedOn w:val="32"/>
    <w:link w:val="12"/>
    <w:qFormat/>
    <w:uiPriority w:val="99"/>
    <w:rPr>
      <w:b/>
      <w:kern w:val="2"/>
      <w:sz w:val="21"/>
    </w:rPr>
  </w:style>
  <w:style w:type="character" w:customStyle="1" w:styleId="62">
    <w:name w:val="正文文本缩进 Char"/>
    <w:basedOn w:val="32"/>
    <w:link w:val="14"/>
    <w:qFormat/>
    <w:uiPriority w:val="0"/>
    <w:rPr>
      <w:rFonts w:ascii="宋体" w:hAnsi="宋体" w:cs="宋体"/>
      <w:sz w:val="22"/>
      <w:szCs w:val="22"/>
      <w:lang w:eastAsia="en-US"/>
    </w:rPr>
  </w:style>
  <w:style w:type="character" w:customStyle="1" w:styleId="63">
    <w:name w:val="批注主题 Char"/>
    <w:basedOn w:val="58"/>
    <w:link w:val="29"/>
    <w:qFormat/>
    <w:uiPriority w:val="0"/>
    <w:rPr>
      <w:b/>
      <w:bCs/>
    </w:rPr>
  </w:style>
  <w:style w:type="character" w:customStyle="1" w:styleId="64">
    <w:name w:val="Book Title"/>
    <w:basedOn w:val="32"/>
    <w:qFormat/>
    <w:uiPriority w:val="33"/>
    <w:rPr>
      <w:b/>
      <w:bCs/>
      <w:smallCaps/>
      <w:spacing w:val="5"/>
    </w:rPr>
  </w:style>
  <w:style w:type="paragraph" w:customStyle="1" w:styleId="65">
    <w:name w:val="xl26"/>
    <w:basedOn w:val="1"/>
    <w:qFormat/>
    <w:uiPriority w:val="0"/>
    <w:pPr>
      <w:widowControl/>
      <w:pBdr>
        <w:bottom w:val="single" w:color="auto" w:sz="4" w:space="0"/>
        <w:right w:val="single" w:color="auto" w:sz="4" w:space="0"/>
      </w:pBdr>
      <w:autoSpaceDE/>
      <w:autoSpaceDN/>
      <w:spacing w:before="100" w:beforeAutospacing="1" w:after="100" w:afterAutospacing="1"/>
      <w:jc w:val="center"/>
    </w:pPr>
    <w:rPr>
      <w:rFonts w:ascii="Times New Roman" w:hAnsi="Times New Roman" w:eastAsia="Arial Unicode MS" w:cs="Times New Roman"/>
      <w:sz w:val="21"/>
      <w:szCs w:val="21"/>
      <w:lang w:eastAsia="zh-CN"/>
    </w:rPr>
  </w:style>
  <w:style w:type="character" w:customStyle="1" w:styleId="66">
    <w:name w:val="文档结构图 Char"/>
    <w:basedOn w:val="32"/>
    <w:link w:val="10"/>
    <w:qFormat/>
    <w:uiPriority w:val="0"/>
    <w:rPr>
      <w:kern w:val="2"/>
      <w:sz w:val="21"/>
      <w:szCs w:val="24"/>
      <w:shd w:val="clear" w:color="auto" w:fill="000080"/>
    </w:rPr>
  </w:style>
  <w:style w:type="paragraph" w:customStyle="1" w:styleId="67">
    <w:name w:val="样式 标题 2 + 宋体 五号 行距: 单倍行距"/>
    <w:basedOn w:val="4"/>
    <w:qFormat/>
    <w:uiPriority w:val="0"/>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68">
    <w:name w:val="Char Char Char Char"/>
    <w:basedOn w:val="1"/>
    <w:qFormat/>
    <w:uiPriority w:val="0"/>
    <w:pPr>
      <w:autoSpaceDE/>
      <w:autoSpaceDN/>
      <w:jc w:val="both"/>
    </w:pPr>
    <w:rPr>
      <w:rFonts w:ascii="Times New Roman" w:hAnsi="Times New Roman" w:eastAsia="Times New Roman" w:cs="Times New Roman"/>
      <w:sz w:val="20"/>
      <w:szCs w:val="20"/>
      <w:lang w:eastAsia="zh-CN"/>
    </w:rPr>
  </w:style>
  <w:style w:type="paragraph" w:customStyle="1" w:styleId="69">
    <w:name w:val="TOC Heading"/>
    <w:basedOn w:val="3"/>
    <w:next w:val="1"/>
    <w:qFormat/>
    <w:uiPriority w:val="39"/>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70">
    <w:name w:val="Char Char Char"/>
    <w:basedOn w:val="1"/>
    <w:qFormat/>
    <w:uiPriority w:val="0"/>
    <w:pPr>
      <w:autoSpaceDE/>
      <w:autoSpaceDN/>
      <w:jc w:val="both"/>
    </w:pPr>
    <w:rPr>
      <w:rFonts w:ascii="Tahoma" w:hAnsi="Tahoma" w:cs="Times New Roman"/>
      <w:kern w:val="2"/>
      <w:sz w:val="24"/>
      <w:szCs w:val="20"/>
      <w:lang w:eastAsia="zh-CN"/>
    </w:rPr>
  </w:style>
  <w:style w:type="paragraph" w:customStyle="1" w:styleId="71">
    <w:name w:val="样式2"/>
    <w:basedOn w:val="1"/>
    <w:qFormat/>
    <w:uiPriority w:val="0"/>
    <w:pPr>
      <w:autoSpaceDE/>
      <w:autoSpaceDN/>
      <w:spacing w:line="360" w:lineRule="auto"/>
      <w:jc w:val="both"/>
    </w:pPr>
    <w:rPr>
      <w:rFonts w:ascii="Times New Roman" w:hAnsi="Times New Roman" w:cs="Times New Roman"/>
      <w:sz w:val="28"/>
      <w:szCs w:val="20"/>
      <w:lang w:eastAsia="zh-CN"/>
    </w:rPr>
  </w:style>
  <w:style w:type="paragraph" w:customStyle="1" w:styleId="72">
    <w:name w:val="默认段落字体 Para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73">
    <w:name w:val="段落样式"/>
    <w:basedOn w:val="1"/>
    <w:qFormat/>
    <w:uiPriority w:val="0"/>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character" w:customStyle="1" w:styleId="74">
    <w:name w:val="正文文本缩进 3 Char"/>
    <w:basedOn w:val="32"/>
    <w:link w:val="24"/>
    <w:qFormat/>
    <w:uiPriority w:val="0"/>
    <w:rPr>
      <w:rFonts w:ascii="宋体" w:hAnsi="宋体"/>
      <w:kern w:val="2"/>
      <w:sz w:val="24"/>
      <w:szCs w:val="24"/>
    </w:rPr>
  </w:style>
  <w:style w:type="paragraph" w:customStyle="1" w:styleId="75">
    <w:name w:val="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76">
    <w:name w:val="font21"/>
    <w:qFormat/>
    <w:uiPriority w:val="0"/>
    <w:rPr>
      <w:rFonts w:hint="eastAsia" w:ascii="宋体" w:hAnsi="宋体" w:eastAsia="宋体" w:cs="宋体"/>
      <w:color w:val="000000"/>
      <w:sz w:val="20"/>
      <w:szCs w:val="20"/>
      <w:u w:val="none"/>
    </w:rPr>
  </w:style>
  <w:style w:type="character" w:customStyle="1" w:styleId="77">
    <w:name w:val="font01"/>
    <w:basedOn w:val="32"/>
    <w:qFormat/>
    <w:uiPriority w:val="0"/>
    <w:rPr>
      <w:rFonts w:hint="eastAsia" w:ascii="宋体" w:hAnsi="宋体" w:eastAsia="宋体" w:cs="宋体"/>
      <w:color w:val="000000"/>
      <w:sz w:val="24"/>
      <w:szCs w:val="24"/>
      <w:u w:val="single"/>
    </w:rPr>
  </w:style>
  <w:style w:type="character" w:customStyle="1" w:styleId="78">
    <w:name w:val="普通文字 Char2"/>
    <w:basedOn w:val="32"/>
    <w:qFormat/>
    <w:uiPriority w:val="99"/>
    <w:rPr>
      <w:rFonts w:ascii="宋体" w:hAnsi="Courier New" w:cs="Courier New"/>
      <w:sz w:val="22"/>
      <w:szCs w:val="21"/>
      <w:lang w:eastAsia="en-US"/>
    </w:rPr>
  </w:style>
  <w:style w:type="character" w:customStyle="1" w:styleId="79">
    <w:name w:val="正文缩进 Char"/>
    <w:link w:val="8"/>
    <w:qFormat/>
    <w:uiPriority w:val="0"/>
    <w:rPr>
      <w:kern w:val="2"/>
      <w:sz w:val="21"/>
    </w:rPr>
  </w:style>
  <w:style w:type="paragraph" w:customStyle="1" w:styleId="80">
    <w:name w:val="TOC 标题1"/>
    <w:basedOn w:val="3"/>
    <w:next w:val="1"/>
    <w:qFormat/>
    <w:uiPriority w:val="39"/>
    <w:pPr>
      <w:keepNext/>
      <w:keepLines/>
      <w:widowControl/>
      <w:autoSpaceDE/>
      <w:autoSpaceDN/>
      <w:spacing w:before="480" w:line="276" w:lineRule="auto"/>
      <w:ind w:left="0"/>
      <w:outlineLvl w:val="9"/>
    </w:pPr>
    <w:rPr>
      <w:rFonts w:ascii="Cambria" w:hAnsi="Cambria" w:cs="Cambria"/>
      <w:color w:val="365F91"/>
      <w:lang w:val="zh-CN" w:eastAsia="zh-CN"/>
    </w:rPr>
  </w:style>
  <w:style w:type="character" w:customStyle="1" w:styleId="81">
    <w:name w:val="样式1 Char"/>
    <w:basedOn w:val="32"/>
    <w:link w:val="51"/>
    <w:qFormat/>
    <w:uiPriority w:val="0"/>
    <w:rPr>
      <w:rFonts w:ascii="宋体"/>
      <w:sz w:val="24"/>
    </w:rPr>
  </w:style>
  <w:style w:type="character" w:customStyle="1" w:styleId="82">
    <w:name w:val="正文1 Char"/>
    <w:basedOn w:val="32"/>
    <w:link w:val="2"/>
    <w:qFormat/>
    <w:locked/>
    <w:uiPriority w:val="0"/>
    <w:rPr>
      <w:rFonts w:ascii="宋体" w:hAnsi="Calibri"/>
      <w:sz w:val="34"/>
      <w:szCs w:val="22"/>
    </w:rPr>
  </w:style>
  <w:style w:type="character" w:customStyle="1" w:styleId="83">
    <w:name w:val="标题 Char"/>
    <w:basedOn w:val="32"/>
    <w:link w:val="28"/>
    <w:qFormat/>
    <w:uiPriority w:val="10"/>
    <w:rPr>
      <w:rFonts w:asciiTheme="majorHAnsi" w:hAnsiTheme="majorHAnsi" w:cstheme="majorBidi"/>
      <w:bCs/>
      <w:kern w:val="2"/>
      <w:sz w:val="24"/>
      <w:szCs w:val="32"/>
    </w:rPr>
  </w:style>
  <w:style w:type="paragraph" w:customStyle="1" w:styleId="8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5">
    <w:name w:val="副标题 Char"/>
    <w:basedOn w:val="32"/>
    <w:link w:val="22"/>
    <w:qFormat/>
    <w:uiPriority w:val="11"/>
    <w:rPr>
      <w:rFonts w:asciiTheme="majorHAnsi" w:hAnsiTheme="majorHAnsi" w:cstheme="majorBidi"/>
      <w:b/>
      <w:bCs/>
      <w:kern w:val="28"/>
      <w:sz w:val="28"/>
      <w:szCs w:val="32"/>
    </w:rPr>
  </w:style>
  <w:style w:type="paragraph" w:customStyle="1" w:styleId="86">
    <w:name w:val="Char Char Char Char Char Char"/>
    <w:basedOn w:val="1"/>
    <w:qFormat/>
    <w:uiPriority w:val="0"/>
    <w:pPr>
      <w:autoSpaceDE/>
      <w:autoSpaceDN/>
      <w:spacing w:line="360" w:lineRule="auto"/>
      <w:ind w:firstLine="200" w:firstLineChars="200"/>
    </w:pPr>
    <w:rPr>
      <w:rFonts w:ascii="Times New Roman" w:hAnsi="Times New Roman" w:cs="Times New Roman"/>
      <w:kern w:val="2"/>
      <w:sz w:val="21"/>
      <w:szCs w:val="21"/>
      <w:lang w:eastAsia="zh-CN"/>
    </w:rPr>
  </w:style>
  <w:style w:type="paragraph" w:customStyle="1" w:styleId="87">
    <w:name w:val="font11"/>
    <w:basedOn w:val="1"/>
    <w:qFormat/>
    <w:uiPriority w:val="0"/>
    <w:pPr>
      <w:widowControl/>
      <w:autoSpaceDE/>
      <w:autoSpaceDN/>
      <w:spacing w:before="100" w:beforeAutospacing="1" w:after="100" w:afterAutospacing="1" w:line="360" w:lineRule="auto"/>
      <w:ind w:firstLine="200" w:firstLineChars="200"/>
    </w:pPr>
    <w:rPr>
      <w:rFonts w:ascii="Times New Roman" w:hAnsi="Times New Roman" w:cs="Times New Roman"/>
      <w:b/>
      <w:bCs/>
      <w:sz w:val="28"/>
      <w:szCs w:val="28"/>
      <w:lang w:eastAsia="zh-CN"/>
    </w:rPr>
  </w:style>
  <w:style w:type="paragraph" w:styleId="88">
    <w:name w:val="No Spacing"/>
    <w:qFormat/>
    <w:uiPriority w:val="1"/>
    <w:pPr>
      <w:widowControl w:val="0"/>
      <w:spacing w:line="360" w:lineRule="auto"/>
    </w:pPr>
    <w:rPr>
      <w:rFonts w:ascii="宋体" w:hAnsi="宋体" w:eastAsia="宋体" w:cs="Times New Roman"/>
      <w:kern w:val="2"/>
      <w:sz w:val="24"/>
      <w:szCs w:val="18"/>
      <w:lang w:val="en-US" w:eastAsia="zh-CN" w:bidi="ar-SA"/>
    </w:rPr>
  </w:style>
  <w:style w:type="character" w:customStyle="1" w:styleId="89">
    <w:name w:val="xdrichtextbox3"/>
    <w:basedOn w:val="32"/>
    <w:qFormat/>
    <w:uiPriority w:val="0"/>
    <w:rPr>
      <w:color w:val="auto"/>
      <w:u w:val="none"/>
      <w:bdr w:val="single" w:color="DCDCDC" w:sz="8" w:space="0"/>
      <w:shd w:val="clear" w:color="auto" w:fill="FFFFFF"/>
    </w:rPr>
  </w:style>
  <w:style w:type="paragraph" w:customStyle="1" w:styleId="90">
    <w:name w:val="列出段落1"/>
    <w:basedOn w:val="1"/>
    <w:qFormat/>
    <w:uiPriority w:val="99"/>
    <w:pPr>
      <w:autoSpaceDE/>
      <w:autoSpaceDN/>
      <w:ind w:firstLine="420" w:firstLineChars="200"/>
      <w:jc w:val="both"/>
    </w:pPr>
    <w:rPr>
      <w:rFonts w:ascii="Times New Roman" w:hAnsi="Times New Roman" w:cs="Times New Roman"/>
      <w:kern w:val="2"/>
      <w:sz w:val="21"/>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2228FC-F868-4476-B6B6-473CCB913D72}">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45</Pages>
  <Words>4657</Words>
  <Characters>26546</Characters>
  <Lines>221</Lines>
  <Paragraphs>62</Paragraphs>
  <TotalTime>249</TotalTime>
  <ScaleCrop>false</ScaleCrop>
  <LinksUpToDate>false</LinksUpToDate>
  <CharactersWithSpaces>31141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2021-08-05T08:10:00Z</dcterms:created>
  <dc:creator>CGC</dc:creator>
  <cp:lastModifiedBy>潘骏</cp:lastModifiedBy>
  <dcterms:modified xsi:type="dcterms:W3CDTF">2021-08-23T07:10:35Z</dcterms:modified>
  <dc:title>公开招标文件（货物服务类）</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2052-11.1.0.10700</vt:lpwstr>
  </property>
  <property fmtid="{D5CDD505-2E9C-101B-9397-08002B2CF9AE}" pid="6" name="ICV">
    <vt:lpwstr>A1BAE33D38F042AA83E20CD51866450D</vt:lpwstr>
  </property>
</Properties>
</file>