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sz w:val="20"/>
          <w:lang w:eastAsia="zh-CN"/>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spacing w:before="5"/>
        <w:rPr>
          <w:rFonts w:ascii="Times New Roman"/>
          <w:sz w:val="20"/>
        </w:rPr>
      </w:pPr>
    </w:p>
    <w:p>
      <w:pPr>
        <w:spacing w:line="788" w:lineRule="exact"/>
        <w:ind w:left="167"/>
        <w:jc w:val="center"/>
        <w:rPr>
          <w:rFonts w:ascii="微软雅黑" w:eastAsia="微软雅黑"/>
          <w:b/>
          <w:sz w:val="52"/>
          <w:lang w:eastAsia="zh-CN"/>
        </w:rPr>
      </w:pPr>
      <w:r>
        <w:rPr>
          <w:rFonts w:hint="eastAsia" w:ascii="微软雅黑" w:eastAsia="微软雅黑"/>
          <w:b/>
          <w:sz w:val="52"/>
          <w:lang w:eastAsia="zh-CN"/>
        </w:rPr>
        <w:t>福建福海创石油化工有限公司</w:t>
      </w:r>
    </w:p>
    <w:p>
      <w:pPr>
        <w:spacing w:before="38"/>
        <w:ind w:left="172"/>
        <w:jc w:val="center"/>
        <w:rPr>
          <w:rFonts w:ascii="微软雅黑" w:eastAsia="微软雅黑"/>
          <w:b/>
          <w:sz w:val="52"/>
          <w:lang w:eastAsia="zh-CN"/>
        </w:rPr>
      </w:pPr>
      <w:r>
        <w:rPr>
          <w:rFonts w:hint="eastAsia" w:ascii="微软雅黑" w:eastAsia="微软雅黑"/>
          <w:b/>
          <w:sz w:val="52"/>
          <w:u w:val="single"/>
          <w:lang w:eastAsia="zh-CN"/>
        </w:rPr>
        <w:t xml:space="preserve">   流量计检定校准服务  </w:t>
      </w:r>
      <w:r>
        <w:rPr>
          <w:rFonts w:hint="eastAsia" w:ascii="微软雅黑" w:eastAsia="微软雅黑"/>
          <w:b/>
          <w:sz w:val="52"/>
          <w:lang w:eastAsia="zh-CN"/>
        </w:rPr>
        <w:t>项目</w:t>
      </w:r>
    </w:p>
    <w:p>
      <w:pPr>
        <w:pStyle w:val="6"/>
        <w:rPr>
          <w:rFonts w:ascii="微软雅黑"/>
          <w:b/>
          <w:sz w:val="68"/>
          <w:lang w:eastAsia="zh-CN"/>
        </w:rPr>
      </w:pPr>
    </w:p>
    <w:p>
      <w:pPr>
        <w:pStyle w:val="6"/>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FHC-PTCG20210813002 </w:t>
      </w:r>
      <w:r>
        <w:rPr>
          <w:rFonts w:hint="eastAsia"/>
          <w:sz w:val="28"/>
          <w:szCs w:val="28"/>
        </w:rPr>
        <w:t>）</w:t>
      </w:r>
    </w:p>
    <w:p>
      <w:pPr>
        <w:pStyle w:val="6"/>
        <w:rPr>
          <w:rFonts w:ascii="微软雅黑"/>
          <w:b/>
          <w:sz w:val="94"/>
          <w:lang w:eastAsia="zh-CN"/>
        </w:rPr>
      </w:pPr>
    </w:p>
    <w:p>
      <w:pPr>
        <w:pStyle w:val="6"/>
        <w:rPr>
          <w:rFonts w:ascii="微软雅黑"/>
          <w:b/>
          <w:sz w:val="94"/>
          <w:lang w:eastAsia="zh-CN"/>
        </w:rPr>
      </w:pPr>
    </w:p>
    <w:p>
      <w:pPr>
        <w:pStyle w:val="6"/>
        <w:spacing w:before="7"/>
        <w:rPr>
          <w:rFonts w:ascii="微软雅黑"/>
          <w:b/>
          <w:sz w:val="74"/>
          <w:lang w:eastAsia="zh-CN"/>
        </w:rPr>
      </w:pPr>
    </w:p>
    <w:p>
      <w:pPr>
        <w:spacing w:line="271" w:lineRule="auto"/>
        <w:ind w:left="2061" w:right="1889"/>
        <w:jc w:val="center"/>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二零二一年八月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6"/>
        <w:rPr>
          <w:rFonts w:ascii="黑体"/>
          <w:sz w:val="20"/>
          <w:lang w:eastAsia="zh-CN"/>
        </w:rPr>
      </w:pPr>
    </w:p>
    <w:p>
      <w:pPr>
        <w:pStyle w:val="6"/>
        <w:rPr>
          <w:rFonts w:ascii="黑体"/>
          <w:sz w:val="20"/>
          <w:lang w:eastAsia="zh-CN"/>
        </w:rPr>
      </w:pPr>
    </w:p>
    <w:p>
      <w:pPr>
        <w:pStyle w:val="6"/>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6"/>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6"/>
        <w:spacing w:before="10"/>
        <w:rPr>
          <w:sz w:val="35"/>
          <w:lang w:eastAsia="zh-CN"/>
        </w:rPr>
      </w:pP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附件一：合同条款</w:t>
      </w: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附件二：发包说明</w:t>
      </w: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附件三：参选文件格式</w:t>
      </w:r>
    </w:p>
    <w:p>
      <w:pPr>
        <w:spacing w:line="360" w:lineRule="auto"/>
        <w:ind w:left="360" w:firstLine="480" w:firstLineChars="200"/>
        <w:rPr>
          <w:sz w:val="24"/>
          <w:szCs w:val="24"/>
          <w:lang w:eastAsia="zh-CN"/>
        </w:rPr>
      </w:pPr>
      <w:r>
        <w:rPr>
          <w:rFonts w:hint="eastAsia"/>
          <w:sz w:val="24"/>
          <w:szCs w:val="24"/>
          <w:lang w:eastAsia="zh-CN"/>
        </w:rPr>
        <w:t>附件1：参选单位企业概况</w:t>
      </w:r>
    </w:p>
    <w:p>
      <w:pPr>
        <w:spacing w:line="360" w:lineRule="auto"/>
        <w:ind w:left="360" w:firstLine="480" w:firstLineChars="200"/>
        <w:rPr>
          <w:color w:val="000000"/>
          <w:sz w:val="24"/>
          <w:szCs w:val="24"/>
          <w:lang w:eastAsia="zh-CN"/>
        </w:rPr>
      </w:pPr>
      <w:r>
        <w:rPr>
          <w:rFonts w:hint="eastAsia"/>
          <w:color w:val="000000"/>
          <w:sz w:val="24"/>
          <w:szCs w:val="24"/>
          <w:lang w:eastAsia="zh-CN"/>
        </w:rPr>
        <w:t>附件2：参选书</w:t>
      </w:r>
    </w:p>
    <w:p>
      <w:pPr>
        <w:spacing w:line="360" w:lineRule="auto"/>
        <w:ind w:left="360" w:firstLine="480" w:firstLineChars="200"/>
        <w:rPr>
          <w:sz w:val="24"/>
          <w:szCs w:val="24"/>
          <w:lang w:eastAsia="zh-CN"/>
        </w:rPr>
      </w:pPr>
      <w:r>
        <w:rPr>
          <w:rFonts w:hint="eastAsia"/>
          <w:color w:val="000000"/>
          <w:sz w:val="24"/>
          <w:szCs w:val="24"/>
          <w:lang w:eastAsia="zh-CN"/>
        </w:rPr>
        <w:t>附件3：法定代表人授权委托书</w:t>
      </w:r>
    </w:p>
    <w:p>
      <w:pPr>
        <w:spacing w:line="360" w:lineRule="auto"/>
        <w:ind w:left="360" w:firstLine="480" w:firstLineChars="200"/>
        <w:rPr>
          <w:color w:val="000000"/>
          <w:sz w:val="24"/>
          <w:szCs w:val="24"/>
          <w:lang w:eastAsia="zh-CN"/>
        </w:rPr>
      </w:pPr>
      <w:r>
        <w:rPr>
          <w:rFonts w:hint="eastAsia"/>
          <w:color w:val="000000"/>
          <w:sz w:val="24"/>
          <w:szCs w:val="24"/>
          <w:lang w:eastAsia="zh-CN"/>
        </w:rPr>
        <w:t>附件4：</w:t>
      </w:r>
      <w:r>
        <w:rPr>
          <w:rFonts w:hint="eastAsia"/>
          <w:sz w:val="24"/>
          <w:szCs w:val="24"/>
          <w:lang w:eastAsia="zh-CN"/>
        </w:rPr>
        <w:t>承诺函</w:t>
      </w:r>
    </w:p>
    <w:p>
      <w:pPr>
        <w:spacing w:line="408" w:lineRule="auto"/>
        <w:ind w:firstLine="840" w:firstLineChars="350"/>
        <w:rPr>
          <w:sz w:val="28"/>
          <w:lang w:eastAsia="zh-CN"/>
        </w:rPr>
        <w:sectPr>
          <w:footerReference r:id="rId3" w:type="default"/>
          <w:pgSz w:w="11910" w:h="16840"/>
          <w:pgMar w:top="1480" w:right="1340" w:bottom="740" w:left="1680" w:header="0" w:footer="551" w:gutter="0"/>
          <w:pgNumType w:start="1"/>
          <w:cols w:space="720" w:num="1"/>
        </w:sectPr>
      </w:pPr>
      <w:r>
        <w:rPr>
          <w:rFonts w:hint="eastAsia"/>
          <w:color w:val="000000"/>
          <w:sz w:val="24"/>
          <w:szCs w:val="24"/>
          <w:lang w:eastAsia="zh-CN"/>
        </w:rPr>
        <w:t>附件5：报价单</w:t>
      </w:r>
    </w:p>
    <w:p>
      <w:pPr>
        <w:tabs>
          <w:tab w:val="left" w:pos="1272"/>
        </w:tabs>
        <w:spacing w:line="360" w:lineRule="auto"/>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6"/>
        <w:spacing w:line="360" w:lineRule="auto"/>
        <w:ind w:left="118" w:right="121" w:firstLine="511"/>
        <w:jc w:val="both"/>
        <w:rPr>
          <w:rFonts w:asciiTheme="majorEastAsia" w:hAnsiTheme="majorEastAsia" w:eastAsiaTheme="majorEastAsia"/>
          <w:lang w:eastAsia="zh-CN"/>
        </w:rPr>
      </w:pPr>
      <w:r>
        <w:rPr>
          <w:rFonts w:hint="eastAsia" w:asciiTheme="majorEastAsia" w:hAnsiTheme="majorEastAsia" w:eastAsiaTheme="majorEastAsia"/>
          <w:bCs/>
          <w:lang w:eastAsia="zh-CN"/>
        </w:rPr>
        <w:t>福建福海创石油化工有限公司就</w:t>
      </w:r>
      <w:r>
        <w:rPr>
          <w:rFonts w:hint="eastAsia" w:asciiTheme="majorEastAsia" w:hAnsiTheme="majorEastAsia" w:eastAsiaTheme="majorEastAsia"/>
          <w:bCs/>
          <w:u w:val="single"/>
          <w:lang w:eastAsia="zh-CN"/>
        </w:rPr>
        <w:t>“流量计检定校准服务项目（项目编号：</w:t>
      </w:r>
      <w:r>
        <w:rPr>
          <w:rFonts w:hint="eastAsia" w:asciiTheme="majorEastAsia" w:hAnsiTheme="majorEastAsia" w:eastAsiaTheme="majorEastAsia"/>
          <w:u w:val="single"/>
          <w:lang w:eastAsia="zh-CN"/>
        </w:rPr>
        <w:t>FHC-PTCG20210813002</w:t>
      </w:r>
      <w:r>
        <w:rPr>
          <w:rFonts w:hint="eastAsia" w:asciiTheme="majorEastAsia" w:hAnsiTheme="majorEastAsia" w:eastAsiaTheme="majorEastAsia"/>
          <w:bCs/>
          <w:u w:val="single"/>
          <w:lang w:eastAsia="zh-CN"/>
        </w:rPr>
        <w:t>）”</w:t>
      </w:r>
      <w:r>
        <w:rPr>
          <w:rFonts w:hint="eastAsia" w:asciiTheme="majorEastAsia" w:hAnsiTheme="majorEastAsia" w:eastAsiaTheme="majorEastAsia"/>
          <w:bCs/>
          <w:lang w:eastAsia="zh-CN"/>
        </w:rPr>
        <w:t>进行国内公开比选，</w:t>
      </w:r>
      <w:r>
        <w:rPr>
          <w:rFonts w:hint="eastAsia" w:asciiTheme="majorEastAsia" w:hAnsiTheme="majorEastAsia" w:eastAsiaTheme="majorEastAsia"/>
          <w:bCs/>
          <w:spacing w:val="-2"/>
          <w:lang w:eastAsia="zh-CN"/>
        </w:rPr>
        <w:t>欢迎国内符合条件的供应商积极参选。</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项目名称：流量计检定校准服务</w:t>
      </w:r>
    </w:p>
    <w:p>
      <w:pPr>
        <w:autoSpaceDE/>
        <w:autoSpaceDN/>
        <w:spacing w:line="360" w:lineRule="auto"/>
        <w:ind w:left="1207" w:leftChars="385" w:hanging="360" w:hanging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比选项目简要说明：1台质量流量计和10台多孔平衡流量计，仪表检定按国家相关法规标准执行并提供检定校准证书。</w:t>
      </w:r>
    </w:p>
    <w:p>
      <w:pPr>
        <w:pStyle w:val="4"/>
        <w:spacing w:line="360" w:lineRule="auto"/>
        <w:ind w:left="0" w:firstLine="828" w:firstLineChars="345"/>
        <w:rPr>
          <w:rFonts w:asciiTheme="majorEastAsia" w:hAnsiTheme="majorEastAsia" w:eastAsiaTheme="majorEastAsia"/>
          <w:b w:val="0"/>
          <w:lang w:eastAsia="zh-CN"/>
        </w:rPr>
      </w:pPr>
      <w:r>
        <w:rPr>
          <w:rFonts w:hint="eastAsia" w:asciiTheme="majorEastAsia" w:hAnsiTheme="majorEastAsia" w:eastAsiaTheme="majorEastAsia"/>
          <w:b w:val="0"/>
          <w:lang w:eastAsia="zh-CN"/>
        </w:rPr>
        <w:t>3. 比选控制价：15万元</w:t>
      </w:r>
    </w:p>
    <w:p>
      <w:pPr>
        <w:pStyle w:val="4"/>
        <w:spacing w:line="360" w:lineRule="auto"/>
        <w:ind w:left="0" w:firstLine="477" w:firstLineChars="198"/>
        <w:rPr>
          <w:rFonts w:asciiTheme="majorEastAsia" w:hAnsiTheme="majorEastAsia" w:eastAsiaTheme="majorEastAsia"/>
          <w:lang w:eastAsia="zh-CN"/>
        </w:rPr>
      </w:pPr>
      <w:r>
        <w:rPr>
          <w:rFonts w:hint="eastAsia" w:asciiTheme="majorEastAsia" w:hAnsiTheme="majorEastAsia" w:eastAsiaTheme="majorEastAsia"/>
          <w:lang w:eastAsia="zh-CN"/>
        </w:rPr>
        <w:t>二、</w:t>
      </w:r>
      <w:r>
        <w:rPr>
          <w:rFonts w:asciiTheme="majorEastAsia" w:hAnsiTheme="majorEastAsia" w:eastAsiaTheme="majorEastAsia"/>
          <w:lang w:eastAsia="zh-CN"/>
        </w:rPr>
        <w:t>参选人资格要求：</w:t>
      </w:r>
    </w:p>
    <w:p>
      <w:pPr>
        <w:snapToGrid w:val="0"/>
        <w:spacing w:line="360" w:lineRule="auto"/>
        <w:ind w:firstLine="840" w:firstLineChars="350"/>
        <w:rPr>
          <w:rFonts w:asciiTheme="majorEastAsia" w:hAnsiTheme="majorEastAsia" w:eastAsiaTheme="majorEastAsia"/>
          <w:snapToGrid w:val="0"/>
          <w:spacing w:val="8"/>
          <w:sz w:val="24"/>
          <w:szCs w:val="24"/>
          <w:lang w:eastAsia="zh-CN"/>
        </w:rPr>
      </w:pPr>
      <w:r>
        <w:rPr>
          <w:rFonts w:hint="eastAsia" w:asciiTheme="majorEastAsia" w:hAnsiTheme="majorEastAsia" w:eastAsiaTheme="majorEastAsia"/>
          <w:sz w:val="24"/>
          <w:szCs w:val="24"/>
          <w:lang w:eastAsia="zh-CN"/>
        </w:rPr>
        <w:t>1、参选人必须具备独立法人资格</w:t>
      </w:r>
      <w:r>
        <w:rPr>
          <w:rFonts w:hint="eastAsia" w:asciiTheme="majorEastAsia" w:hAnsiTheme="majorEastAsia" w:eastAsiaTheme="majorEastAsia"/>
          <w:snapToGrid w:val="0"/>
          <w:spacing w:val="8"/>
          <w:sz w:val="24"/>
          <w:szCs w:val="24"/>
          <w:lang w:eastAsia="zh-CN"/>
        </w:rPr>
        <w:t>、具备有效的企业法人营业执照；</w:t>
      </w:r>
    </w:p>
    <w:p>
      <w:pPr>
        <w:pStyle w:val="18"/>
        <w:snapToGrid w:val="0"/>
        <w:spacing w:before="0" w:line="360" w:lineRule="auto"/>
        <w:ind w:left="84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2、具有省级授权的相应检定项目资质；</w:t>
      </w:r>
    </w:p>
    <w:p>
      <w:pPr>
        <w:pStyle w:val="18"/>
        <w:snapToGrid w:val="0"/>
        <w:spacing w:before="0" w:line="360" w:lineRule="auto"/>
        <w:ind w:left="121" w:leftChars="55" w:firstLine="720" w:firstLine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3、有相应的化工企业计量仪表检定以及大口径流量计检定业绩；</w:t>
      </w:r>
    </w:p>
    <w:p>
      <w:pPr>
        <w:pStyle w:val="18"/>
        <w:snapToGrid w:val="0"/>
        <w:spacing w:before="0" w:line="360" w:lineRule="auto"/>
        <w:ind w:left="121" w:leftChars="55" w:firstLine="720" w:firstLine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w:t>
      </w:r>
      <w:r>
        <w:rPr>
          <w:rFonts w:asciiTheme="majorEastAsia" w:hAnsiTheme="majorEastAsia" w:eastAsiaTheme="majorEastAsia"/>
          <w:sz w:val="24"/>
          <w:szCs w:val="24"/>
          <w:lang w:eastAsia="zh-CN"/>
        </w:rPr>
        <w:t>没有失信黑名单记录（以最高院失信被执行人系统发布信息为准）；</w:t>
      </w:r>
    </w:p>
    <w:p>
      <w:pPr>
        <w:pStyle w:val="18"/>
        <w:snapToGrid w:val="0"/>
        <w:spacing w:before="0" w:line="360" w:lineRule="auto"/>
        <w:ind w:left="121" w:leftChars="55" w:firstLine="720" w:firstLine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18"/>
        <w:snapToGrid w:val="0"/>
        <w:spacing w:before="0" w:line="360" w:lineRule="auto"/>
        <w:ind w:left="121" w:leftChars="55" w:firstLine="720" w:firstLine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w:t>
      </w:r>
      <w:r>
        <w:rPr>
          <w:rFonts w:hint="eastAsia"/>
          <w:sz w:val="24"/>
          <w:lang w:eastAsia="zh-CN"/>
        </w:rPr>
        <w:t>本标不接受联合体投标。</w:t>
      </w:r>
    </w:p>
    <w:p>
      <w:pPr>
        <w:pStyle w:val="18"/>
        <w:autoSpaceDE/>
        <w:autoSpaceDN/>
        <w:spacing w:before="0" w:line="360" w:lineRule="auto"/>
        <w:ind w:left="119" w:leftChars="54"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2021年8月</w:t>
      </w:r>
      <w:r>
        <w:rPr>
          <w:rFonts w:hint="eastAsia" w:asciiTheme="majorEastAsia" w:hAnsiTheme="majorEastAsia" w:eastAsiaTheme="majorEastAsia"/>
          <w:sz w:val="24"/>
          <w:szCs w:val="24"/>
          <w:lang w:val="en-US" w:eastAsia="zh-CN"/>
        </w:rPr>
        <w:t>23</w:t>
      </w:r>
      <w:r>
        <w:rPr>
          <w:rFonts w:hint="eastAsia" w:asciiTheme="majorEastAsia" w:hAnsiTheme="majorEastAsia" w:eastAsiaTheme="majorEastAsia"/>
          <w:sz w:val="24"/>
          <w:szCs w:val="24"/>
          <w:lang w:eastAsia="zh-CN"/>
        </w:rPr>
        <w:t>日至9月</w:t>
      </w:r>
      <w:r>
        <w:rPr>
          <w:rFonts w:hint="eastAsia" w:asciiTheme="majorEastAsia" w:hAnsiTheme="majorEastAsia" w:eastAsiaTheme="majorEastAsia"/>
          <w:sz w:val="24"/>
          <w:szCs w:val="24"/>
          <w:lang w:val="en-US" w:eastAsia="zh-CN"/>
        </w:rPr>
        <w:t>1</w:t>
      </w:r>
      <w:bookmarkStart w:id="10" w:name="_GoBack"/>
      <w:bookmarkEnd w:id="10"/>
      <w:r>
        <w:rPr>
          <w:rFonts w:hint="eastAsia" w:asciiTheme="majorEastAsia" w:hAnsiTheme="majorEastAsia" w:eastAsiaTheme="majorEastAsia"/>
          <w:sz w:val="24"/>
          <w:szCs w:val="24"/>
          <w:lang w:eastAsia="zh-CN"/>
        </w:rPr>
        <w:t>日（共10天）</w:t>
      </w:r>
    </w:p>
    <w:p>
      <w:pPr>
        <w:pStyle w:val="18"/>
        <w:autoSpaceDE/>
        <w:autoSpaceDN/>
        <w:spacing w:before="0" w:line="360" w:lineRule="auto"/>
        <w:ind w:left="832" w:firstLine="0"/>
        <w:jc w:val="both"/>
        <w:rPr>
          <w:rFonts w:asciiTheme="majorEastAsia" w:hAnsiTheme="majorEastAsia" w:eastAsiaTheme="majorEastAsia"/>
          <w:b/>
          <w:bCs/>
          <w:sz w:val="24"/>
          <w:szCs w:val="24"/>
          <w:lang w:eastAsia="zh-CN"/>
        </w:rPr>
      </w:pPr>
      <w:r>
        <w:rPr>
          <w:rFonts w:hint="eastAsia" w:asciiTheme="majorEastAsia" w:hAnsiTheme="majorEastAsia" w:eastAsiaTheme="majorEastAsia"/>
          <w:bCs/>
          <w:sz w:val="24"/>
          <w:szCs w:val="24"/>
          <w:lang w:eastAsia="zh-CN"/>
        </w:rPr>
        <w:t>2. 报名方式：邮件报名（须同时提交盖公章的法定代表人授权书及营业执照扫描件），邮件发至：</w:t>
      </w:r>
      <w:r>
        <w:fldChar w:fldCharType="begin"/>
      </w:r>
      <w:r>
        <w:instrText xml:space="preserve"> HYPERLINK "mailto:hzji@fhcpec.com.cn" </w:instrText>
      </w:r>
      <w:r>
        <w:fldChar w:fldCharType="separate"/>
      </w:r>
      <w:r>
        <w:rPr>
          <w:rStyle w:val="15"/>
          <w:rFonts w:hint="eastAsia" w:asciiTheme="majorEastAsia" w:hAnsiTheme="majorEastAsia" w:eastAsiaTheme="majorEastAsia"/>
          <w:bCs/>
          <w:sz w:val="24"/>
          <w:szCs w:val="24"/>
          <w:lang w:eastAsia="zh-CN"/>
        </w:rPr>
        <w:t>hzji@fhcpec.com.cn</w:t>
      </w:r>
      <w:r>
        <w:rPr>
          <w:rStyle w:val="15"/>
          <w:rFonts w:hint="eastAsia" w:asciiTheme="majorEastAsia" w:hAnsiTheme="majorEastAsia" w:eastAsiaTheme="majorEastAsia"/>
          <w:bCs/>
          <w:sz w:val="24"/>
          <w:szCs w:val="24"/>
          <w:lang w:eastAsia="zh-CN"/>
        </w:rPr>
        <w:fldChar w:fldCharType="end"/>
      </w:r>
      <w:r>
        <w:rPr>
          <w:rFonts w:hint="eastAsia"/>
          <w:lang w:eastAsia="zh-CN"/>
        </w:rPr>
        <w:t>，</w:t>
      </w:r>
      <w:r>
        <w:rPr>
          <w:rFonts w:hint="eastAsia" w:asciiTheme="majorEastAsia" w:hAnsiTheme="majorEastAsia" w:eastAsiaTheme="majorEastAsia"/>
          <w:bCs/>
          <w:sz w:val="24"/>
          <w:szCs w:val="24"/>
          <w:lang w:eastAsia="zh-CN"/>
        </w:rPr>
        <w:t>未报名的参选人不能参加本项目比选。</w:t>
      </w:r>
    </w:p>
    <w:p>
      <w:pPr>
        <w:pStyle w:val="18"/>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递交截止时间：报名截止时间延后2天</w:t>
      </w:r>
    </w:p>
    <w:p>
      <w:pPr>
        <w:pStyle w:val="18"/>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联系方式</w:t>
      </w:r>
    </w:p>
    <w:p>
      <w:pPr>
        <w:pStyle w:val="5"/>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 xml:space="preserve">商务联系人：纪先生  电话：0596-6311823  </w:t>
      </w:r>
    </w:p>
    <w:p>
      <w:pPr>
        <w:pStyle w:val="5"/>
        <w:snapToGrid w:val="0"/>
        <w:spacing w:line="360" w:lineRule="auto"/>
        <w:ind w:left="411" w:leftChars="187" w:firstLine="2880" w:firstLineChars="1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邮箱：hzji@fhcpec.com.cn</w:t>
      </w:r>
    </w:p>
    <w:p>
      <w:pPr>
        <w:pStyle w:val="5"/>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 xml:space="preserve">纪检监察室电话：0596-6311774  </w:t>
      </w:r>
    </w:p>
    <w:p>
      <w:pPr>
        <w:pStyle w:val="5"/>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pStyle w:val="5"/>
        <w:snapToGrid w:val="0"/>
        <w:spacing w:line="360" w:lineRule="auto"/>
        <w:ind w:left="412" w:firstLine="480" w:firstLineChars="200"/>
        <w:rPr>
          <w:rFonts w:asciiTheme="majorEastAsia" w:hAnsiTheme="majorEastAsia" w:eastAsiaTheme="majorEastAsia"/>
          <w:sz w:val="24"/>
          <w:szCs w:val="24"/>
        </w:rPr>
      </w:pPr>
      <w:r>
        <w:rPr>
          <w:rFonts w:hint="eastAsia" w:cs="宋体" w:asciiTheme="majorEastAsia" w:hAnsiTheme="majorEastAsia" w:eastAsiaTheme="majorEastAsia"/>
          <w:bCs/>
          <w:sz w:val="24"/>
          <w:szCs w:val="24"/>
        </w:rPr>
        <w:t>邮    编：363216</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spacing w:line="360" w:lineRule="auto"/>
        <w:ind w:firstLine="5160" w:firstLineChars="2150"/>
        <w:rPr>
          <w:sz w:val="24"/>
          <w:szCs w:val="24"/>
          <w:lang w:eastAsia="zh-CN"/>
        </w:rPr>
      </w:pPr>
      <w:r>
        <w:rPr>
          <w:rFonts w:hint="eastAsia"/>
          <w:sz w:val="24"/>
          <w:szCs w:val="24"/>
          <w:lang w:eastAsia="zh-CN"/>
        </w:rPr>
        <w:t xml:space="preserve">2021.08.23 </w:t>
      </w: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line="360" w:lineRule="auto"/>
        <w:ind w:left="680"/>
        <w:rPr>
          <w:b/>
          <w:sz w:val="24"/>
          <w:szCs w:val="24"/>
          <w:lang w:eastAsia="zh-CN"/>
        </w:rPr>
      </w:pPr>
      <w:r>
        <w:rPr>
          <w:b/>
          <w:w w:val="95"/>
          <w:sz w:val="24"/>
          <w:szCs w:val="24"/>
          <w:lang w:eastAsia="zh-CN"/>
        </w:rPr>
        <w:t>一、比选内容</w:t>
      </w:r>
    </w:p>
    <w:p>
      <w:pPr>
        <w:pStyle w:val="6"/>
        <w:spacing w:line="360" w:lineRule="auto"/>
        <w:ind w:left="598"/>
        <w:rPr>
          <w:lang w:eastAsia="zh-CN"/>
        </w:rPr>
      </w:pPr>
      <w:r>
        <w:rPr>
          <w:lang w:eastAsia="zh-CN"/>
        </w:rPr>
        <w:t>(一)</w:t>
      </w:r>
      <w:r>
        <w:rPr>
          <w:rFonts w:hint="eastAsia"/>
          <w:lang w:eastAsia="zh-CN"/>
        </w:rPr>
        <w:t>服务</w:t>
      </w:r>
      <w:r>
        <w:rPr>
          <w:lang w:eastAsia="zh-CN"/>
        </w:rPr>
        <w:t>名称：</w:t>
      </w:r>
      <w:r>
        <w:rPr>
          <w:rFonts w:hint="eastAsia"/>
          <w:u w:val="single"/>
          <w:lang w:eastAsia="zh-CN"/>
        </w:rPr>
        <w:t>流量计检定校准项目</w:t>
      </w:r>
      <w:r>
        <w:rPr>
          <w:lang w:eastAsia="zh-CN"/>
        </w:rPr>
        <w:t>。</w:t>
      </w:r>
    </w:p>
    <w:p>
      <w:pPr>
        <w:pStyle w:val="6"/>
        <w:spacing w:line="360" w:lineRule="auto"/>
        <w:ind w:left="598"/>
        <w:rPr>
          <w:lang w:eastAsia="zh-CN"/>
        </w:rPr>
      </w:pPr>
      <w:r>
        <w:rPr>
          <w:lang w:eastAsia="zh-CN"/>
        </w:rPr>
        <w:t>(二)</w:t>
      </w:r>
      <w:r>
        <w:rPr>
          <w:rFonts w:hint="eastAsia"/>
          <w:lang w:eastAsia="zh-CN"/>
        </w:rPr>
        <w:t>服务</w:t>
      </w:r>
      <w:r>
        <w:rPr>
          <w:lang w:eastAsia="zh-CN"/>
        </w:rPr>
        <w:t>地点：</w:t>
      </w:r>
      <w:r>
        <w:rPr>
          <w:rFonts w:hint="eastAsia"/>
          <w:lang w:eastAsia="zh-CN"/>
        </w:rPr>
        <w:t>福建漳州古雷经济开发区腾龙路84号</w:t>
      </w:r>
    </w:p>
    <w:p>
      <w:pPr>
        <w:pStyle w:val="6"/>
        <w:spacing w:line="360" w:lineRule="auto"/>
        <w:ind w:left="595"/>
        <w:rPr>
          <w:lang w:eastAsia="zh-CN"/>
        </w:rPr>
      </w:pPr>
      <w:r>
        <w:rPr>
          <w:lang w:eastAsia="zh-CN"/>
        </w:rPr>
        <w:t>(三)</w:t>
      </w:r>
      <w:r>
        <w:rPr>
          <w:rFonts w:hint="eastAsia"/>
          <w:lang w:eastAsia="zh-CN"/>
        </w:rPr>
        <w:t>服务方式：检定校准技术服务。</w:t>
      </w:r>
    </w:p>
    <w:p>
      <w:pPr>
        <w:pStyle w:val="6"/>
        <w:spacing w:line="360" w:lineRule="auto"/>
        <w:ind w:left="598"/>
        <w:rPr>
          <w:lang w:eastAsia="zh-CN"/>
        </w:rPr>
      </w:pPr>
      <w:r>
        <w:rPr>
          <w:lang w:eastAsia="zh-CN"/>
        </w:rPr>
        <w:t>(</w:t>
      </w:r>
      <w:r>
        <w:rPr>
          <w:rFonts w:hint="eastAsia"/>
          <w:lang w:eastAsia="zh-CN"/>
        </w:rPr>
        <w:t>四</w:t>
      </w:r>
      <w:r>
        <w:rPr>
          <w:lang w:eastAsia="zh-CN"/>
        </w:rPr>
        <w:t>)比选范围：</w:t>
      </w:r>
    </w:p>
    <w:p>
      <w:pPr>
        <w:spacing w:line="360" w:lineRule="auto"/>
        <w:ind w:firstLine="480" w:firstLineChars="200"/>
        <w:rPr>
          <w:sz w:val="24"/>
          <w:szCs w:val="24"/>
          <w:lang w:eastAsia="zh-CN"/>
        </w:rPr>
      </w:pPr>
      <w:r>
        <w:rPr>
          <w:rFonts w:hint="eastAsia"/>
          <w:sz w:val="24"/>
          <w:szCs w:val="24"/>
          <w:lang w:eastAsia="zh-CN"/>
        </w:rPr>
        <w:t>1.服务范围：</w:t>
      </w:r>
      <w:r>
        <w:rPr>
          <w:rFonts w:hint="eastAsia"/>
          <w:sz w:val="24"/>
          <w:szCs w:val="24"/>
          <w:u w:val="single"/>
          <w:lang w:eastAsia="zh-CN"/>
        </w:rPr>
        <w:t>福海创石油化工有限公司厂区</w:t>
      </w:r>
    </w:p>
    <w:p>
      <w:pPr>
        <w:spacing w:line="360" w:lineRule="auto"/>
        <w:ind w:firstLine="480" w:firstLineChars="200"/>
        <w:rPr>
          <w:sz w:val="24"/>
          <w:szCs w:val="24"/>
          <w:lang w:eastAsia="zh-CN"/>
        </w:rPr>
      </w:pPr>
      <w:r>
        <w:rPr>
          <w:rFonts w:hint="eastAsia"/>
          <w:sz w:val="24"/>
          <w:szCs w:val="24"/>
          <w:lang w:eastAsia="zh-CN"/>
        </w:rPr>
        <w:t>2.工作内容：</w:t>
      </w:r>
      <w:r>
        <w:rPr>
          <w:rFonts w:hint="eastAsia"/>
          <w:sz w:val="24"/>
          <w:szCs w:val="24"/>
          <w:u w:val="single"/>
          <w:lang w:eastAsia="zh-CN"/>
        </w:rPr>
        <w:t>11台流量计检定校准，见附件三 “报价表”。</w:t>
      </w:r>
    </w:p>
    <w:p>
      <w:pPr>
        <w:spacing w:line="360" w:lineRule="auto"/>
        <w:ind w:firstLine="600" w:firstLineChars="250"/>
        <w:rPr>
          <w:sz w:val="24"/>
          <w:szCs w:val="24"/>
          <w:lang w:eastAsia="zh-CN"/>
        </w:rPr>
      </w:pPr>
      <w:r>
        <w:rPr>
          <w:rFonts w:hint="eastAsia"/>
          <w:sz w:val="24"/>
          <w:szCs w:val="24"/>
          <w:lang w:eastAsia="zh-CN"/>
        </w:rPr>
        <w:t>(五)服务质量：流量计检定校准合格，出具检定校准报告。</w:t>
      </w:r>
    </w:p>
    <w:p>
      <w:pPr>
        <w:pStyle w:val="6"/>
        <w:spacing w:line="360" w:lineRule="auto"/>
        <w:ind w:right="222" w:firstLine="480" w:firstLineChars="200"/>
        <w:rPr>
          <w:lang w:eastAsia="zh-CN"/>
        </w:rPr>
      </w:pPr>
      <w:r>
        <w:rPr>
          <w:rFonts w:hint="eastAsia"/>
          <w:lang w:eastAsia="zh-CN"/>
        </w:rPr>
        <w:t>（六）服务要求</w:t>
      </w:r>
      <w:r>
        <w:rPr>
          <w:lang w:eastAsia="zh-CN"/>
        </w:rPr>
        <w:t>：</w:t>
      </w:r>
      <w:r>
        <w:rPr>
          <w:rFonts w:hint="eastAsia"/>
          <w:lang w:eastAsia="zh-CN"/>
        </w:rPr>
        <w:t>11台流量计检定校准合格。合同期限届满，乙方尚未完成的服务，仍应按照本合同约定履行。</w:t>
      </w:r>
    </w:p>
    <w:p>
      <w:pPr>
        <w:pStyle w:val="6"/>
        <w:spacing w:line="360" w:lineRule="auto"/>
        <w:ind w:right="222" w:firstLine="482" w:firstLineChars="200"/>
        <w:rPr>
          <w:lang w:eastAsia="zh-CN"/>
        </w:rPr>
      </w:pPr>
      <w:r>
        <w:rPr>
          <w:rFonts w:hint="eastAsia" w:asciiTheme="majorEastAsia" w:hAnsiTheme="majorEastAsia" w:eastAsiaTheme="majorEastAsia"/>
          <w:b/>
          <w:bCs/>
          <w:lang w:eastAsia="zh-CN"/>
        </w:rPr>
        <w:t>备注：参选人必须对同一个合同包中的全部货物与服务进行投标，不得仅对合同包中的部分货物或服务进行投标，否则其投标文件将被拒绝。</w:t>
      </w:r>
    </w:p>
    <w:p>
      <w:pPr>
        <w:pStyle w:val="3"/>
        <w:spacing w:line="360" w:lineRule="auto"/>
        <w:ind w:left="680"/>
        <w:rPr>
          <w:sz w:val="24"/>
          <w:szCs w:val="24"/>
          <w:lang w:eastAsia="zh-CN"/>
        </w:rPr>
      </w:pPr>
      <w:r>
        <w:rPr>
          <w:w w:val="95"/>
          <w:sz w:val="24"/>
          <w:szCs w:val="24"/>
          <w:lang w:eastAsia="zh-CN"/>
        </w:rPr>
        <w:t>二、定义和解释</w:t>
      </w:r>
    </w:p>
    <w:p>
      <w:pPr>
        <w:pStyle w:val="6"/>
        <w:spacing w:line="360" w:lineRule="auto"/>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6"/>
        <w:spacing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6"/>
        <w:spacing w:line="360" w:lineRule="auto"/>
        <w:ind w:left="118" w:right="222" w:firstLine="480"/>
        <w:rPr>
          <w:spacing w:val="-10"/>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三</w:t>
      </w:r>
      <w:r>
        <w:rPr>
          <w:spacing w:val="-10"/>
          <w:lang w:eastAsia="zh-CN"/>
        </w:rPr>
        <w:t>。</w:t>
      </w:r>
    </w:p>
    <w:p>
      <w:pPr>
        <w:pStyle w:val="6"/>
        <w:spacing w:line="360" w:lineRule="auto"/>
        <w:ind w:left="118" w:right="222" w:firstLine="480"/>
        <w:rPr>
          <w:lang w:eastAsia="zh-CN"/>
        </w:rPr>
      </w:pPr>
      <w:r>
        <w:rPr>
          <w:rFonts w:hint="eastAsia"/>
          <w:spacing w:val="-10"/>
          <w:lang w:eastAsia="zh-CN"/>
        </w:rPr>
        <w:t>4.</w:t>
      </w:r>
      <w:r>
        <w:rPr>
          <w:rFonts w:hint="eastAsia"/>
          <w:lang w:eastAsia="zh-CN"/>
        </w:rPr>
        <w:t xml:space="preserve"> “服务”系指比选文件规定参选人为完成全部合同义务须承担的所有工作及其他类似的义务。</w:t>
      </w:r>
    </w:p>
    <w:p>
      <w:pPr>
        <w:pStyle w:val="3"/>
        <w:spacing w:line="360" w:lineRule="auto"/>
        <w:rPr>
          <w:sz w:val="24"/>
          <w:szCs w:val="24"/>
          <w:lang w:eastAsia="zh-CN"/>
        </w:rPr>
      </w:pPr>
      <w:r>
        <w:rPr>
          <w:w w:val="95"/>
          <w:sz w:val="24"/>
          <w:szCs w:val="24"/>
          <w:lang w:eastAsia="zh-CN"/>
        </w:rPr>
        <w:t>三、比选文件组成</w:t>
      </w:r>
    </w:p>
    <w:p>
      <w:pPr>
        <w:pStyle w:val="6"/>
        <w:spacing w:line="360" w:lineRule="auto"/>
        <w:ind w:firstLine="480" w:firstLineChars="200"/>
        <w:rPr>
          <w:lang w:eastAsia="zh-CN"/>
        </w:rPr>
      </w:pPr>
      <w:r>
        <w:rPr>
          <w:lang w:eastAsia="zh-CN"/>
        </w:rPr>
        <w:t>1.比选文件包括下列内容：</w:t>
      </w:r>
    </w:p>
    <w:p>
      <w:pPr>
        <w:pStyle w:val="6"/>
        <w:spacing w:line="360" w:lineRule="auto"/>
        <w:ind w:left="598"/>
        <w:rPr>
          <w:lang w:eastAsia="zh-CN"/>
        </w:rPr>
      </w:pPr>
      <w:r>
        <w:rPr>
          <w:lang w:eastAsia="zh-CN"/>
        </w:rPr>
        <w:t>比选公告、比选须知、项目内容、合同书格式、报价单、承诺函等。</w:t>
      </w:r>
    </w:p>
    <w:p>
      <w:pPr>
        <w:pStyle w:val="6"/>
        <w:spacing w:line="360" w:lineRule="auto"/>
        <w:ind w:right="212" w:firstLine="480" w:firstLineChars="200"/>
        <w:rPr>
          <w:lang w:eastAsia="zh-CN"/>
        </w:rPr>
      </w:pPr>
      <w:r>
        <w:rPr>
          <w:lang w:eastAsia="zh-CN"/>
        </w:rPr>
        <w:t>2.比选文件除 1 中内容外，比选人在比选期间发出的书面文件和其他修改或补充函件，均是比选文件不可分割的组成部分。</w:t>
      </w:r>
    </w:p>
    <w:p>
      <w:pPr>
        <w:pStyle w:val="6"/>
        <w:spacing w:line="360" w:lineRule="auto"/>
        <w:ind w:firstLine="480" w:firstLineChars="200"/>
        <w:rPr>
          <w:spacing w:val="-10"/>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pPr>
        <w:pStyle w:val="3"/>
        <w:spacing w:line="360" w:lineRule="auto"/>
        <w:ind w:left="680"/>
        <w:rPr>
          <w:sz w:val="24"/>
          <w:szCs w:val="24"/>
          <w:lang w:eastAsia="zh-CN"/>
        </w:rPr>
      </w:pPr>
      <w:r>
        <w:rPr>
          <w:w w:val="95"/>
          <w:sz w:val="24"/>
          <w:szCs w:val="24"/>
          <w:lang w:eastAsia="zh-CN"/>
        </w:rPr>
        <w:t>四、比选文件的澄清</w:t>
      </w:r>
    </w:p>
    <w:p>
      <w:pPr>
        <w:pStyle w:val="6"/>
        <w:spacing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line="360" w:lineRule="auto"/>
        <w:rPr>
          <w:sz w:val="24"/>
          <w:szCs w:val="24"/>
          <w:lang w:eastAsia="zh-CN"/>
        </w:rPr>
      </w:pPr>
      <w:r>
        <w:rPr>
          <w:w w:val="95"/>
          <w:sz w:val="24"/>
          <w:szCs w:val="24"/>
          <w:lang w:eastAsia="zh-CN"/>
        </w:rPr>
        <w:t>五、比选文件的修改、补充</w:t>
      </w:r>
    </w:p>
    <w:p>
      <w:pPr>
        <w:pStyle w:val="6"/>
        <w:spacing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6"/>
        <w:spacing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6"/>
        <w:spacing w:line="360" w:lineRule="auto"/>
        <w:ind w:left="598"/>
        <w:rPr>
          <w:lang w:eastAsia="zh-CN"/>
        </w:rPr>
      </w:pPr>
      <w:r>
        <w:rPr>
          <w:lang w:eastAsia="zh-CN"/>
        </w:rPr>
        <w:t>3.比选文件的修改书将构成比选文件的一部分，对参选人具有约束作用。</w:t>
      </w:r>
    </w:p>
    <w:p>
      <w:pPr>
        <w:pStyle w:val="3"/>
        <w:spacing w:line="360" w:lineRule="auto"/>
        <w:rPr>
          <w:sz w:val="24"/>
          <w:szCs w:val="24"/>
          <w:lang w:eastAsia="zh-CN"/>
        </w:rPr>
      </w:pPr>
      <w:r>
        <w:rPr>
          <w:w w:val="95"/>
          <w:sz w:val="24"/>
          <w:szCs w:val="24"/>
          <w:lang w:eastAsia="zh-CN"/>
        </w:rPr>
        <w:t>六、参选人资格</w:t>
      </w:r>
    </w:p>
    <w:p>
      <w:pPr>
        <w:snapToGrid w:val="0"/>
        <w:spacing w:line="360" w:lineRule="auto"/>
        <w:ind w:firstLine="600" w:firstLineChars="250"/>
        <w:rPr>
          <w:rFonts w:asciiTheme="majorEastAsia" w:hAnsiTheme="majorEastAsia" w:eastAsiaTheme="majorEastAsia"/>
          <w:snapToGrid w:val="0"/>
          <w:spacing w:val="8"/>
          <w:sz w:val="24"/>
          <w:szCs w:val="24"/>
          <w:lang w:eastAsia="zh-CN"/>
        </w:rPr>
      </w:pPr>
      <w:r>
        <w:rPr>
          <w:rFonts w:hint="eastAsia" w:asciiTheme="majorEastAsia" w:hAnsiTheme="majorEastAsia" w:eastAsiaTheme="majorEastAsia"/>
          <w:sz w:val="24"/>
          <w:szCs w:val="24"/>
          <w:lang w:eastAsia="zh-CN"/>
        </w:rPr>
        <w:t>1、参选人必须具备独立法人资格</w:t>
      </w:r>
      <w:r>
        <w:rPr>
          <w:rFonts w:hint="eastAsia" w:asciiTheme="majorEastAsia" w:hAnsiTheme="majorEastAsia" w:eastAsiaTheme="majorEastAsia"/>
          <w:snapToGrid w:val="0"/>
          <w:spacing w:val="8"/>
          <w:sz w:val="24"/>
          <w:szCs w:val="24"/>
          <w:lang w:eastAsia="zh-CN"/>
        </w:rPr>
        <w:t>、具备有效的企业法人营业执照；</w:t>
      </w:r>
    </w:p>
    <w:p>
      <w:pPr>
        <w:snapToGrid w:val="0"/>
        <w:spacing w:line="360" w:lineRule="auto"/>
        <w:ind w:firstLine="600" w:firstLineChars="2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2、具有省级授权的相应检定项目资质；</w:t>
      </w:r>
    </w:p>
    <w:p>
      <w:pPr>
        <w:snapToGrid w:val="0"/>
        <w:spacing w:line="360" w:lineRule="auto"/>
        <w:ind w:firstLine="600" w:firstLineChars="2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3、有相应的化工企业计量仪表检定以及大口径流量计检定业绩；</w:t>
      </w:r>
    </w:p>
    <w:p>
      <w:pPr>
        <w:snapToGrid w:val="0"/>
        <w:spacing w:line="360" w:lineRule="auto"/>
        <w:ind w:firstLine="600" w:firstLineChars="2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w:t>
      </w:r>
      <w:r>
        <w:rPr>
          <w:rFonts w:asciiTheme="majorEastAsia" w:hAnsiTheme="majorEastAsia" w:eastAsiaTheme="majorEastAsia"/>
          <w:sz w:val="24"/>
          <w:szCs w:val="24"/>
          <w:lang w:eastAsia="zh-CN"/>
        </w:rPr>
        <w:t>没有失信黑名单记录（以最高院失信被执行人系统发布信息为准）；</w:t>
      </w:r>
    </w:p>
    <w:p>
      <w:pPr>
        <w:snapToGrid w:val="0"/>
        <w:spacing w:line="360" w:lineRule="auto"/>
        <w:ind w:firstLine="600" w:firstLineChars="2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snapToGrid w:val="0"/>
        <w:spacing w:line="360" w:lineRule="auto"/>
        <w:ind w:firstLine="600" w:firstLineChars="2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w:t>
      </w:r>
      <w:r>
        <w:rPr>
          <w:rFonts w:hint="eastAsia"/>
          <w:sz w:val="24"/>
          <w:lang w:eastAsia="zh-CN"/>
        </w:rPr>
        <w:t>本标不接受联合体投标。</w:t>
      </w:r>
    </w:p>
    <w:p>
      <w:pPr>
        <w:pStyle w:val="3"/>
        <w:spacing w:line="360" w:lineRule="auto"/>
        <w:rPr>
          <w:sz w:val="24"/>
          <w:szCs w:val="24"/>
          <w:lang w:eastAsia="zh-CN"/>
        </w:rPr>
      </w:pPr>
      <w:r>
        <w:rPr>
          <w:w w:val="95"/>
          <w:sz w:val="24"/>
          <w:szCs w:val="24"/>
          <w:lang w:eastAsia="zh-CN"/>
        </w:rPr>
        <w:t>七、参选保证金</w:t>
      </w:r>
    </w:p>
    <w:p>
      <w:pPr>
        <w:widowControl/>
        <w:autoSpaceDE/>
        <w:autoSpaceDN/>
        <w:spacing w:line="360" w:lineRule="auto"/>
        <w:ind w:firstLine="600" w:firstLineChars="25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1、参选保证金的金额为：人民币叁仟元整（3000.00元）；</w:t>
      </w:r>
    </w:p>
    <w:p>
      <w:pPr>
        <w:widowControl/>
        <w:autoSpaceDE/>
        <w:autoSpaceDN/>
        <w:spacing w:line="360" w:lineRule="auto"/>
        <w:ind w:firstLine="600" w:firstLineChars="25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600" w:firstLineChars="25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应从参选人基本账户以电汇或银行转账方式提交（以款项到达时间为准），并在电汇或银行转账单上注明为本项目的参选保证金；</w:t>
      </w:r>
    </w:p>
    <w:p>
      <w:pPr>
        <w:widowControl/>
        <w:autoSpaceDE/>
        <w:autoSpaceDN/>
        <w:spacing w:line="360" w:lineRule="auto"/>
        <w:ind w:firstLine="600" w:firstLineChars="25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600" w:firstLineChars="25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开户名称：福建福海创石油化工有限公司 </w:t>
      </w:r>
    </w:p>
    <w:p>
      <w:pPr>
        <w:widowControl/>
        <w:autoSpaceDE/>
        <w:autoSpaceDN/>
        <w:spacing w:line="360" w:lineRule="auto"/>
        <w:ind w:firstLine="600" w:firstLineChars="25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w:t>
      </w:r>
      <w:r>
        <w:rPr>
          <w:rFonts w:hint="eastAsia"/>
          <w:sz w:val="24"/>
          <w:szCs w:val="24"/>
          <w:lang w:eastAsia="zh-CN"/>
        </w:rPr>
        <w:t>中国银行股份有限公司漳州古雷经济开发区支行</w:t>
      </w:r>
    </w:p>
    <w:p>
      <w:pPr>
        <w:widowControl/>
        <w:autoSpaceDE/>
        <w:autoSpaceDN/>
        <w:spacing w:line="360" w:lineRule="auto"/>
        <w:ind w:firstLine="600" w:firstLineChars="25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406574816628</w:t>
      </w:r>
    </w:p>
    <w:p>
      <w:pPr>
        <w:widowControl/>
        <w:autoSpaceDE/>
        <w:autoSpaceDN/>
        <w:spacing w:line="360" w:lineRule="auto"/>
        <w:ind w:firstLine="600" w:firstLineChars="25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流量计检定校准项目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600" w:firstLineChars="25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6"/>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5.对于未能按要求提交保证金的参选文件，比选单位可以视为不符合上面比选要求而予以拒绝；</w:t>
      </w:r>
    </w:p>
    <w:p>
      <w:pPr>
        <w:pStyle w:val="6"/>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6.</w:t>
      </w:r>
      <w:r>
        <w:rPr>
          <w:rFonts w:hint="eastAsia" w:asciiTheme="majorEastAsia" w:hAnsiTheme="majorEastAsia" w:eastAsiaTheme="majorEastAsia"/>
          <w:spacing w:val="8"/>
          <w:lang w:eastAsia="zh-CN"/>
        </w:rPr>
        <w:t xml:space="preserve"> 本项目比选结束后，未中选的参选人其所递交的参选保证金将于本项目合同签订后退回至参选人</w:t>
      </w:r>
      <w:r>
        <w:rPr>
          <w:rFonts w:hint="eastAsia" w:asciiTheme="majorEastAsia" w:hAnsiTheme="majorEastAsia" w:eastAsiaTheme="majorEastAsia"/>
          <w:lang w:eastAsia="zh-CN"/>
        </w:rPr>
        <w:t>基本账户</w:t>
      </w:r>
      <w:r>
        <w:rPr>
          <w:rFonts w:hint="eastAsia" w:asciiTheme="majorEastAsia" w:hAnsiTheme="majorEastAsia" w:eastAsiaTheme="majorEastAsia"/>
          <w:spacing w:val="8"/>
          <w:lang w:eastAsia="zh-CN"/>
        </w:rPr>
        <w:t>（无息）</w:t>
      </w:r>
      <w:r>
        <w:rPr>
          <w:rFonts w:hint="eastAsia" w:asciiTheme="majorEastAsia" w:hAnsiTheme="majorEastAsia" w:eastAsiaTheme="majorEastAsia"/>
          <w:lang w:eastAsia="zh-CN"/>
        </w:rPr>
        <w:t>；</w:t>
      </w:r>
    </w:p>
    <w:p>
      <w:pPr>
        <w:pStyle w:val="6"/>
        <w:spacing w:line="360" w:lineRule="auto"/>
        <w:ind w:right="121" w:firstLine="480" w:firstLineChars="200"/>
        <w:jc w:val="both"/>
        <w:rPr>
          <w:rFonts w:asciiTheme="majorEastAsia" w:hAnsiTheme="majorEastAsia" w:eastAsiaTheme="majorEastAsia"/>
          <w:color w:val="000000" w:themeColor="text1"/>
          <w:lang w:eastAsia="zh-CN"/>
        </w:rPr>
      </w:pPr>
      <w:r>
        <w:rPr>
          <w:rFonts w:hint="eastAsia" w:asciiTheme="majorEastAsia" w:hAnsiTheme="majorEastAsia" w:eastAsiaTheme="majorEastAsia"/>
          <w:lang w:eastAsia="zh-CN"/>
        </w:rPr>
        <w:t>7.中选者的参选保证金（无息），将在合同签订后自动转为履约保证金，将于合同周期完成后1</w:t>
      </w:r>
      <w:r>
        <w:rPr>
          <w:rFonts w:asciiTheme="majorEastAsia" w:hAnsiTheme="majorEastAsia" w:eastAsiaTheme="majorEastAsia"/>
          <w:lang w:eastAsia="zh-CN"/>
        </w:rPr>
        <w:t>5</w:t>
      </w:r>
      <w:r>
        <w:rPr>
          <w:rFonts w:hint="eastAsia" w:asciiTheme="majorEastAsia" w:hAnsiTheme="majorEastAsia" w:eastAsiaTheme="majorEastAsia"/>
          <w:lang w:eastAsia="zh-CN"/>
        </w:rPr>
        <w:t>个工作日内，甲方无息退还履约保证金；</w:t>
      </w:r>
    </w:p>
    <w:p>
      <w:pPr>
        <w:pStyle w:val="6"/>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8.如有下列情况发生，将被没收参选保证金：</w:t>
      </w:r>
    </w:p>
    <w:p>
      <w:pPr>
        <w:pStyle w:val="6"/>
        <w:spacing w:line="360" w:lineRule="auto"/>
        <w:ind w:right="121"/>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（1）参选单位在参选有效期内撤回参选文件；</w:t>
      </w:r>
    </w:p>
    <w:p>
      <w:pPr>
        <w:pStyle w:val="3"/>
        <w:spacing w:line="360" w:lineRule="auto"/>
        <w:ind w:left="0" w:firstLine="360" w:firstLineChars="150"/>
        <w:rPr>
          <w:sz w:val="24"/>
          <w:szCs w:val="24"/>
          <w:lang w:eastAsia="zh-CN"/>
        </w:rPr>
      </w:pPr>
      <w:r>
        <w:rPr>
          <w:rFonts w:hint="eastAsia" w:asciiTheme="majorEastAsia" w:hAnsiTheme="majorEastAsia" w:eastAsiaTheme="majorEastAsia"/>
          <w:b w:val="0"/>
          <w:sz w:val="24"/>
          <w:szCs w:val="24"/>
          <w:lang w:eastAsia="zh-CN"/>
        </w:rPr>
        <w:t>（2）参选单位未能按接到中标通知书后规定的时间内签定合同。</w:t>
      </w:r>
    </w:p>
    <w:p>
      <w:pPr>
        <w:pStyle w:val="3"/>
        <w:spacing w:line="360" w:lineRule="auto"/>
        <w:rPr>
          <w:sz w:val="24"/>
          <w:szCs w:val="24"/>
          <w:lang w:eastAsia="zh-CN"/>
        </w:rPr>
      </w:pPr>
      <w:r>
        <w:rPr>
          <w:w w:val="95"/>
          <w:sz w:val="24"/>
          <w:szCs w:val="24"/>
          <w:lang w:eastAsia="zh-CN"/>
        </w:rPr>
        <w:t>八、参选文件的递交</w:t>
      </w:r>
    </w:p>
    <w:p>
      <w:pPr>
        <w:pStyle w:val="4"/>
        <w:tabs>
          <w:tab w:val="left" w:pos="6879"/>
        </w:tabs>
        <w:spacing w:line="360" w:lineRule="auto"/>
        <w:ind w:left="118" w:right="106" w:firstLine="480"/>
        <w:rPr>
          <w:lang w:eastAsia="zh-CN"/>
        </w:rPr>
      </w:pPr>
      <w:r>
        <w:rPr>
          <w:lang w:eastAsia="zh-CN"/>
        </w:rPr>
        <w:t>1.参选文件递交的截止时间：</w:t>
      </w:r>
      <w:r>
        <w:rPr>
          <w:rFonts w:hint="eastAsia"/>
          <w:lang w:eastAsia="zh-CN"/>
        </w:rPr>
        <w:t>见比选公告</w:t>
      </w:r>
    </w:p>
    <w:p>
      <w:pPr>
        <w:pStyle w:val="4"/>
        <w:tabs>
          <w:tab w:val="left" w:pos="6879"/>
        </w:tabs>
        <w:spacing w:line="360" w:lineRule="auto"/>
        <w:ind w:left="118" w:right="106" w:firstLine="480"/>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办公楼</w:t>
      </w:r>
      <w:r>
        <w:rPr>
          <w:spacing w:val="4"/>
          <w:lang w:eastAsia="zh-CN"/>
        </w:rPr>
        <w:t>（</w:t>
      </w:r>
      <w:r>
        <w:rPr>
          <w:rFonts w:hint="eastAsia"/>
          <w:spacing w:val="4"/>
          <w:lang w:eastAsia="zh-CN"/>
        </w:rPr>
        <w:t>漳州市漳浦县杜浔镇杜昌路9号</w:t>
      </w:r>
      <w:r>
        <w:rPr>
          <w:spacing w:val="4"/>
          <w:lang w:eastAsia="zh-CN"/>
        </w:rPr>
        <w:t>）</w:t>
      </w:r>
    </w:p>
    <w:p>
      <w:pPr>
        <w:pStyle w:val="4"/>
        <w:tabs>
          <w:tab w:val="left" w:pos="6879"/>
        </w:tabs>
        <w:spacing w:line="360" w:lineRule="auto"/>
        <w:ind w:left="627" w:leftChars="285" w:right="106" w:firstLine="1299" w:firstLineChars="539"/>
        <w:rPr>
          <w:lang w:eastAsia="zh-CN"/>
        </w:rPr>
      </w:pPr>
      <w:r>
        <w:rPr>
          <w:rFonts w:hint="eastAsia"/>
          <w:lang w:eastAsia="zh-CN"/>
        </w:rPr>
        <w:t>商务</w:t>
      </w:r>
      <w:r>
        <w:rPr>
          <w:lang w:eastAsia="zh-CN"/>
        </w:rPr>
        <w:t>联系人</w:t>
      </w:r>
      <w:r>
        <w:rPr>
          <w:spacing w:val="-56"/>
          <w:lang w:eastAsia="zh-CN"/>
        </w:rPr>
        <w:t>：</w:t>
      </w:r>
      <w:r>
        <w:rPr>
          <w:rFonts w:hint="eastAsia"/>
          <w:spacing w:val="-56"/>
          <w:lang w:eastAsia="zh-CN"/>
        </w:rPr>
        <w:t>纪捍政</w:t>
      </w:r>
      <w:r>
        <w:rPr>
          <w:rFonts w:hint="eastAsia"/>
          <w:lang w:eastAsia="zh-CN"/>
        </w:rPr>
        <w:t xml:space="preserve">   </w:t>
      </w:r>
      <w:r>
        <w:rPr>
          <w:spacing w:val="-6"/>
          <w:lang w:eastAsia="zh-CN"/>
        </w:rPr>
        <w:t xml:space="preserve"> </w:t>
      </w:r>
      <w:r>
        <w:rPr>
          <w:rFonts w:hint="eastAsia"/>
          <w:spacing w:val="-6"/>
          <w:lang w:eastAsia="zh-CN"/>
        </w:rPr>
        <w:t xml:space="preserve">    </w:t>
      </w:r>
      <w:r>
        <w:rPr>
          <w:rFonts w:hint="eastAsia"/>
          <w:spacing w:val="-4"/>
          <w:lang w:eastAsia="zh-CN"/>
        </w:rPr>
        <w:t>0596-6311823</w:t>
      </w:r>
    </w:p>
    <w:p>
      <w:pPr>
        <w:spacing w:line="360" w:lineRule="auto"/>
        <w:rPr>
          <w:b/>
          <w:bCs/>
          <w:spacing w:val="-4"/>
          <w:sz w:val="24"/>
          <w:szCs w:val="24"/>
          <w:lang w:eastAsia="zh-CN"/>
        </w:rPr>
      </w:pPr>
      <w:r>
        <w:rPr>
          <w:rFonts w:hint="eastAsia"/>
          <w:sz w:val="24"/>
          <w:szCs w:val="24"/>
          <w:lang w:eastAsia="zh-CN"/>
        </w:rPr>
        <w:t xml:space="preserve">                </w:t>
      </w:r>
      <w:r>
        <w:rPr>
          <w:rFonts w:hint="eastAsia"/>
          <w:b/>
          <w:bCs/>
          <w:sz w:val="24"/>
          <w:szCs w:val="24"/>
          <w:lang w:eastAsia="zh-CN"/>
        </w:rPr>
        <w:t xml:space="preserve">技术联系人：郑少杰      </w:t>
      </w:r>
      <w:r>
        <w:rPr>
          <w:rFonts w:hint="eastAsia"/>
          <w:b/>
          <w:bCs/>
          <w:spacing w:val="-4"/>
          <w:sz w:val="24"/>
          <w:szCs w:val="24"/>
          <w:lang w:eastAsia="zh-CN"/>
        </w:rPr>
        <w:t>18759790809</w:t>
      </w:r>
    </w:p>
    <w:p>
      <w:pPr>
        <w:spacing w:line="360" w:lineRule="auto"/>
        <w:rPr>
          <w:b/>
          <w:sz w:val="24"/>
          <w:szCs w:val="24"/>
          <w:lang w:eastAsia="zh-CN"/>
        </w:rPr>
      </w:pPr>
      <w:r>
        <w:rPr>
          <w:b/>
          <w:sz w:val="24"/>
          <w:szCs w:val="24"/>
          <w:lang w:eastAsia="zh-CN"/>
        </w:rPr>
        <w:t>注：请使用顺丰快递或中国邮政 EMS 快递，其他快递不能保证送达目的地</w:t>
      </w:r>
      <w:r>
        <w:rPr>
          <w:rFonts w:hint="eastAsia"/>
          <w:b/>
          <w:sz w:val="24"/>
          <w:szCs w:val="24"/>
          <w:lang w:eastAsia="zh-CN"/>
        </w:rPr>
        <w:t>（费用自理）</w:t>
      </w:r>
      <w:r>
        <w:rPr>
          <w:b/>
          <w:sz w:val="24"/>
          <w:szCs w:val="24"/>
          <w:lang w:eastAsia="zh-CN"/>
        </w:rPr>
        <w:t>。</w:t>
      </w:r>
    </w:p>
    <w:p>
      <w:pPr>
        <w:pStyle w:val="6"/>
        <w:spacing w:line="360" w:lineRule="auto"/>
        <w:ind w:left="598"/>
        <w:rPr>
          <w:lang w:eastAsia="zh-CN"/>
        </w:rPr>
      </w:pPr>
      <w:r>
        <w:rPr>
          <w:lang w:eastAsia="zh-CN"/>
        </w:rPr>
        <w:t>3.只允许参选人有一个参选方案，否则将被视为无效参选。</w:t>
      </w:r>
    </w:p>
    <w:p>
      <w:pPr>
        <w:pStyle w:val="6"/>
        <w:spacing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6"/>
        <w:spacing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pPr>
        <w:pStyle w:val="6"/>
        <w:spacing w:line="360" w:lineRule="auto"/>
        <w:ind w:left="118" w:right="106" w:firstLine="48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6"/>
        <w:spacing w:line="360" w:lineRule="auto"/>
        <w:ind w:left="118" w:right="106" w:firstLine="480"/>
        <w:jc w:val="both"/>
        <w:rPr>
          <w:spacing w:val="-9"/>
          <w:lang w:eastAsia="zh-CN"/>
        </w:rPr>
      </w:pPr>
      <w:r>
        <w:rPr>
          <w:rFonts w:hint="eastAsia"/>
          <w:spacing w:val="-9"/>
          <w:lang w:eastAsia="zh-CN"/>
        </w:rPr>
        <w:t>7.</w:t>
      </w:r>
      <w:r>
        <w:rPr>
          <w:rFonts w:hint="eastAsia"/>
          <w:b/>
          <w:spacing w:val="-9"/>
          <w:lang w:eastAsia="zh-CN"/>
        </w:rPr>
        <w:t xml:space="preserve"> 递交的参选文件中须包含</w:t>
      </w:r>
      <w:r>
        <w:rPr>
          <w:rFonts w:hint="eastAsia"/>
          <w:b/>
          <w:color w:val="000000"/>
          <w:lang w:eastAsia="zh-CN"/>
        </w:rPr>
        <w:t>参选保证金汇款底单（</w:t>
      </w:r>
      <w:r>
        <w:rPr>
          <w:rFonts w:hint="eastAsia"/>
          <w:b/>
          <w:spacing w:val="8"/>
          <w:lang w:eastAsia="zh-CN"/>
        </w:rPr>
        <w:t>加盖单位公章的复印件</w:t>
      </w:r>
      <w:r>
        <w:rPr>
          <w:rFonts w:hint="eastAsia"/>
          <w:b/>
          <w:color w:val="000000"/>
          <w:lang w:eastAsia="zh-CN"/>
        </w:rPr>
        <w:t>）</w:t>
      </w:r>
    </w:p>
    <w:p>
      <w:pPr>
        <w:pStyle w:val="3"/>
        <w:spacing w:line="360" w:lineRule="auto"/>
        <w:ind w:left="0" w:firstLine="682" w:firstLineChars="298"/>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pPr>
        <w:pStyle w:val="8"/>
        <w:tabs>
          <w:tab w:val="left" w:pos="0"/>
          <w:tab w:val="left" w:pos="567"/>
          <w:tab w:val="left" w:pos="993"/>
          <w:tab w:val="left" w:pos="1135"/>
        </w:tabs>
        <w:spacing w:line="360" w:lineRule="auto"/>
        <w:ind w:firstLine="480" w:firstLineChars="200"/>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pPr>
        <w:pStyle w:val="8"/>
        <w:tabs>
          <w:tab w:val="left" w:pos="0"/>
          <w:tab w:val="left" w:pos="567"/>
          <w:tab w:val="left" w:pos="993"/>
          <w:tab w:val="left" w:pos="1135"/>
        </w:tabs>
        <w:spacing w:line="360" w:lineRule="auto"/>
        <w:ind w:firstLine="480" w:firstLineChars="200"/>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对比选结果有异议的异议人不是本项目参与者，或者与本项目无任何利害关系；</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rFonts w:asciiTheme="majorEastAsia" w:hAnsiTheme="majorEastAsia" w:eastAsiaTheme="majorEastAsia"/>
          <w:sz w:val="24"/>
          <w:szCs w:val="24"/>
          <w:lang w:eastAsia="zh-CN"/>
        </w:rPr>
      </w:pPr>
      <w:r>
        <w:rPr>
          <w:rFonts w:hint="eastAsia" w:asciiTheme="majorEastAsia" w:hAnsiTheme="majorEastAsia" w:eastAsiaTheme="majorEastAsia"/>
          <w:bCs/>
          <w:color w:val="000000"/>
          <w:sz w:val="24"/>
          <w:szCs w:val="24"/>
          <w:lang w:eastAsia="zh-CN"/>
        </w:rPr>
        <w:t>（4）</w:t>
      </w:r>
      <w:r>
        <w:rPr>
          <w:rFonts w:hint="eastAsia" w:asciiTheme="majorEastAsia" w:hAnsiTheme="majorEastAsia" w:eastAsiaTheme="majorEastAsia"/>
          <w:bCs/>
          <w:sz w:val="24"/>
          <w:szCs w:val="24"/>
          <w:lang w:eastAsia="zh-CN"/>
        </w:rPr>
        <w:t>超过异议时效的。</w:t>
      </w:r>
    </w:p>
    <w:p>
      <w:pPr>
        <w:pStyle w:val="3"/>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十</w:t>
      </w:r>
      <w:r>
        <w:rPr>
          <w:rFonts w:asciiTheme="majorEastAsia" w:hAnsiTheme="majorEastAsia" w:eastAsiaTheme="majorEastAsia"/>
          <w:w w:val="95"/>
          <w:sz w:val="24"/>
          <w:szCs w:val="24"/>
          <w:lang w:eastAsia="zh-CN"/>
        </w:rPr>
        <w:t>、</w:t>
      </w:r>
      <w:r>
        <w:rPr>
          <w:rFonts w:hint="eastAsia" w:asciiTheme="majorEastAsia" w:hAnsiTheme="majorEastAsia" w:eastAsiaTheme="majorEastAsia"/>
          <w:sz w:val="24"/>
          <w:szCs w:val="24"/>
          <w:lang w:eastAsia="zh-CN"/>
        </w:rPr>
        <w:t>最高控制价及投标报价要求</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1、本项目最高限价为人民币</w:t>
      </w:r>
      <w:r>
        <w:rPr>
          <w:rFonts w:hint="eastAsia" w:asciiTheme="majorEastAsia" w:hAnsiTheme="majorEastAsia" w:eastAsiaTheme="majorEastAsia"/>
          <w:b/>
          <w:bCs/>
          <w:sz w:val="24"/>
          <w:szCs w:val="24"/>
          <w:lang w:eastAsia="zh-CN"/>
        </w:rPr>
        <w:t>150000.00元</w:t>
      </w:r>
      <w:r>
        <w:rPr>
          <w:rFonts w:hint="eastAsia" w:asciiTheme="majorEastAsia" w:hAnsiTheme="majorEastAsia" w:eastAsiaTheme="majorEastAsia"/>
          <w:bCs/>
          <w:sz w:val="24"/>
          <w:szCs w:val="24"/>
          <w:lang w:eastAsia="zh-CN"/>
        </w:rPr>
        <w:t>。参选人所填报的参选总价高于本项目最高限价的，其参选将被评标委员会予以否决</w:t>
      </w:r>
      <w:r>
        <w:rPr>
          <w:rFonts w:hint="eastAsia" w:asciiTheme="majorEastAsia" w:hAnsiTheme="majorEastAsia" w:eastAsiaTheme="majorEastAsia"/>
          <w:sz w:val="24"/>
          <w:szCs w:val="24"/>
          <w:lang w:eastAsia="zh-CN"/>
        </w:rPr>
        <w:t>。</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2、本比选项目采用总价包干方式执行。</w:t>
      </w:r>
    </w:p>
    <w:p>
      <w:pPr>
        <w:tabs>
          <w:tab w:val="left" w:pos="0"/>
          <w:tab w:val="left" w:pos="993"/>
          <w:tab w:val="left" w:pos="1134"/>
        </w:tabs>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人应以完成本比选文件所述的内容涉及的全部费用进行报价。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w:t>
      </w:r>
    </w:p>
    <w:p>
      <w:pPr>
        <w:pStyle w:val="6"/>
        <w:spacing w:line="360" w:lineRule="auto"/>
        <w:ind w:right="106"/>
        <w:jc w:val="both"/>
        <w:rPr>
          <w:lang w:eastAsia="zh-CN"/>
        </w:rPr>
      </w:pPr>
      <w:r>
        <w:rPr>
          <w:rFonts w:hint="eastAsia" w:asciiTheme="majorEastAsia" w:hAnsiTheme="majorEastAsia" w:eastAsiaTheme="majorEastAsia"/>
          <w:bCs/>
          <w:spacing w:val="-2"/>
          <w:lang w:eastAsia="zh-CN"/>
        </w:rPr>
        <w:t>备注：如依据我国法律法规及税收政策，本合同项下服务所涉及的增值税税率发生调整，双方一致同意按照调整后的增值税税率相应调整合同价款。</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627"/>
        </w:tabs>
        <w:spacing w:line="360" w:lineRule="auto"/>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6"/>
        <w:spacing w:line="360" w:lineRule="auto"/>
        <w:ind w:firstLine="480" w:firstLineChars="200"/>
        <w:rPr>
          <w:b/>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18"/>
        <w:numPr>
          <w:ilvl w:val="0"/>
          <w:numId w:val="2"/>
        </w:numPr>
        <w:spacing w:before="0" w:line="360" w:lineRule="auto"/>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18"/>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书及附录；</w:t>
      </w:r>
    </w:p>
    <w:p>
      <w:pPr>
        <w:pStyle w:val="18"/>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2）</w:t>
      </w:r>
      <w:r>
        <w:rPr>
          <w:rFonts w:hint="eastAsia" w:asciiTheme="majorEastAsia" w:hAnsiTheme="majorEastAsia" w:eastAsiaTheme="majorEastAsia"/>
          <w:kern w:val="59"/>
          <w:sz w:val="24"/>
          <w:szCs w:val="24"/>
          <w:lang w:eastAsia="zh-CN"/>
        </w:rPr>
        <w:t>参选承诺</w:t>
      </w:r>
      <w:r>
        <w:rPr>
          <w:rFonts w:asciiTheme="majorEastAsia" w:hAnsiTheme="majorEastAsia" w:eastAsiaTheme="majorEastAsia"/>
          <w:kern w:val="59"/>
          <w:sz w:val="24"/>
          <w:szCs w:val="24"/>
          <w:lang w:eastAsia="zh-CN"/>
        </w:rPr>
        <w:t>书；</w:t>
      </w:r>
    </w:p>
    <w:p>
      <w:pPr>
        <w:pStyle w:val="18"/>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3）法定代表人</w:t>
      </w:r>
      <w:r>
        <w:rPr>
          <w:rFonts w:hint="eastAsia" w:asciiTheme="majorEastAsia" w:hAnsiTheme="majorEastAsia" w:eastAsiaTheme="majorEastAsia"/>
          <w:kern w:val="59"/>
          <w:sz w:val="24"/>
          <w:szCs w:val="24"/>
          <w:lang w:eastAsia="zh-CN"/>
        </w:rPr>
        <w:t>及企业</w:t>
      </w:r>
      <w:r>
        <w:rPr>
          <w:rFonts w:asciiTheme="majorEastAsia" w:hAnsiTheme="majorEastAsia" w:eastAsiaTheme="majorEastAsia"/>
          <w:kern w:val="59"/>
          <w:sz w:val="24"/>
          <w:szCs w:val="24"/>
          <w:lang w:eastAsia="zh-CN"/>
        </w:rPr>
        <w:t>资格证明书；</w:t>
      </w:r>
    </w:p>
    <w:p>
      <w:pPr>
        <w:pStyle w:val="18"/>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4）授权委托书；</w:t>
      </w:r>
    </w:p>
    <w:p>
      <w:pPr>
        <w:pStyle w:val="18"/>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5）企业简况；</w:t>
      </w:r>
    </w:p>
    <w:p>
      <w:pPr>
        <w:pStyle w:val="18"/>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6）按本须知规定提供的其它资料</w:t>
      </w:r>
      <w:r>
        <w:rPr>
          <w:rFonts w:hint="eastAsia" w:asciiTheme="majorEastAsia" w:hAnsiTheme="majorEastAsia" w:eastAsiaTheme="majorEastAsia"/>
          <w:kern w:val="59"/>
          <w:sz w:val="24"/>
          <w:szCs w:val="24"/>
          <w:lang w:eastAsia="zh-CN"/>
        </w:rPr>
        <w:t>。</w:t>
      </w:r>
    </w:p>
    <w:p>
      <w:pPr>
        <w:pStyle w:val="6"/>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装订成册</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6"/>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6"/>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6"/>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6"/>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6"/>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6"/>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6"/>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7"/>
        <w:spacing w:after="0" w:line="360" w:lineRule="auto"/>
        <w:ind w:left="0" w:leftChars="0" w:firstLine="543" w:firstLineChars="245"/>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6"/>
        <w:spacing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6"/>
        <w:spacing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22420"/>
      <w:bookmarkStart w:id="1" w:name="_Toc430488858"/>
      <w:bookmarkStart w:id="2" w:name="_Toc415567504"/>
      <w:bookmarkStart w:id="3" w:name="_Toc430488651"/>
      <w:bookmarkStart w:id="4" w:name="_Toc177186249"/>
      <w:bookmarkStart w:id="5" w:name="_Toc430490619"/>
      <w:bookmarkStart w:id="6" w:name="_Toc304357904"/>
      <w:bookmarkStart w:id="7" w:name="_Toc430489126"/>
      <w:bookmarkStart w:id="8" w:name="_Toc430492133"/>
    </w:p>
    <w:p>
      <w:pPr>
        <w:pStyle w:val="6"/>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szCs w:val="24"/>
          <w:lang w:eastAsia="zh-CN"/>
        </w:rPr>
      </w:pPr>
      <w:r>
        <w:rPr>
          <w:rFonts w:hint="eastAsia"/>
          <w:sz w:val="24"/>
          <w:szCs w:val="24"/>
          <w:lang w:eastAsia="zh-CN"/>
        </w:rPr>
        <w:t>7.1 参选人应在参选文件所附的参选报价表上写明参选</w:t>
      </w:r>
      <w:r>
        <w:rPr>
          <w:rFonts w:hint="eastAsia"/>
          <w:b/>
          <w:sz w:val="24"/>
          <w:szCs w:val="24"/>
          <w:lang w:eastAsia="zh-CN"/>
        </w:rPr>
        <w:t>的分项价格和总价</w:t>
      </w:r>
      <w:r>
        <w:rPr>
          <w:rFonts w:hint="eastAsia"/>
          <w:sz w:val="24"/>
          <w:szCs w:val="24"/>
          <w:lang w:eastAsia="zh-CN"/>
        </w:rPr>
        <w:t>。</w:t>
      </w:r>
    </w:p>
    <w:p>
      <w:pPr>
        <w:spacing w:line="360" w:lineRule="auto"/>
        <w:ind w:firstLine="480" w:firstLineChars="20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6"/>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6"/>
        <w:spacing w:line="360" w:lineRule="auto"/>
        <w:ind w:right="226" w:firstLine="480"/>
        <w:jc w:val="both"/>
        <w:rPr>
          <w:lang w:eastAsia="zh-CN"/>
        </w:rPr>
      </w:pPr>
      <w:r>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pPr>
        <w:spacing w:line="360" w:lineRule="auto"/>
        <w:ind w:firstLine="480" w:firstLineChars="200"/>
        <w:rPr>
          <w:sz w:val="24"/>
          <w:szCs w:val="24"/>
          <w:lang w:eastAsia="zh-CN"/>
        </w:rPr>
        <w:sectPr>
          <w:pgSz w:w="11910" w:h="16840"/>
          <w:pgMar w:top="1500" w:right="1020" w:bottom="740" w:left="1300" w:header="0" w:footer="551" w:gutter="0"/>
          <w:cols w:space="720" w:num="1"/>
        </w:sectPr>
      </w:pPr>
      <w:r>
        <w:rPr>
          <w:rFonts w:hint="eastAsia"/>
          <w:sz w:val="24"/>
          <w:szCs w:val="24"/>
          <w:lang w:eastAsia="zh-CN"/>
        </w:rPr>
        <w:t>9.</w:t>
      </w:r>
      <w:r>
        <w:rPr>
          <w:sz w:val="24"/>
          <w:szCs w:val="24"/>
          <w:lang w:eastAsia="zh-CN"/>
        </w:rPr>
        <w:t xml:space="preserve"> </w:t>
      </w:r>
      <w:r>
        <w:rPr>
          <w:rFonts w:hint="eastAsia"/>
          <w:sz w:val="24"/>
          <w:szCs w:val="24"/>
          <w:lang w:eastAsia="zh-CN"/>
        </w:rPr>
        <w:t>参选文件正本应按要求由经正式授权的参选人代表签字并加盖参选人公章。副本可以用复印件。</w:t>
      </w: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360" w:lineRule="auto"/>
        <w:ind w:firstLine="343" w:firstLineChars="150"/>
        <w:rPr>
          <w:b/>
          <w:w w:val="95"/>
          <w:sz w:val="24"/>
          <w:szCs w:val="24"/>
          <w:lang w:eastAsia="zh-CN"/>
        </w:rPr>
      </w:pPr>
      <w:r>
        <w:rPr>
          <w:b/>
          <w:w w:val="95"/>
          <w:sz w:val="24"/>
          <w:szCs w:val="24"/>
          <w:lang w:eastAsia="zh-CN"/>
        </w:rPr>
        <w:t>一、规则</w:t>
      </w:r>
    </w:p>
    <w:p>
      <w:pPr>
        <w:pStyle w:val="6"/>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6"/>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6"/>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二、资格审查</w:t>
      </w:r>
    </w:p>
    <w:p>
      <w:pPr>
        <w:pStyle w:val="6"/>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458" w:firstLineChars="200"/>
        <w:rPr>
          <w:b/>
          <w:w w:val="95"/>
          <w:sz w:val="24"/>
          <w:szCs w:val="24"/>
          <w:lang w:eastAsia="zh-CN"/>
        </w:rPr>
      </w:pPr>
      <w:r>
        <w:rPr>
          <w:b/>
          <w:w w:val="95"/>
          <w:sz w:val="24"/>
          <w:szCs w:val="24"/>
          <w:lang w:eastAsia="zh-CN"/>
        </w:rPr>
        <w:t>三、评选办法</w:t>
      </w:r>
    </w:p>
    <w:p>
      <w:pPr>
        <w:pStyle w:val="6"/>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150000.00元（含税价）</w:t>
      </w:r>
      <w:r>
        <w:rPr>
          <w:rFonts w:hint="eastAsia"/>
          <w:lang w:eastAsia="zh-CN"/>
        </w:rPr>
        <w:t>。参选人所填报的报价高于本项目最高限价的，其参选将被比选小组予以否决。</w:t>
      </w:r>
    </w:p>
    <w:p>
      <w:pPr>
        <w:pStyle w:val="6"/>
        <w:spacing w:line="360" w:lineRule="auto"/>
        <w:ind w:left="120" w:right="222" w:firstLine="480" w:firstLineChars="200"/>
        <w:rPr>
          <w:lang w:eastAsia="zh-CN"/>
        </w:rPr>
      </w:pPr>
      <w:r>
        <w:rPr>
          <w:rFonts w:hint="eastAsia"/>
          <w:lang w:eastAsia="zh-CN"/>
        </w:rPr>
        <w:t>本项目采用商务报价决标的评标办法，</w:t>
      </w:r>
      <w:r>
        <w:rPr>
          <w:lang w:eastAsia="zh-CN"/>
        </w:rPr>
        <w:t>评选委员会将对通过资格的各合格参选人，</w:t>
      </w:r>
      <w:r>
        <w:rPr>
          <w:rFonts w:hint="eastAsia"/>
          <w:lang w:eastAsia="zh-CN"/>
        </w:rPr>
        <w:t>进行商务报价的评选，未税总价最低者作为中选单位</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四、以下情况作废选处理</w:t>
      </w:r>
    </w:p>
    <w:p>
      <w:pPr>
        <w:pStyle w:val="6"/>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6"/>
        <w:spacing w:line="360" w:lineRule="auto"/>
        <w:ind w:right="121" w:firstLine="480" w:firstLineChars="200"/>
        <w:jc w:val="both"/>
        <w:rPr>
          <w:lang w:eastAsia="zh-CN"/>
        </w:rPr>
      </w:pPr>
      <w:r>
        <w:rPr>
          <w:lang w:eastAsia="zh-CN"/>
        </w:rPr>
        <w:t>2.参选文件存在重大偏差的。</w:t>
      </w:r>
    </w:p>
    <w:p>
      <w:pPr>
        <w:pStyle w:val="6"/>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6"/>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458" w:firstLineChars="200"/>
        <w:rPr>
          <w:b/>
          <w:w w:val="95"/>
          <w:sz w:val="24"/>
          <w:szCs w:val="24"/>
          <w:lang w:eastAsia="zh-CN"/>
        </w:rPr>
      </w:pPr>
      <w:r>
        <w:rPr>
          <w:b/>
          <w:w w:val="95"/>
          <w:sz w:val="24"/>
          <w:szCs w:val="24"/>
          <w:lang w:eastAsia="zh-CN"/>
        </w:rPr>
        <w:t>五、评选</w:t>
      </w:r>
    </w:p>
    <w:p>
      <w:pPr>
        <w:pStyle w:val="6"/>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6"/>
        <w:spacing w:line="360" w:lineRule="auto"/>
        <w:ind w:right="121" w:firstLine="480" w:firstLineChars="200"/>
        <w:jc w:val="both"/>
        <w:rPr>
          <w:lang w:eastAsia="zh-CN"/>
        </w:rPr>
      </w:pPr>
      <w:r>
        <w:rPr>
          <w:lang w:eastAsia="zh-CN"/>
        </w:rPr>
        <w:t>2.在开选时没有启封和读出的参选文件，在评选时将不予考虑。</w:t>
      </w:r>
    </w:p>
    <w:p>
      <w:pPr>
        <w:pStyle w:val="6"/>
        <w:spacing w:line="360" w:lineRule="auto"/>
        <w:ind w:right="121" w:firstLine="480" w:firstLineChars="200"/>
        <w:jc w:val="both"/>
        <w:rPr>
          <w:lang w:eastAsia="zh-CN"/>
        </w:rPr>
      </w:pPr>
      <w:r>
        <w:rPr>
          <w:lang w:eastAsia="zh-CN"/>
        </w:rPr>
        <w:t>3.比选人将做开选记录。</w:t>
      </w:r>
    </w:p>
    <w:p>
      <w:pPr>
        <w:pStyle w:val="6"/>
        <w:spacing w:before="23"/>
        <w:ind w:firstLine="480" w:firstLineChars="200"/>
        <w:rPr>
          <w:lang w:eastAsia="zh-CN"/>
        </w:rPr>
        <w:sectPr>
          <w:pgSz w:w="11910" w:h="16840"/>
          <w:pgMar w:top="1500" w:right="1140" w:bottom="740" w:left="1300" w:header="0" w:footer="551" w:gutter="0"/>
          <w:cols w:space="720" w:num="1"/>
        </w:sectPr>
      </w:pPr>
      <w:r>
        <w:rPr>
          <w:rFonts w:hint="eastAsia"/>
          <w:lang w:eastAsia="zh-CN"/>
        </w:rPr>
        <w:t>4.比选人将根据评选结果与中选人签订合同。</w:t>
      </w:r>
    </w:p>
    <w:p>
      <w:pPr>
        <w:pStyle w:val="3"/>
        <w:tabs>
          <w:tab w:val="left" w:pos="1632"/>
        </w:tabs>
        <w:spacing w:line="360" w:lineRule="auto"/>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6"/>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6"/>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6"/>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6"/>
        <w:spacing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6"/>
        <w:spacing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6"/>
        <w:spacing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60"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szCs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szCs w:val="24"/>
        </w:rPr>
        <w:t>人应对参选文件资料的真实性负责</w:t>
      </w:r>
      <w:r>
        <w:rPr>
          <w:rFonts w:hint="eastAsia" w:hAnsi="宋体"/>
          <w:sz w:val="24"/>
          <w:szCs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 xml:space="preserve">9. </w:t>
      </w:r>
      <w:r>
        <w:rPr>
          <w:rStyle w:val="14"/>
          <w:rFonts w:hint="eastAsia"/>
          <w:sz w:val="24"/>
          <w:szCs w:val="24"/>
        </w:rPr>
        <w:t>福建福海创石油化工有限公司的权属子公司“腾龙芳烃（漳州）有限公司”作为合同执行主体，将于中选通知书发出之日起20日内与中选人完成合同签订事宜。</w:t>
      </w:r>
    </w:p>
    <w:p>
      <w:pPr>
        <w:spacing w:line="321" w:lineRule="auto"/>
        <w:jc w:val="both"/>
        <w:rPr>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6"/>
        <w:rPr>
          <w:b/>
          <w:sz w:val="28"/>
          <w:lang w:eastAsia="zh-CN"/>
        </w:rPr>
      </w:pPr>
    </w:p>
    <w:p>
      <w:pPr>
        <w:pStyle w:val="6"/>
        <w:spacing w:before="12"/>
        <w:rPr>
          <w:b/>
          <w:sz w:val="33"/>
          <w:lang w:eastAsia="zh-CN"/>
        </w:rPr>
      </w:pPr>
    </w:p>
    <w:p>
      <w:pPr>
        <w:pStyle w:val="6"/>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6"/>
        <w:spacing w:before="26" w:line="360" w:lineRule="auto"/>
        <w:ind w:left="119" w:right="108" w:firstLine="482"/>
        <w:jc w:val="both"/>
        <w:rPr>
          <w:lang w:eastAsia="zh-CN"/>
        </w:rPr>
      </w:pPr>
      <w:r>
        <w:rPr>
          <w:lang w:eastAsia="zh-CN"/>
        </w:rPr>
        <w:t>2.</w:t>
      </w:r>
      <w:r>
        <w:rPr>
          <w:spacing w:val="-2"/>
          <w:lang w:eastAsia="zh-CN"/>
        </w:rPr>
        <w:t>中选单位必须严格执行</w:t>
      </w:r>
      <w:r>
        <w:rPr>
          <w:rFonts w:hint="eastAsia"/>
          <w:spacing w:val="-2"/>
          <w:sz w:val="22"/>
          <w:lang w:eastAsia="zh-CN"/>
        </w:rPr>
        <w:t>《委托检定合同》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6"/>
        <w:spacing w:before="26" w:line="360" w:lineRule="auto"/>
        <w:ind w:left="119" w:right="108" w:firstLine="482"/>
        <w:jc w:val="both"/>
        <w:rPr>
          <w:spacing w:val="-6"/>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spacing w:line="355" w:lineRule="exact"/>
        <w:ind w:left="647" w:firstLine="3092" w:firstLineChars="1100"/>
        <w:jc w:val="both"/>
        <w:rPr>
          <w:lang w:eastAsia="zh-CN"/>
        </w:rPr>
      </w:pPr>
    </w:p>
    <w:p>
      <w:pPr>
        <w:rPr>
          <w:lang w:eastAsia="zh-CN"/>
        </w:rPr>
      </w:pPr>
    </w:p>
    <w:p>
      <w:pPr>
        <w:pStyle w:val="3"/>
        <w:tabs>
          <w:tab w:val="left" w:pos="1912"/>
        </w:tabs>
        <w:spacing w:line="360" w:lineRule="auto"/>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6"/>
        <w:spacing w:line="360" w:lineRule="auto"/>
        <w:ind w:left="215"/>
        <w:rPr>
          <w:lang w:eastAsia="zh-CN"/>
        </w:rPr>
      </w:pPr>
      <w:r>
        <w:rPr>
          <w:lang w:eastAsia="zh-CN"/>
        </w:rPr>
        <w:t>1.参选人的参选文件无论其是否中选，均不退回。</w:t>
      </w:r>
    </w:p>
    <w:p>
      <w:pPr>
        <w:pStyle w:val="6"/>
        <w:spacing w:line="360" w:lineRule="auto"/>
        <w:ind w:left="215"/>
        <w:rPr>
          <w:lang w:eastAsia="zh-CN"/>
        </w:rPr>
      </w:pPr>
      <w:r>
        <w:rPr>
          <w:lang w:eastAsia="zh-CN"/>
        </w:rPr>
        <w:t>2.比选人郑重承诺：参选人所提交的参选文件及相关资料不向第三方泄露。</w:t>
      </w:r>
    </w:p>
    <w:p>
      <w:pPr>
        <w:pStyle w:val="6"/>
        <w:spacing w:line="360" w:lineRule="auto"/>
        <w:ind w:left="215"/>
        <w:rPr>
          <w:lang w:eastAsia="zh-CN"/>
        </w:rPr>
      </w:pPr>
      <w:r>
        <w:rPr>
          <w:lang w:eastAsia="zh-CN"/>
        </w:rPr>
        <w:t>3.本比选文件的解释权归</w:t>
      </w:r>
      <w:r>
        <w:rPr>
          <w:rFonts w:hint="eastAsia"/>
          <w:lang w:eastAsia="zh-CN"/>
        </w:rPr>
        <w:t>福建福海创石油化工</w:t>
      </w:r>
      <w:r>
        <w:rPr>
          <w:lang w:eastAsia="zh-CN"/>
        </w:rPr>
        <w:t>有限公司。</w:t>
      </w:r>
    </w:p>
    <w:p>
      <w:pPr>
        <w:pStyle w:val="6"/>
        <w:spacing w:before="106" w:line="360" w:lineRule="auto"/>
        <w:ind w:left="215"/>
        <w:rPr>
          <w:lang w:eastAsia="zh-CN"/>
        </w:rPr>
      </w:pPr>
      <w:r>
        <w:rPr>
          <w:lang w:eastAsia="zh-CN"/>
        </w:rPr>
        <w:br w:type="page"/>
      </w:r>
    </w:p>
    <w:p>
      <w:pPr>
        <w:pStyle w:val="6"/>
        <w:rPr>
          <w:rFonts w:ascii="Times New Roman"/>
          <w:b/>
          <w:bCs/>
          <w:lang w:eastAsia="zh-CN"/>
        </w:rPr>
      </w:pPr>
      <w:r>
        <w:rPr>
          <w:rFonts w:hint="eastAsia" w:ascii="Times New Roman"/>
          <w:b/>
          <w:bCs/>
          <w:lang w:eastAsia="zh-CN"/>
        </w:rPr>
        <w:t>附件一</w:t>
      </w:r>
    </w:p>
    <w:p>
      <w:pPr>
        <w:pStyle w:val="2"/>
        <w:spacing w:line="44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腾龙芳烃（漳州）有限公司</w:t>
      </w:r>
    </w:p>
    <w:p>
      <w:pPr>
        <w:pStyle w:val="2"/>
        <w:spacing w:line="440" w:lineRule="exact"/>
        <w:jc w:val="center"/>
        <w:rPr>
          <w:b/>
          <w:color w:val="000000"/>
          <w:sz w:val="32"/>
          <w:szCs w:val="32"/>
        </w:rPr>
      </w:pPr>
      <w:r>
        <w:rPr>
          <w:rFonts w:hint="eastAsia" w:asciiTheme="majorEastAsia" w:hAnsiTheme="majorEastAsia" w:eastAsiaTheme="majorEastAsia"/>
          <w:b/>
          <w:sz w:val="32"/>
          <w:szCs w:val="32"/>
        </w:rPr>
        <w:t>11台流量计检定校准</w:t>
      </w:r>
      <w:r>
        <w:rPr>
          <w:rFonts w:hint="eastAsia"/>
          <w:b/>
          <w:color w:val="000000"/>
          <w:sz w:val="32"/>
          <w:szCs w:val="32"/>
        </w:rPr>
        <w:t>委托合同</w:t>
      </w:r>
    </w:p>
    <w:p>
      <w:pPr>
        <w:spacing w:line="360" w:lineRule="auto"/>
        <w:ind w:firstLine="3960" w:firstLineChars="1650"/>
        <w:rPr>
          <w:color w:val="000000"/>
          <w:sz w:val="24"/>
          <w:lang w:eastAsia="zh-CN"/>
        </w:rPr>
      </w:pPr>
      <w:r>
        <w:rPr>
          <w:rFonts w:hint="eastAsia"/>
          <w:color w:val="000000"/>
          <w:sz w:val="24"/>
          <w:lang w:eastAsia="zh-CN"/>
        </w:rPr>
        <w:t>合同编号：</w:t>
      </w:r>
    </w:p>
    <w:p>
      <w:pPr>
        <w:pStyle w:val="2"/>
        <w:spacing w:line="360" w:lineRule="auto"/>
        <w:ind w:firstLine="3960" w:firstLineChars="1650"/>
        <w:rPr>
          <w:sz w:val="24"/>
          <w:szCs w:val="24"/>
        </w:rPr>
      </w:pPr>
      <w:r>
        <w:rPr>
          <w:rFonts w:hint="eastAsia"/>
          <w:sz w:val="24"/>
          <w:szCs w:val="24"/>
        </w:rPr>
        <w:t>签订日期：</w:t>
      </w:r>
    </w:p>
    <w:p>
      <w:pPr>
        <w:spacing w:line="360" w:lineRule="auto"/>
        <w:rPr>
          <w:color w:val="000000"/>
          <w:sz w:val="24"/>
          <w:lang w:eastAsia="zh-CN"/>
        </w:rPr>
      </w:pPr>
      <w:r>
        <w:rPr>
          <w:rFonts w:hint="eastAsia"/>
          <w:color w:val="000000"/>
          <w:sz w:val="24"/>
          <w:lang w:eastAsia="zh-CN"/>
        </w:rPr>
        <w:t>甲方：腾龙芳烃（漳州）有限公司</w:t>
      </w:r>
    </w:p>
    <w:p>
      <w:pPr>
        <w:pStyle w:val="2"/>
        <w:rPr>
          <w:color w:val="000000"/>
          <w:sz w:val="24"/>
        </w:rPr>
      </w:pPr>
      <w:r>
        <w:rPr>
          <w:rFonts w:hint="eastAsia"/>
          <w:color w:val="000000"/>
          <w:sz w:val="24"/>
        </w:rPr>
        <w:t>乙方：</w:t>
      </w:r>
      <w:r>
        <w:rPr>
          <w:color w:val="000000"/>
          <w:sz w:val="24"/>
        </w:rPr>
        <w:t xml:space="preserve"> </w:t>
      </w:r>
    </w:p>
    <w:p>
      <w:pPr>
        <w:spacing w:line="360" w:lineRule="auto"/>
        <w:ind w:firstLine="480" w:firstLineChars="200"/>
        <w:rPr>
          <w:rStyle w:val="24"/>
          <w:color w:val="000000"/>
          <w:sz w:val="24"/>
          <w:lang w:eastAsia="zh-CN"/>
        </w:rPr>
      </w:pPr>
      <w:r>
        <w:rPr>
          <w:rFonts w:hint="eastAsia"/>
          <w:color w:val="000000"/>
          <w:sz w:val="24"/>
          <w:lang w:eastAsia="zh-CN"/>
        </w:rPr>
        <w:t>经甲乙双方商定，</w:t>
      </w:r>
      <w:r>
        <w:rPr>
          <w:rFonts w:hint="eastAsia" w:asciiTheme="minorEastAsia" w:hAnsiTheme="minorEastAsia" w:eastAsiaTheme="minorEastAsia"/>
          <w:sz w:val="24"/>
          <w:lang w:eastAsia="zh-CN"/>
        </w:rPr>
        <w:t>在真实、充分地表达各自意愿的基础上，根据《中华人民共和国民法典》的规定，</w:t>
      </w:r>
      <w:r>
        <w:rPr>
          <w:rFonts w:hint="eastAsia"/>
          <w:color w:val="000000"/>
          <w:sz w:val="24"/>
          <w:lang w:eastAsia="zh-CN"/>
        </w:rPr>
        <w:t>就甲方委托乙方提供流量计检定校准服务相关事宜，</w:t>
      </w:r>
      <w:r>
        <w:rPr>
          <w:rFonts w:hint="eastAsia" w:asciiTheme="minorEastAsia" w:hAnsiTheme="minorEastAsia" w:eastAsiaTheme="minorEastAsia"/>
          <w:sz w:val="24"/>
          <w:lang w:eastAsia="zh-CN"/>
        </w:rPr>
        <w:t>达成如下协议，并由双方共同恪守。</w:t>
      </w:r>
    </w:p>
    <w:p>
      <w:pPr>
        <w:spacing w:line="360" w:lineRule="auto"/>
        <w:rPr>
          <w:color w:val="000000"/>
          <w:sz w:val="24"/>
          <w:lang w:eastAsia="zh-CN"/>
        </w:rPr>
      </w:pPr>
      <w:r>
        <w:rPr>
          <w:rFonts w:hint="eastAsia"/>
          <w:color w:val="000000"/>
          <w:sz w:val="24"/>
          <w:lang w:eastAsia="zh-CN"/>
        </w:rPr>
        <w:t>一、委托检定项目：</w:t>
      </w:r>
    </w:p>
    <w:p>
      <w:pPr>
        <w:spacing w:line="360" w:lineRule="auto"/>
        <w:ind w:firstLine="480" w:firstLineChars="200"/>
        <w:rPr>
          <w:color w:val="000000"/>
          <w:sz w:val="24"/>
          <w:lang w:eastAsia="zh-CN"/>
        </w:rPr>
      </w:pPr>
      <w:r>
        <w:rPr>
          <w:rFonts w:hint="eastAsia"/>
          <w:color w:val="000000"/>
          <w:sz w:val="24"/>
          <w:lang w:eastAsia="zh-CN"/>
        </w:rPr>
        <w:t>甲方委托乙方对</w:t>
      </w:r>
      <w:r>
        <w:rPr>
          <w:color w:val="000000"/>
          <w:sz w:val="24"/>
          <w:u w:val="single"/>
          <w:lang w:eastAsia="zh-CN"/>
        </w:rPr>
        <w:t xml:space="preserve"> </w:t>
      </w:r>
      <w:r>
        <w:rPr>
          <w:rFonts w:hint="eastAsia"/>
          <w:color w:val="000000"/>
          <w:sz w:val="24"/>
          <w:u w:val="single"/>
          <w:lang w:eastAsia="zh-CN"/>
        </w:rPr>
        <w:t>11台流量计</w:t>
      </w:r>
      <w:r>
        <w:rPr>
          <w:color w:val="000000"/>
          <w:sz w:val="24"/>
          <w:u w:val="single"/>
          <w:lang w:eastAsia="zh-CN"/>
        </w:rPr>
        <w:t xml:space="preserve"> </w:t>
      </w:r>
      <w:r>
        <w:rPr>
          <w:rFonts w:hint="eastAsia"/>
          <w:color w:val="000000"/>
          <w:sz w:val="24"/>
          <w:lang w:eastAsia="zh-CN"/>
        </w:rPr>
        <w:t>进行检定校准。</w:t>
      </w:r>
    </w:p>
    <w:p>
      <w:pPr>
        <w:spacing w:line="360" w:lineRule="auto"/>
        <w:ind w:firstLine="480" w:firstLineChars="200"/>
        <w:rPr>
          <w:color w:val="000000"/>
          <w:sz w:val="24"/>
          <w:lang w:eastAsia="zh-CN"/>
        </w:rPr>
      </w:pPr>
      <w:r>
        <w:rPr>
          <w:rFonts w:hint="eastAsia"/>
          <w:color w:val="000000"/>
          <w:sz w:val="24"/>
          <w:lang w:eastAsia="zh-CN"/>
        </w:rPr>
        <w:t>数量：1台质量流量计，10台多孔平衡流量计</w:t>
      </w:r>
    </w:p>
    <w:p>
      <w:pPr>
        <w:spacing w:line="360" w:lineRule="auto"/>
        <w:ind w:left="1560" w:hanging="1560" w:hangingChars="650"/>
        <w:rPr>
          <w:color w:val="000000"/>
          <w:sz w:val="24"/>
          <w:lang w:eastAsia="zh-CN"/>
        </w:rPr>
      </w:pPr>
      <w:r>
        <w:rPr>
          <w:rFonts w:hint="eastAsia"/>
          <w:color w:val="000000"/>
          <w:sz w:val="24"/>
          <w:lang w:eastAsia="zh-CN"/>
        </w:rPr>
        <w:t>二、检测标准:</w:t>
      </w:r>
    </w:p>
    <w:p>
      <w:pPr>
        <w:spacing w:line="360" w:lineRule="auto"/>
        <w:ind w:firstLine="480" w:firstLineChars="200"/>
        <w:rPr>
          <w:sz w:val="24"/>
          <w:lang w:eastAsia="zh-CN"/>
        </w:rPr>
      </w:pPr>
      <w:r>
        <w:rPr>
          <w:rFonts w:hint="eastAsia"/>
          <w:color w:val="000000"/>
          <w:sz w:val="24"/>
          <w:lang w:eastAsia="zh-CN"/>
        </w:rPr>
        <w:t>按照国家、地方、行业标准对进行检定，具体使用的检测标</w:t>
      </w:r>
      <w:r>
        <w:rPr>
          <w:rFonts w:hint="eastAsia"/>
          <w:sz w:val="24"/>
          <w:lang w:eastAsia="zh-CN"/>
        </w:rPr>
        <w:t>准为</w:t>
      </w:r>
      <w:r>
        <w:rPr>
          <w:sz w:val="24"/>
          <w:u w:val="single"/>
          <w:lang w:eastAsia="zh-CN"/>
        </w:rPr>
        <w:t xml:space="preserve"> </w:t>
      </w:r>
      <w:r>
        <w:rPr>
          <w:rFonts w:hint="eastAsia"/>
          <w:sz w:val="24"/>
          <w:u w:val="single"/>
          <w:lang w:eastAsia="zh-CN"/>
        </w:rPr>
        <w:t>检定规程或校准规范</w:t>
      </w:r>
      <w:r>
        <w:rPr>
          <w:sz w:val="24"/>
          <w:u w:val="single"/>
          <w:lang w:eastAsia="zh-CN"/>
        </w:rPr>
        <w:t xml:space="preserve">  </w:t>
      </w:r>
      <w:r>
        <w:rPr>
          <w:rFonts w:hint="eastAsia"/>
          <w:sz w:val="24"/>
          <w:lang w:eastAsia="zh-CN"/>
        </w:rPr>
        <w:t>。</w:t>
      </w:r>
    </w:p>
    <w:p>
      <w:pPr>
        <w:spacing w:line="360" w:lineRule="auto"/>
        <w:rPr>
          <w:sz w:val="24"/>
          <w:lang w:eastAsia="zh-CN"/>
        </w:rPr>
      </w:pPr>
      <w:r>
        <w:rPr>
          <w:rFonts w:hint="eastAsia"/>
          <w:sz w:val="24"/>
          <w:lang w:eastAsia="zh-CN"/>
        </w:rPr>
        <w:t>三、甲方的权利义务</w:t>
      </w:r>
    </w:p>
    <w:p>
      <w:pPr>
        <w:spacing w:line="360" w:lineRule="auto"/>
        <w:rPr>
          <w:sz w:val="24"/>
          <w:lang w:eastAsia="zh-CN"/>
        </w:rPr>
      </w:pPr>
      <w:r>
        <w:rPr>
          <w:rFonts w:hint="eastAsia"/>
          <w:sz w:val="24"/>
          <w:lang w:eastAsia="zh-CN"/>
        </w:rPr>
        <w:t xml:space="preserve">   1、甲方有权监督乙方的检定工作。</w:t>
      </w:r>
    </w:p>
    <w:p>
      <w:pPr>
        <w:spacing w:line="360" w:lineRule="auto"/>
        <w:rPr>
          <w:sz w:val="24"/>
          <w:lang w:eastAsia="zh-CN"/>
        </w:rPr>
      </w:pPr>
      <w:r>
        <w:rPr>
          <w:rFonts w:hint="eastAsia"/>
          <w:sz w:val="24"/>
          <w:lang w:eastAsia="zh-CN"/>
        </w:rPr>
        <w:t xml:space="preserve">   2、甲方根据乙方工作需要配合乙方检测工作，并提供人员协助及相关资料。</w:t>
      </w:r>
    </w:p>
    <w:p>
      <w:pPr>
        <w:spacing w:line="360" w:lineRule="auto"/>
        <w:rPr>
          <w:sz w:val="24"/>
          <w:lang w:eastAsia="zh-CN"/>
        </w:rPr>
      </w:pPr>
      <w:r>
        <w:rPr>
          <w:rFonts w:hint="eastAsia"/>
          <w:sz w:val="24"/>
          <w:lang w:eastAsia="zh-CN"/>
        </w:rPr>
        <w:t xml:space="preserve">   3、按约定支付检定费用。</w:t>
      </w:r>
    </w:p>
    <w:p>
      <w:pPr>
        <w:spacing w:line="360" w:lineRule="auto"/>
        <w:rPr>
          <w:sz w:val="24"/>
          <w:lang w:eastAsia="zh-CN"/>
        </w:rPr>
      </w:pPr>
      <w:r>
        <w:rPr>
          <w:rFonts w:hint="eastAsia"/>
          <w:sz w:val="24"/>
          <w:lang w:eastAsia="zh-CN"/>
        </w:rPr>
        <w:t>四、乙方的权利义务：</w:t>
      </w:r>
    </w:p>
    <w:p>
      <w:pPr>
        <w:spacing w:line="360" w:lineRule="auto"/>
        <w:ind w:firstLine="360" w:firstLineChars="150"/>
        <w:rPr>
          <w:sz w:val="24"/>
          <w:lang w:eastAsia="zh-CN"/>
        </w:rPr>
      </w:pPr>
      <w:r>
        <w:rPr>
          <w:rFonts w:hint="eastAsia"/>
          <w:sz w:val="24"/>
          <w:lang w:eastAsia="zh-CN"/>
        </w:rPr>
        <w:t>1、乙方根据甲方要求按照约定的检定标准对流量计进行检定校准。</w:t>
      </w:r>
    </w:p>
    <w:p>
      <w:pPr>
        <w:spacing w:line="360" w:lineRule="auto"/>
        <w:ind w:firstLine="360" w:firstLineChars="150"/>
        <w:rPr>
          <w:sz w:val="24"/>
          <w:lang w:eastAsia="zh-CN"/>
        </w:rPr>
      </w:pPr>
      <w:r>
        <w:rPr>
          <w:rFonts w:hint="eastAsia"/>
          <w:sz w:val="24"/>
          <w:lang w:eastAsia="zh-CN"/>
        </w:rPr>
        <w:t>2、按约定完成检定并出具检定或校准报告证书。</w:t>
      </w:r>
    </w:p>
    <w:p>
      <w:pPr>
        <w:spacing w:line="360" w:lineRule="auto"/>
        <w:ind w:firstLine="360" w:firstLineChars="150"/>
        <w:rPr>
          <w:sz w:val="24"/>
          <w:lang w:eastAsia="zh-CN"/>
        </w:rPr>
      </w:pPr>
      <w:r>
        <w:rPr>
          <w:rFonts w:hint="eastAsia"/>
          <w:sz w:val="24"/>
          <w:lang w:eastAsia="zh-CN"/>
        </w:rPr>
        <w:t>3、对检定校准中知悉的甲方商业、技术、经营管理等保密信息承担保密责任。</w:t>
      </w:r>
    </w:p>
    <w:p>
      <w:pPr>
        <w:pStyle w:val="2"/>
        <w:spacing w:line="360" w:lineRule="auto"/>
        <w:rPr>
          <w:sz w:val="24"/>
        </w:rPr>
      </w:pPr>
      <w:r>
        <w:rPr>
          <w:rFonts w:hint="eastAsia"/>
          <w:sz w:val="24"/>
          <w:szCs w:val="24"/>
        </w:rPr>
        <w:t xml:space="preserve">   4、</w:t>
      </w:r>
      <w:r>
        <w:rPr>
          <w:rFonts w:hint="eastAsia"/>
          <w:sz w:val="24"/>
        </w:rPr>
        <w:t>承担取送仪表运输过程中发生的一切费用。在流量计交付给甲方之前，相关的毁损、灭失等风险均由乙方自行承担。</w:t>
      </w:r>
    </w:p>
    <w:p>
      <w:pPr>
        <w:pStyle w:val="2"/>
        <w:spacing w:line="360" w:lineRule="auto"/>
        <w:rPr>
          <w:sz w:val="24"/>
          <w:szCs w:val="24"/>
        </w:rPr>
      </w:pPr>
      <w:r>
        <w:rPr>
          <w:rFonts w:hint="eastAsia"/>
          <w:sz w:val="24"/>
        </w:rPr>
        <w:t xml:space="preserve">    5、乙方负责检定，测试仪表的真实性能，确保检测数据准确可靠，检测时如发现被检仪器性能缺陷，将通知甲方。</w:t>
      </w:r>
    </w:p>
    <w:p>
      <w:pPr>
        <w:spacing w:line="360" w:lineRule="auto"/>
        <w:rPr>
          <w:color w:val="000000"/>
          <w:sz w:val="24"/>
          <w:lang w:eastAsia="zh-CN"/>
        </w:rPr>
      </w:pPr>
      <w:r>
        <w:rPr>
          <w:rFonts w:hint="eastAsia"/>
          <w:sz w:val="24"/>
          <w:lang w:eastAsia="zh-CN"/>
        </w:rPr>
        <w:t>五、收费标准</w:t>
      </w:r>
      <w:r>
        <w:rPr>
          <w:rFonts w:hint="eastAsia"/>
          <w:sz w:val="24"/>
          <w:lang w:eastAsia="zh-CN"/>
        </w:rPr>
        <w:br w:type="textWrapping"/>
      </w:r>
      <w:r>
        <w:rPr>
          <w:rFonts w:hint="eastAsia"/>
          <w:sz w:val="24"/>
          <w:lang w:eastAsia="zh-CN"/>
        </w:rPr>
        <w:t>　  本次检定费暂定为</w:t>
      </w:r>
      <w:r>
        <w:rPr>
          <w:sz w:val="24"/>
          <w:u w:val="single"/>
          <w:lang w:eastAsia="zh-CN"/>
        </w:rPr>
        <w:t xml:space="preserve"> </w:t>
      </w:r>
      <w:r>
        <w:rPr>
          <w:rFonts w:hint="eastAsia"/>
          <w:sz w:val="24"/>
          <w:u w:val="single"/>
          <w:lang w:eastAsia="zh-CN"/>
        </w:rPr>
        <w:t xml:space="preserve">      </w:t>
      </w:r>
      <w:r>
        <w:rPr>
          <w:rFonts w:hint="eastAsia"/>
          <w:sz w:val="24"/>
          <w:lang w:eastAsia="zh-CN"/>
        </w:rPr>
        <w:t>元整（</w:t>
      </w:r>
      <w:r>
        <w:rPr>
          <w:rFonts w:hint="eastAsia"/>
          <w:sz w:val="24"/>
          <w:u w:val="single"/>
          <w:lang w:eastAsia="zh-CN"/>
        </w:rPr>
        <w:t xml:space="preserve">￥        </w:t>
      </w:r>
      <w:r>
        <w:rPr>
          <w:rFonts w:hint="eastAsia"/>
          <w:color w:val="000000"/>
          <w:sz w:val="24"/>
          <w:lang w:eastAsia="zh-CN"/>
        </w:rPr>
        <w:t>元）。具体见附件1“价格表”,含检测费、清洗费、运输及包装费、税费等，税率</w:t>
      </w:r>
      <w:r>
        <w:rPr>
          <w:rFonts w:hint="eastAsia"/>
          <w:color w:val="000000"/>
          <w:sz w:val="24"/>
          <w:u w:val="single"/>
          <w:lang w:eastAsia="zh-CN"/>
        </w:rPr>
        <w:t xml:space="preserve">   </w:t>
      </w:r>
      <w:r>
        <w:rPr>
          <w:rFonts w:hint="eastAsia"/>
          <w:color w:val="000000"/>
          <w:sz w:val="24"/>
          <w:lang w:eastAsia="zh-CN"/>
        </w:rPr>
        <w:t>%。</w:t>
      </w:r>
    </w:p>
    <w:p>
      <w:pPr>
        <w:pStyle w:val="2"/>
        <w:spacing w:line="360" w:lineRule="auto"/>
        <w:rPr>
          <w:sz w:val="24"/>
          <w:szCs w:val="24"/>
        </w:rPr>
      </w:pPr>
      <w:r>
        <w:rPr>
          <w:rFonts w:hint="eastAsia"/>
          <w:sz w:val="24"/>
          <w:szCs w:val="24"/>
        </w:rPr>
        <w:t xml:space="preserve">    采取暂定总价，固定单价，据实结算的方式。</w:t>
      </w:r>
    </w:p>
    <w:p>
      <w:pPr>
        <w:spacing w:line="360" w:lineRule="auto"/>
        <w:rPr>
          <w:rStyle w:val="24"/>
          <w:sz w:val="24"/>
          <w:lang w:eastAsia="zh-CN"/>
        </w:rPr>
      </w:pPr>
      <w:r>
        <w:rPr>
          <w:rFonts w:hint="eastAsia"/>
          <w:color w:val="000000"/>
          <w:sz w:val="24"/>
          <w:lang w:eastAsia="zh-CN"/>
        </w:rPr>
        <w:t>六、</w:t>
      </w:r>
      <w:r>
        <w:rPr>
          <w:rFonts w:hint="eastAsia"/>
          <w:sz w:val="24"/>
          <w:lang w:eastAsia="zh-CN"/>
        </w:rPr>
        <w:t>协议期限：合同生效后，</w:t>
      </w:r>
      <w:r>
        <w:rPr>
          <w:rFonts w:hint="eastAsia"/>
          <w:sz w:val="24"/>
          <w:u w:val="single"/>
          <w:lang w:eastAsia="zh-CN"/>
        </w:rPr>
        <w:t>根据双方协商，约定日期</w:t>
      </w:r>
      <w:r>
        <w:rPr>
          <w:rFonts w:hint="eastAsia"/>
          <w:sz w:val="24"/>
          <w:lang w:eastAsia="zh-CN"/>
        </w:rPr>
        <w:t>安排下线检定。</w:t>
      </w:r>
      <w:r>
        <w:rPr>
          <w:rStyle w:val="24"/>
          <w:rFonts w:hint="eastAsia"/>
          <w:sz w:val="24"/>
          <w:lang w:eastAsia="zh-CN"/>
        </w:rPr>
        <w:t> </w:t>
      </w:r>
    </w:p>
    <w:p>
      <w:pPr>
        <w:spacing w:line="360" w:lineRule="auto"/>
        <w:rPr>
          <w:rStyle w:val="24"/>
          <w:sz w:val="24"/>
          <w:lang w:eastAsia="zh-CN"/>
        </w:rPr>
      </w:pPr>
      <w:r>
        <w:rPr>
          <w:rFonts w:hint="eastAsia"/>
          <w:sz w:val="24"/>
          <w:lang w:eastAsia="zh-CN"/>
        </w:rPr>
        <w:t>七、付款方式：无预付款，流量计检定校准完成后30日内，且收到乙方提供的全额增值税专用发票后，甲方支付应付款项。</w:t>
      </w:r>
      <w:r>
        <w:rPr>
          <w:rStyle w:val="24"/>
          <w:rFonts w:hint="eastAsia"/>
          <w:sz w:val="24"/>
          <w:lang w:eastAsia="zh-CN"/>
        </w:rPr>
        <w:t> </w:t>
      </w:r>
    </w:p>
    <w:p>
      <w:pPr>
        <w:pStyle w:val="8"/>
        <w:spacing w:line="360" w:lineRule="auto"/>
        <w:ind w:firstLine="480" w:firstLineChars="200"/>
        <w:rPr>
          <w:rFonts w:hAnsi="宋体"/>
          <w:sz w:val="24"/>
          <w:szCs w:val="24"/>
          <w:lang w:eastAsia="zh-CN"/>
        </w:rPr>
      </w:pPr>
      <w:r>
        <w:rPr>
          <w:rFonts w:hint="eastAsia" w:hAnsi="宋体"/>
          <w:sz w:val="24"/>
          <w:szCs w:val="24"/>
          <w:lang w:eastAsia="zh-CN"/>
        </w:rPr>
        <w:t>公司名称：</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pPr>
        <w:pStyle w:val="8"/>
        <w:spacing w:line="360" w:lineRule="auto"/>
        <w:ind w:firstLine="480" w:firstLineChars="200"/>
        <w:rPr>
          <w:rFonts w:hAnsi="宋体"/>
          <w:sz w:val="24"/>
          <w:szCs w:val="24"/>
          <w:lang w:eastAsia="zh-CN"/>
        </w:rPr>
      </w:pPr>
      <w:r>
        <w:rPr>
          <w:rFonts w:hint="eastAsia" w:hAnsi="宋体"/>
          <w:sz w:val="24"/>
          <w:szCs w:val="24"/>
          <w:lang w:eastAsia="zh-CN"/>
        </w:rPr>
        <w:t>开户银行：</w:t>
      </w:r>
      <w:r>
        <w:rPr>
          <w:rFonts w:hint="eastAsia"/>
          <w:sz w:val="24"/>
          <w:szCs w:val="24"/>
          <w:u w:val="single"/>
          <w:lang w:eastAsia="zh-CN"/>
        </w:rPr>
        <w:t xml:space="preserve">              </w:t>
      </w:r>
      <w:r>
        <w:rPr>
          <w:sz w:val="24"/>
          <w:szCs w:val="24"/>
          <w:u w:val="single"/>
          <w:lang w:eastAsia="zh-CN"/>
        </w:rPr>
        <w:t xml:space="preserve"> </w:t>
      </w:r>
    </w:p>
    <w:p>
      <w:pPr>
        <w:spacing w:line="360" w:lineRule="auto"/>
        <w:ind w:firstLine="480" w:firstLineChars="200"/>
        <w:rPr>
          <w:sz w:val="24"/>
          <w:u w:val="single"/>
          <w:lang w:eastAsia="zh-CN"/>
        </w:rPr>
      </w:pPr>
      <w:r>
        <w:rPr>
          <w:rFonts w:hint="eastAsia"/>
          <w:sz w:val="24"/>
          <w:lang w:eastAsia="zh-CN"/>
        </w:rPr>
        <w:t>账    号：</w:t>
      </w:r>
      <w:r>
        <w:rPr>
          <w:rFonts w:hint="eastAsia"/>
          <w:sz w:val="24"/>
          <w:u w:val="single"/>
          <w:lang w:eastAsia="zh-CN"/>
        </w:rPr>
        <w:t xml:space="preserve">               </w:t>
      </w:r>
    </w:p>
    <w:p>
      <w:pPr>
        <w:spacing w:line="360" w:lineRule="auto"/>
        <w:ind w:firstLine="480" w:firstLineChars="200"/>
        <w:rPr>
          <w:color w:val="000000"/>
          <w:sz w:val="24"/>
          <w:lang w:eastAsia="zh-CN"/>
        </w:rPr>
      </w:pPr>
      <w:r>
        <w:rPr>
          <w:rFonts w:hint="eastAsia"/>
          <w:sz w:val="24"/>
          <w:lang w:eastAsia="zh-CN"/>
        </w:rPr>
        <w:t>乙方应在甲方付款前</w:t>
      </w:r>
      <w:r>
        <w:rPr>
          <w:rFonts w:hint="eastAsia"/>
          <w:sz w:val="24"/>
          <w:u w:val="single"/>
          <w:lang w:eastAsia="zh-CN"/>
        </w:rPr>
        <w:t>15个工作日</w:t>
      </w:r>
      <w:r>
        <w:rPr>
          <w:rFonts w:hint="eastAsia"/>
          <w:sz w:val="24"/>
          <w:lang w:eastAsia="zh-CN"/>
        </w:rPr>
        <w:t>内</w:t>
      </w:r>
      <w:r>
        <w:rPr>
          <w:rFonts w:hint="eastAsia"/>
          <w:color w:val="000000"/>
          <w:sz w:val="24"/>
          <w:lang w:eastAsia="zh-CN"/>
        </w:rPr>
        <w:t>提供</w:t>
      </w:r>
      <w:r>
        <w:rPr>
          <w:rFonts w:hint="eastAsia"/>
          <w:color w:val="000000"/>
          <w:sz w:val="24"/>
          <w:u w:val="single"/>
          <w:lang w:eastAsia="zh-CN"/>
        </w:rPr>
        <w:t xml:space="preserve">   %</w:t>
      </w:r>
      <w:r>
        <w:rPr>
          <w:rFonts w:hint="eastAsia"/>
          <w:color w:val="000000"/>
          <w:sz w:val="24"/>
          <w:lang w:eastAsia="zh-CN"/>
        </w:rPr>
        <w:t>增值税专用发票，否则甲方有权顺延付款。</w:t>
      </w:r>
    </w:p>
    <w:p>
      <w:pPr>
        <w:spacing w:line="360" w:lineRule="auto"/>
        <w:ind w:firstLine="420"/>
        <w:rPr>
          <w:rStyle w:val="24"/>
          <w:color w:val="000000"/>
          <w:sz w:val="24"/>
          <w:lang w:eastAsia="zh-CN"/>
        </w:rPr>
      </w:pPr>
      <w:r>
        <w:rPr>
          <w:rFonts w:hint="eastAsia"/>
          <w:color w:val="000000"/>
          <w:sz w:val="24"/>
          <w:lang w:eastAsia="zh-CN"/>
        </w:rPr>
        <w:t>八、违约责任：</w:t>
      </w:r>
    </w:p>
    <w:p>
      <w:pPr>
        <w:spacing w:line="360" w:lineRule="auto"/>
        <w:ind w:firstLine="480" w:firstLineChars="200"/>
        <w:rPr>
          <w:rStyle w:val="24"/>
          <w:color w:val="000000"/>
          <w:sz w:val="24"/>
          <w:lang w:eastAsia="zh-CN"/>
        </w:rPr>
      </w:pPr>
      <w:r>
        <w:rPr>
          <w:rStyle w:val="24"/>
          <w:rFonts w:hint="eastAsia"/>
          <w:color w:val="000000"/>
          <w:sz w:val="24"/>
          <w:lang w:eastAsia="zh-CN"/>
        </w:rPr>
        <w:t>1、乙方逾期提交报告的，每日应向甲方支付违约金人民币</w:t>
      </w:r>
      <w:r>
        <w:rPr>
          <w:color w:val="000000"/>
          <w:sz w:val="24"/>
          <w:u w:val="single"/>
          <w:lang w:eastAsia="zh-CN"/>
        </w:rPr>
        <w:t xml:space="preserve"> </w:t>
      </w:r>
      <w:r>
        <w:rPr>
          <w:rFonts w:hint="eastAsia"/>
          <w:color w:val="000000"/>
          <w:sz w:val="24"/>
          <w:u w:val="single"/>
          <w:lang w:eastAsia="zh-CN"/>
        </w:rPr>
        <w:t>1000</w:t>
      </w:r>
      <w:r>
        <w:rPr>
          <w:color w:val="000000"/>
          <w:sz w:val="24"/>
          <w:u w:val="single"/>
          <w:lang w:eastAsia="zh-CN"/>
        </w:rPr>
        <w:t xml:space="preserve">  </w:t>
      </w:r>
      <w:r>
        <w:rPr>
          <w:rStyle w:val="24"/>
          <w:rFonts w:hint="eastAsia"/>
          <w:color w:val="000000"/>
          <w:sz w:val="24"/>
          <w:lang w:eastAsia="zh-CN"/>
        </w:rPr>
        <w:t>元，逾期超过</w:t>
      </w:r>
      <w:r>
        <w:rPr>
          <w:rStyle w:val="24"/>
          <w:rFonts w:hint="eastAsia"/>
          <w:color w:val="000000"/>
          <w:sz w:val="24"/>
          <w:u w:val="single"/>
          <w:lang w:eastAsia="zh-CN"/>
        </w:rPr>
        <w:t>30</w:t>
      </w:r>
      <w:r>
        <w:rPr>
          <w:color w:val="000000"/>
          <w:sz w:val="24"/>
          <w:u w:val="single"/>
          <w:lang w:eastAsia="zh-CN"/>
        </w:rPr>
        <w:t xml:space="preserve"> </w:t>
      </w:r>
      <w:r>
        <w:rPr>
          <w:rStyle w:val="24"/>
          <w:rFonts w:hint="eastAsia"/>
          <w:color w:val="000000"/>
          <w:sz w:val="24"/>
          <w:lang w:eastAsia="zh-CN"/>
        </w:rPr>
        <w:t>日的，甲方还有权解除本合同并要求乙方承担合同总额10%的违约金。</w:t>
      </w:r>
    </w:p>
    <w:p>
      <w:pPr>
        <w:spacing w:line="360" w:lineRule="auto"/>
        <w:ind w:firstLine="480" w:firstLineChars="200"/>
        <w:rPr>
          <w:rStyle w:val="24"/>
          <w:sz w:val="24"/>
          <w:lang w:eastAsia="zh-CN"/>
        </w:rPr>
      </w:pPr>
      <w:r>
        <w:rPr>
          <w:rStyle w:val="24"/>
          <w:rFonts w:hint="eastAsia"/>
          <w:sz w:val="24"/>
          <w:lang w:eastAsia="zh-CN"/>
        </w:rPr>
        <w:t>2、</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spacing w:line="360" w:lineRule="auto"/>
        <w:ind w:firstLine="480" w:firstLineChars="200"/>
        <w:rPr>
          <w:rStyle w:val="24"/>
          <w:sz w:val="24"/>
          <w:lang w:eastAsia="zh-CN"/>
        </w:rPr>
      </w:pPr>
      <w:r>
        <w:rPr>
          <w:rStyle w:val="24"/>
          <w:rFonts w:hint="eastAsia"/>
          <w:sz w:val="24"/>
          <w:lang w:eastAsia="zh-CN"/>
        </w:rPr>
        <w:t>3、乙方违反保密义务，应向甲方支付违约金</w:t>
      </w:r>
      <w:r>
        <w:rPr>
          <w:sz w:val="24"/>
          <w:u w:val="single"/>
          <w:lang w:eastAsia="zh-CN"/>
        </w:rPr>
        <w:t xml:space="preserve"> </w:t>
      </w:r>
      <w:r>
        <w:rPr>
          <w:rFonts w:hint="eastAsia"/>
          <w:sz w:val="24"/>
          <w:u w:val="single"/>
          <w:lang w:eastAsia="zh-CN"/>
        </w:rPr>
        <w:t>10000</w:t>
      </w:r>
      <w:r>
        <w:rPr>
          <w:sz w:val="24"/>
          <w:u w:val="single"/>
          <w:lang w:eastAsia="zh-CN"/>
        </w:rPr>
        <w:t xml:space="preserve"> </w:t>
      </w:r>
      <w:r>
        <w:rPr>
          <w:rStyle w:val="24"/>
          <w:rFonts w:hint="eastAsia"/>
          <w:sz w:val="24"/>
          <w:lang w:eastAsia="zh-CN"/>
        </w:rPr>
        <w:t>元，并赔偿由此给甲方造成的损失。</w:t>
      </w:r>
    </w:p>
    <w:p>
      <w:pPr>
        <w:pStyle w:val="2"/>
        <w:spacing w:line="360" w:lineRule="auto"/>
        <w:rPr>
          <w:sz w:val="24"/>
          <w:szCs w:val="24"/>
        </w:rPr>
      </w:pPr>
      <w:r>
        <w:rPr>
          <w:rFonts w:hint="eastAsia"/>
          <w:sz w:val="24"/>
          <w:szCs w:val="24"/>
        </w:rPr>
        <w:t xml:space="preserve">    4、乙方提供的报告不符合合同约定的，应根据甲方要求进行整改，由此造成的逾期，参照第一款执行。</w:t>
      </w:r>
    </w:p>
    <w:p>
      <w:pPr>
        <w:spacing w:line="360" w:lineRule="auto"/>
        <w:ind w:firstLine="480" w:firstLineChars="200"/>
        <w:rPr>
          <w:color w:val="000000"/>
          <w:sz w:val="24"/>
          <w:lang w:eastAsia="zh-CN"/>
        </w:rPr>
      </w:pPr>
      <w:r>
        <w:rPr>
          <w:rFonts w:hint="eastAsia"/>
          <w:color w:val="000000"/>
          <w:sz w:val="24"/>
          <w:lang w:eastAsia="zh-CN"/>
        </w:rPr>
        <w:t xml:space="preserve">九、其他约定： </w:t>
      </w:r>
    </w:p>
    <w:p>
      <w:pPr>
        <w:spacing w:line="360" w:lineRule="auto"/>
        <w:ind w:firstLine="480" w:firstLineChars="200"/>
        <w:rPr>
          <w:rStyle w:val="24"/>
          <w:color w:val="000000"/>
          <w:sz w:val="24"/>
          <w:lang w:eastAsia="zh-CN"/>
        </w:rPr>
      </w:pPr>
      <w:r>
        <w:rPr>
          <w:rStyle w:val="24"/>
          <w:rFonts w:hint="eastAsia"/>
          <w:color w:val="000000"/>
          <w:sz w:val="24"/>
          <w:lang w:eastAsia="zh-CN"/>
        </w:rPr>
        <w:t>1、在检定结果的实际运用中，如有证据证明乙方存在弄虚作假等违反本合同约定的情形，甲方仍有权要求乙方承担由此造成的损失和法律后果。</w:t>
      </w:r>
    </w:p>
    <w:p>
      <w:pPr>
        <w:spacing w:line="360" w:lineRule="auto"/>
        <w:ind w:firstLine="480" w:firstLineChars="200"/>
        <w:rPr>
          <w:rStyle w:val="24"/>
          <w:color w:val="000000"/>
          <w:sz w:val="24"/>
          <w:lang w:eastAsia="zh-CN"/>
        </w:rPr>
      </w:pPr>
      <w:r>
        <w:rPr>
          <w:rStyle w:val="24"/>
          <w:rFonts w:hint="eastAsia"/>
          <w:color w:val="000000"/>
          <w:sz w:val="24"/>
          <w:lang w:eastAsia="zh-CN"/>
        </w:rPr>
        <w:t>2、双方重要文件往来应当以书面形式进行，由双方联系人（或双方另行书面指定的人员）当场签收或者以特快专递方式送达。如以特快专递方式送达至本合同所列地址，自特快专递寄出之日起算第</w:t>
      </w:r>
      <w:r>
        <w:rPr>
          <w:rStyle w:val="24"/>
          <w:rFonts w:hint="eastAsia"/>
          <w:color w:val="000000"/>
          <w:sz w:val="24"/>
          <w:u w:val="single"/>
          <w:lang w:eastAsia="zh-CN"/>
        </w:rPr>
        <w:t>5</w:t>
      </w:r>
      <w:r>
        <w:rPr>
          <w:rStyle w:val="24"/>
          <w:rFonts w:hint="eastAsia"/>
          <w:color w:val="000000"/>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2"/>
        <w:spacing w:line="360" w:lineRule="auto"/>
        <w:rPr>
          <w:sz w:val="24"/>
          <w:szCs w:val="24"/>
        </w:rPr>
      </w:pPr>
      <w:r>
        <w:rPr>
          <w:rFonts w:hint="eastAsia"/>
          <w:sz w:val="24"/>
          <w:szCs w:val="24"/>
        </w:rPr>
        <w:t xml:space="preserve">    3、</w:t>
      </w:r>
      <w:r>
        <w:rPr>
          <w:rFonts w:hint="eastAsia"/>
          <w:sz w:val="24"/>
        </w:rPr>
        <w:t>乙方应按国家行业要求的标准采取保护措施进行包装。该包装应适应于远距离运输、防潮、防震、防锈和防野蛮装卸，以确保流量计安全无损运抵指定地点。由于包装不善所引起的货物损失均由乙方承担。</w:t>
      </w:r>
    </w:p>
    <w:p>
      <w:pPr>
        <w:spacing w:line="360" w:lineRule="auto"/>
        <w:ind w:firstLine="480" w:firstLineChars="200"/>
        <w:rPr>
          <w:rStyle w:val="24"/>
          <w:color w:val="000000"/>
          <w:sz w:val="24"/>
          <w:lang w:eastAsia="zh-CN"/>
        </w:rPr>
      </w:pPr>
      <w:r>
        <w:rPr>
          <w:rStyle w:val="24"/>
          <w:rFonts w:hint="eastAsia"/>
          <w:color w:val="000000"/>
          <w:sz w:val="24"/>
          <w:lang w:eastAsia="zh-CN"/>
        </w:rPr>
        <w:t>4、双方之间如因本合同的履行发生纠纷，可协商解决，协商无果可直接向甲方所在地人民法院提起诉讼。</w:t>
      </w:r>
    </w:p>
    <w:p>
      <w:pPr>
        <w:spacing w:line="360" w:lineRule="auto"/>
        <w:ind w:firstLine="480" w:firstLineChars="200"/>
        <w:rPr>
          <w:color w:val="000000"/>
          <w:sz w:val="24"/>
          <w:lang w:eastAsia="zh-CN"/>
        </w:rPr>
      </w:pPr>
      <w:r>
        <w:rPr>
          <w:rFonts w:hint="eastAsia"/>
          <w:color w:val="000000"/>
          <w:sz w:val="24"/>
          <w:lang w:eastAsia="zh-CN"/>
        </w:rPr>
        <w:t>十、本合同一式</w:t>
      </w:r>
      <w:r>
        <w:rPr>
          <w:color w:val="000000"/>
          <w:sz w:val="24"/>
          <w:u w:val="single"/>
          <w:lang w:eastAsia="zh-CN"/>
        </w:rPr>
        <w:t xml:space="preserve"> </w:t>
      </w:r>
      <w:r>
        <w:rPr>
          <w:rFonts w:hint="eastAsia"/>
          <w:color w:val="000000"/>
          <w:sz w:val="24"/>
          <w:u w:val="single"/>
          <w:lang w:eastAsia="zh-CN"/>
        </w:rPr>
        <w:t>陆</w:t>
      </w:r>
      <w:r>
        <w:rPr>
          <w:color w:val="000000"/>
          <w:sz w:val="24"/>
          <w:u w:val="single"/>
          <w:lang w:eastAsia="zh-CN"/>
        </w:rPr>
        <w:t xml:space="preserve"> </w:t>
      </w:r>
      <w:r>
        <w:rPr>
          <w:rFonts w:hint="eastAsia"/>
          <w:color w:val="000000"/>
          <w:sz w:val="24"/>
          <w:lang w:eastAsia="zh-CN"/>
        </w:rPr>
        <w:t>份，双方签订后生效，甲方执</w:t>
      </w:r>
      <w:r>
        <w:rPr>
          <w:color w:val="000000"/>
          <w:sz w:val="24"/>
          <w:u w:val="single"/>
          <w:lang w:eastAsia="zh-CN"/>
        </w:rPr>
        <w:t xml:space="preserve"> </w:t>
      </w:r>
      <w:r>
        <w:rPr>
          <w:rFonts w:hint="eastAsia"/>
          <w:color w:val="000000"/>
          <w:sz w:val="24"/>
          <w:u w:val="single"/>
          <w:lang w:eastAsia="zh-CN"/>
        </w:rPr>
        <w:t>肆</w:t>
      </w:r>
      <w:r>
        <w:rPr>
          <w:color w:val="000000"/>
          <w:sz w:val="24"/>
          <w:u w:val="single"/>
          <w:lang w:eastAsia="zh-CN"/>
        </w:rPr>
        <w:t xml:space="preserve"> </w:t>
      </w:r>
      <w:r>
        <w:rPr>
          <w:rFonts w:hint="eastAsia"/>
          <w:color w:val="000000"/>
          <w:sz w:val="24"/>
          <w:lang w:eastAsia="zh-CN"/>
        </w:rPr>
        <w:t>份，乙方执</w:t>
      </w:r>
      <w:r>
        <w:rPr>
          <w:color w:val="000000"/>
          <w:sz w:val="24"/>
          <w:u w:val="single"/>
          <w:lang w:eastAsia="zh-CN"/>
        </w:rPr>
        <w:t xml:space="preserve"> </w:t>
      </w:r>
      <w:r>
        <w:rPr>
          <w:rFonts w:hint="eastAsia"/>
          <w:color w:val="000000"/>
          <w:sz w:val="24"/>
          <w:u w:val="single"/>
          <w:lang w:eastAsia="zh-CN"/>
        </w:rPr>
        <w:t>贰</w:t>
      </w:r>
      <w:r>
        <w:rPr>
          <w:color w:val="000000"/>
          <w:sz w:val="24"/>
          <w:u w:val="single"/>
          <w:lang w:eastAsia="zh-CN"/>
        </w:rPr>
        <w:t xml:space="preserve"> </w:t>
      </w:r>
      <w:r>
        <w:rPr>
          <w:rFonts w:hint="eastAsia"/>
          <w:color w:val="000000"/>
          <w:sz w:val="24"/>
          <w:lang w:eastAsia="zh-CN"/>
        </w:rPr>
        <w:t>份，具有同等法律效力。</w:t>
      </w:r>
    </w:p>
    <w:p>
      <w:pPr>
        <w:spacing w:line="360" w:lineRule="auto"/>
        <w:ind w:firstLine="480" w:firstLineChars="200"/>
        <w:rPr>
          <w:color w:val="000000"/>
          <w:sz w:val="24"/>
          <w:lang w:eastAsia="zh-CN"/>
        </w:rPr>
      </w:pPr>
      <w:r>
        <w:rPr>
          <w:rFonts w:hint="eastAsia"/>
          <w:color w:val="000000"/>
          <w:sz w:val="24"/>
          <w:lang w:eastAsia="zh-CN"/>
        </w:rPr>
        <w:t>十一、附件</w:t>
      </w:r>
    </w:p>
    <w:p>
      <w:pPr>
        <w:spacing w:line="360" w:lineRule="auto"/>
        <w:ind w:firstLine="1320" w:firstLineChars="550"/>
        <w:rPr>
          <w:color w:val="000000"/>
          <w:sz w:val="24"/>
          <w:lang w:eastAsia="zh-CN"/>
        </w:rPr>
      </w:pPr>
      <w:r>
        <w:rPr>
          <w:rFonts w:hint="eastAsia"/>
          <w:color w:val="000000"/>
          <w:sz w:val="24"/>
          <w:lang w:eastAsia="zh-CN"/>
        </w:rPr>
        <w:t>《安全环保协议书》</w:t>
      </w:r>
    </w:p>
    <w:p>
      <w:pPr>
        <w:spacing w:line="360" w:lineRule="auto"/>
        <w:rPr>
          <w:rFonts w:cs="Arial"/>
          <w:b/>
          <w:sz w:val="24"/>
          <w:lang w:eastAsia="zh-CN"/>
        </w:rPr>
      </w:pPr>
    </w:p>
    <w:p>
      <w:pPr>
        <w:spacing w:line="360" w:lineRule="auto"/>
        <w:rPr>
          <w:rFonts w:cs="Arial"/>
          <w:b/>
          <w:sz w:val="24"/>
          <w:lang w:eastAsia="zh-CN"/>
        </w:rPr>
      </w:pPr>
      <w:r>
        <w:rPr>
          <w:rFonts w:hint="eastAsia" w:cs="Arial"/>
          <w:b/>
          <w:sz w:val="24"/>
          <w:lang w:eastAsia="zh-CN"/>
        </w:rPr>
        <w:t>委托</w:t>
      </w:r>
      <w:r>
        <w:rPr>
          <w:rFonts w:cs="Arial"/>
          <w:b/>
          <w:sz w:val="24"/>
          <w:lang w:eastAsia="zh-CN"/>
        </w:rPr>
        <w:t>方</w:t>
      </w:r>
      <w:r>
        <w:rPr>
          <w:rFonts w:hint="eastAsia" w:cs="Arial"/>
          <w:b/>
          <w:sz w:val="24"/>
          <w:lang w:eastAsia="zh-CN"/>
        </w:rPr>
        <w:t>（甲方）</w:t>
      </w:r>
      <w:r>
        <w:rPr>
          <w:rFonts w:cs="Arial"/>
          <w:b/>
          <w:sz w:val="24"/>
          <w:lang w:eastAsia="zh-CN"/>
        </w:rPr>
        <w:t>：</w:t>
      </w:r>
      <w:r>
        <w:rPr>
          <w:rFonts w:hint="eastAsia" w:cs="Arial"/>
          <w:b/>
          <w:sz w:val="24"/>
          <w:lang w:eastAsia="zh-CN"/>
        </w:rPr>
        <w:t xml:space="preserve">                        </w:t>
      </w:r>
    </w:p>
    <w:p>
      <w:pPr>
        <w:spacing w:line="360" w:lineRule="auto"/>
        <w:ind w:right="-147" w:rightChars="-67"/>
        <w:rPr>
          <w:b/>
          <w:sz w:val="24"/>
          <w:lang w:eastAsia="zh-CN"/>
        </w:rPr>
      </w:pPr>
      <w:r>
        <w:rPr>
          <w:rFonts w:hint="eastAsia"/>
          <w:b/>
          <w:spacing w:val="20"/>
          <w:sz w:val="24"/>
          <w:lang w:eastAsia="zh-CN"/>
        </w:rPr>
        <w:t xml:space="preserve">腾龙芳烃（漳州）有限公司           </w:t>
      </w:r>
    </w:p>
    <w:p>
      <w:pPr>
        <w:spacing w:line="240" w:lineRule="atLeast"/>
        <w:ind w:right="-147" w:rightChars="-67"/>
        <w:rPr>
          <w:rFonts w:cs="Courier New" w:asciiTheme="majorEastAsia" w:hAnsiTheme="majorEastAsia" w:eastAsiaTheme="majorEastAsia"/>
          <w:lang w:eastAsia="zh-CN"/>
        </w:rPr>
      </w:pP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福建省漳州市古雷开港经济</w:t>
      </w:r>
      <w:r>
        <w:rPr>
          <w:rFonts w:hint="eastAsia"/>
          <w:szCs w:val="21"/>
          <w:lang w:eastAsia="zh-CN"/>
        </w:rPr>
        <w:t xml:space="preserve">          </w:t>
      </w:r>
    </w:p>
    <w:p>
      <w:pPr>
        <w:pStyle w:val="2"/>
        <w:spacing w:line="240" w:lineRule="atLeast"/>
        <w:rPr>
          <w:rFonts w:hAnsi="Courier New" w:cs="Courier New"/>
          <w:sz w:val="22"/>
          <w:szCs w:val="21"/>
        </w:rPr>
      </w:pPr>
      <w:r>
        <w:rPr>
          <w:rFonts w:hint="eastAsia"/>
          <w:sz w:val="22"/>
        </w:rPr>
        <w:t xml:space="preserve">        </w:t>
      </w:r>
      <w:r>
        <w:rPr>
          <w:rFonts w:hint="eastAsia" w:hAnsi="Courier New" w:cs="Courier New"/>
          <w:sz w:val="22"/>
          <w:szCs w:val="21"/>
        </w:rPr>
        <w:t>开发区腾龙路84号</w:t>
      </w:r>
      <w:r>
        <w:rPr>
          <w:rFonts w:hint="eastAsia"/>
          <w:sz w:val="22"/>
        </w:rPr>
        <w:t xml:space="preserve">                             </w:t>
      </w:r>
    </w:p>
    <w:p>
      <w:pPr>
        <w:spacing w:line="240" w:lineRule="atLeast"/>
        <w:ind w:left="1038" w:right="-147" w:rightChars="-67" w:hanging="1038" w:hangingChars="472"/>
        <w:rPr>
          <w:szCs w:val="21"/>
          <w:lang w:eastAsia="zh-CN"/>
        </w:rPr>
      </w:pPr>
      <w:r>
        <w:rPr>
          <w:rFonts w:hint="eastAsia"/>
          <w:szCs w:val="21"/>
          <w:lang w:eastAsia="zh-CN"/>
        </w:rPr>
        <w:t xml:space="preserve">开户行：兴业银行漳州古雷支行              </w:t>
      </w:r>
    </w:p>
    <w:p>
      <w:pPr>
        <w:spacing w:line="240" w:lineRule="atLeast"/>
        <w:ind w:left="1038" w:right="-147" w:rightChars="-67" w:hanging="1038" w:hangingChars="472"/>
        <w:rPr>
          <w:szCs w:val="21"/>
          <w:lang w:eastAsia="zh-CN"/>
        </w:rPr>
      </w:pPr>
      <w:r>
        <w:rPr>
          <w:rFonts w:hint="eastAsia"/>
          <w:szCs w:val="21"/>
          <w:lang w:eastAsia="zh-CN"/>
        </w:rPr>
        <w:t>帐</w:t>
      </w:r>
      <w:r>
        <w:rPr>
          <w:szCs w:val="21"/>
          <w:lang w:eastAsia="zh-CN"/>
        </w:rPr>
        <w:t xml:space="preserve">  </w:t>
      </w:r>
      <w:r>
        <w:rPr>
          <w:rFonts w:hint="eastAsia"/>
          <w:szCs w:val="21"/>
          <w:lang w:eastAsia="zh-CN"/>
        </w:rPr>
        <w:t xml:space="preserve">号： 162070100100021071               </w:t>
      </w:r>
    </w:p>
    <w:p>
      <w:pPr>
        <w:spacing w:line="240" w:lineRule="atLeast"/>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 91350600717866709A</w:t>
      </w:r>
      <w:r>
        <w:rPr>
          <w:rFonts w:hint="eastAsia"/>
          <w:lang w:eastAsia="zh-CN"/>
        </w:rPr>
        <w:t xml:space="preserve"> </w:t>
      </w:r>
      <w:r>
        <w:rPr>
          <w:rFonts w:hint="eastAsia"/>
          <w:szCs w:val="21"/>
          <w:lang w:eastAsia="zh-CN"/>
        </w:rPr>
        <w:t xml:space="preserve">              </w:t>
      </w:r>
    </w:p>
    <w:p>
      <w:pPr>
        <w:spacing w:line="240" w:lineRule="atLeast"/>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 xml:space="preserve">话：  0596-6311083                    </w:t>
      </w:r>
    </w:p>
    <w:p>
      <w:pPr>
        <w:spacing w:line="240" w:lineRule="atLeast"/>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w:t>
      </w:r>
    </w:p>
    <w:p>
      <w:pPr>
        <w:spacing w:before="11"/>
        <w:rPr>
          <w:rFonts w:cs="Arial" w:asciiTheme="majorEastAsia" w:hAnsiTheme="majorEastAsia" w:eastAsiaTheme="majorEastAsia"/>
          <w:b/>
          <w:sz w:val="24"/>
          <w:lang w:eastAsia="zh-CN"/>
        </w:rPr>
      </w:pPr>
    </w:p>
    <w:p>
      <w:pPr>
        <w:spacing w:before="11" w:line="360" w:lineRule="auto"/>
        <w:rPr>
          <w:rFonts w:cs="Arial" w:asciiTheme="majorEastAsia" w:hAnsiTheme="majorEastAsia" w:eastAsiaTheme="majorEastAsia"/>
          <w:b/>
          <w:sz w:val="24"/>
          <w:lang w:eastAsia="zh-CN"/>
        </w:rPr>
      </w:pPr>
      <w:r>
        <w:rPr>
          <w:rFonts w:hint="eastAsia" w:cs="Arial"/>
          <w:b/>
          <w:sz w:val="24"/>
          <w:lang w:eastAsia="zh-CN"/>
        </w:rPr>
        <w:t>受托</w:t>
      </w:r>
      <w:r>
        <w:rPr>
          <w:rFonts w:cs="Arial"/>
          <w:b/>
          <w:sz w:val="24"/>
          <w:lang w:eastAsia="zh-CN"/>
        </w:rPr>
        <w:t>方</w:t>
      </w:r>
      <w:r>
        <w:rPr>
          <w:rFonts w:hint="eastAsia" w:cs="Arial"/>
          <w:b/>
          <w:sz w:val="24"/>
          <w:lang w:eastAsia="zh-CN"/>
        </w:rPr>
        <w:t>（乙方）</w:t>
      </w:r>
      <w:r>
        <w:rPr>
          <w:rFonts w:cs="Arial"/>
          <w:b/>
          <w:sz w:val="24"/>
          <w:lang w:eastAsia="zh-CN"/>
        </w:rPr>
        <w:t>：</w:t>
      </w:r>
    </w:p>
    <w:p>
      <w:pPr>
        <w:spacing w:before="11" w:line="360" w:lineRule="auto"/>
        <w:rPr>
          <w:rFonts w:cs="Arial" w:asciiTheme="majorEastAsia" w:hAnsiTheme="majorEastAsia" w:eastAsiaTheme="majorEastAsia"/>
          <w:b/>
          <w:sz w:val="24"/>
          <w:lang w:eastAsia="zh-CN"/>
        </w:rPr>
      </w:pPr>
    </w:p>
    <w:p>
      <w:pPr>
        <w:spacing w:before="11"/>
        <w:rPr>
          <w:rFonts w:cs="Arial" w:asciiTheme="majorEastAsia" w:hAnsiTheme="majorEastAsia" w:eastAsiaTheme="majorEastAsia"/>
          <w:b/>
          <w:sz w:val="24"/>
          <w:lang w:eastAsia="zh-CN"/>
        </w:rPr>
      </w:pPr>
      <w:r>
        <w:rPr>
          <w:rFonts w:hint="eastAsia"/>
          <w:szCs w:val="21"/>
          <w:lang w:eastAsia="zh-CN"/>
        </w:rPr>
        <w:t>地</w:t>
      </w:r>
      <w:r>
        <w:rPr>
          <w:szCs w:val="21"/>
          <w:lang w:eastAsia="zh-CN"/>
        </w:rPr>
        <w:t xml:space="preserve"> </w:t>
      </w:r>
      <w:r>
        <w:rPr>
          <w:rFonts w:hint="eastAsia"/>
          <w:szCs w:val="21"/>
          <w:lang w:eastAsia="zh-CN"/>
        </w:rPr>
        <w:t xml:space="preserve"> 址：</w:t>
      </w:r>
      <w:r>
        <w:rPr>
          <w:rFonts w:cs="Arial" w:asciiTheme="majorEastAsia" w:hAnsiTheme="majorEastAsia" w:eastAsiaTheme="majorEastAsia"/>
          <w:b/>
          <w:sz w:val="24"/>
          <w:lang w:eastAsia="zh-CN"/>
        </w:rPr>
        <w:t xml:space="preserve"> </w:t>
      </w:r>
    </w:p>
    <w:p>
      <w:pPr>
        <w:spacing w:before="11"/>
        <w:rPr>
          <w:rFonts w:cs="Arial" w:asciiTheme="majorEastAsia" w:hAnsiTheme="majorEastAsia" w:eastAsiaTheme="majorEastAsia"/>
          <w:b/>
          <w:sz w:val="24"/>
          <w:lang w:eastAsia="zh-CN"/>
        </w:rPr>
      </w:pPr>
      <w:r>
        <w:rPr>
          <w:rFonts w:hint="eastAsia"/>
          <w:szCs w:val="21"/>
          <w:lang w:eastAsia="zh-CN"/>
        </w:rPr>
        <w:t>开户行：</w:t>
      </w:r>
    </w:p>
    <w:p>
      <w:pPr>
        <w:spacing w:before="11"/>
        <w:rPr>
          <w:rFonts w:cs="Arial" w:asciiTheme="majorEastAsia" w:hAnsiTheme="majorEastAsia" w:eastAsiaTheme="majorEastAsia"/>
          <w:b/>
          <w:sz w:val="24"/>
          <w:lang w:eastAsia="zh-CN"/>
        </w:rPr>
      </w:pPr>
      <w:r>
        <w:rPr>
          <w:rFonts w:hint="eastAsia"/>
          <w:szCs w:val="21"/>
          <w:lang w:eastAsia="zh-CN"/>
        </w:rPr>
        <w:t>帐</w:t>
      </w:r>
      <w:r>
        <w:rPr>
          <w:szCs w:val="21"/>
          <w:lang w:eastAsia="zh-CN"/>
        </w:rPr>
        <w:t xml:space="preserve">  </w:t>
      </w:r>
      <w:r>
        <w:rPr>
          <w:rFonts w:hint="eastAsia"/>
          <w:szCs w:val="21"/>
          <w:lang w:eastAsia="zh-CN"/>
        </w:rPr>
        <w:t>号：</w:t>
      </w:r>
    </w:p>
    <w:p>
      <w:pPr>
        <w:spacing w:before="11"/>
        <w:rPr>
          <w:rFonts w:cs="Arial" w:asciiTheme="majorEastAsia" w:hAnsiTheme="majorEastAsia" w:eastAsiaTheme="majorEastAsia"/>
          <w:b/>
          <w:sz w:val="24"/>
          <w:lang w:eastAsia="zh-CN"/>
        </w:rPr>
      </w:pPr>
      <w:r>
        <w:rPr>
          <w:rFonts w:hint="eastAsia"/>
          <w:szCs w:val="21"/>
          <w:lang w:eastAsia="zh-CN"/>
        </w:rPr>
        <w:t>税</w:t>
      </w:r>
      <w:r>
        <w:rPr>
          <w:szCs w:val="21"/>
          <w:lang w:eastAsia="zh-CN"/>
        </w:rPr>
        <w:t xml:space="preserve"> </w:t>
      </w:r>
      <w:r>
        <w:rPr>
          <w:rFonts w:hint="eastAsia"/>
          <w:szCs w:val="21"/>
          <w:lang w:eastAsia="zh-CN"/>
        </w:rPr>
        <w:t xml:space="preserve"> 号：</w:t>
      </w:r>
    </w:p>
    <w:p>
      <w:pPr>
        <w:spacing w:before="11"/>
        <w:rPr>
          <w:rFonts w:cs="Arial" w:asciiTheme="majorEastAsia" w:hAnsiTheme="majorEastAsia" w:eastAsiaTheme="majorEastAsia"/>
          <w:b/>
          <w:sz w:val="24"/>
          <w:lang w:eastAsia="zh-CN"/>
        </w:rPr>
      </w:pPr>
      <w:r>
        <w:rPr>
          <w:rFonts w:hint="eastAsia"/>
          <w:szCs w:val="21"/>
          <w:lang w:eastAsia="zh-CN"/>
        </w:rPr>
        <w:t>电</w:t>
      </w:r>
      <w:r>
        <w:rPr>
          <w:szCs w:val="21"/>
          <w:lang w:eastAsia="zh-CN"/>
        </w:rPr>
        <w:t xml:space="preserve">  </w:t>
      </w:r>
      <w:r>
        <w:rPr>
          <w:rFonts w:hint="eastAsia"/>
          <w:szCs w:val="21"/>
          <w:lang w:eastAsia="zh-CN"/>
        </w:rPr>
        <w:t>话：</w:t>
      </w:r>
    </w:p>
    <w:p>
      <w:pPr>
        <w:spacing w:before="11"/>
        <w:rPr>
          <w:rFonts w:cs="Arial" w:asciiTheme="majorEastAsia" w:hAnsiTheme="majorEastAsia" w:eastAsiaTheme="majorEastAsia"/>
          <w:b/>
          <w:sz w:val="24"/>
          <w:lang w:eastAsia="zh-CN"/>
        </w:rPr>
      </w:pPr>
    </w:p>
    <w:p>
      <w:pPr>
        <w:spacing w:before="11"/>
        <w:rPr>
          <w:rFonts w:cs="Arial" w:asciiTheme="majorEastAsia" w:hAnsiTheme="majorEastAsia" w:eastAsiaTheme="majorEastAsia"/>
          <w:b/>
          <w:sz w:val="24"/>
          <w:lang w:eastAsia="zh-CN"/>
        </w:rPr>
      </w:pPr>
    </w:p>
    <w:p>
      <w:pPr>
        <w:spacing w:before="11"/>
        <w:rPr>
          <w:b/>
          <w:sz w:val="24"/>
          <w:szCs w:val="24"/>
          <w:lang w:eastAsia="zh-CN"/>
        </w:rPr>
      </w:pPr>
      <w:r>
        <w:rPr>
          <w:rFonts w:cs="Arial" w:asciiTheme="majorEastAsia" w:hAnsiTheme="majorEastAsia" w:eastAsiaTheme="majorEastAsia"/>
          <w:b/>
          <w:sz w:val="24"/>
          <w:lang w:eastAsia="zh-CN"/>
        </w:rPr>
        <w:t xml:space="preserve">____年____月____日 </w:t>
      </w:r>
      <w:r>
        <w:rPr>
          <w:rFonts w:hint="eastAsia" w:cs="Arial" w:asciiTheme="majorEastAsia" w:hAnsiTheme="majorEastAsia" w:eastAsiaTheme="majorEastAsia"/>
          <w:b/>
          <w:sz w:val="24"/>
          <w:lang w:eastAsia="zh-CN"/>
        </w:rPr>
        <w:t xml:space="preserve">            </w:t>
      </w:r>
    </w:p>
    <w:p>
      <w:pPr>
        <w:pStyle w:val="2"/>
      </w:pPr>
    </w:p>
    <w:p>
      <w:pPr>
        <w:pStyle w:val="2"/>
      </w:pPr>
    </w:p>
    <w:p>
      <w:pPr>
        <w:spacing w:line="400" w:lineRule="exact"/>
        <w:ind w:left="210" w:hanging="210" w:hangingChars="87"/>
        <w:rPr>
          <w:b/>
          <w:color w:val="000000"/>
          <w:sz w:val="24"/>
          <w:lang w:eastAsia="zh-CN"/>
        </w:rPr>
      </w:pPr>
      <w:r>
        <w:rPr>
          <w:rFonts w:hint="eastAsia"/>
          <w:b/>
          <w:color w:val="000000"/>
          <w:sz w:val="24"/>
          <w:lang w:eastAsia="zh-CN"/>
        </w:rPr>
        <w:t>附件1:   价格表</w:t>
      </w:r>
    </w:p>
    <w:p>
      <w:pPr>
        <w:spacing w:line="400" w:lineRule="exact"/>
        <w:ind w:left="210" w:hanging="210" w:hangingChars="87"/>
        <w:rPr>
          <w:b/>
          <w:color w:val="000000"/>
          <w:sz w:val="24"/>
          <w:lang w:eastAsia="zh-CN"/>
        </w:rPr>
      </w:pPr>
    </w:p>
    <w:p>
      <w:pPr>
        <w:pStyle w:val="2"/>
      </w:pPr>
    </w:p>
    <w:p>
      <w:pPr>
        <w:pStyle w:val="2"/>
      </w:pPr>
    </w:p>
    <w:p>
      <w:pPr>
        <w:pStyle w:val="2"/>
      </w:pPr>
    </w:p>
    <w:p>
      <w:pPr>
        <w:pStyle w:val="2"/>
      </w:pPr>
    </w:p>
    <w:p>
      <w:pPr>
        <w:spacing w:line="400" w:lineRule="exact"/>
        <w:ind w:left="210" w:hanging="210" w:hangingChars="87"/>
        <w:rPr>
          <w:b/>
          <w:color w:val="000000"/>
          <w:sz w:val="24"/>
          <w:lang w:eastAsia="zh-CN"/>
        </w:rPr>
      </w:pPr>
      <w:r>
        <w:rPr>
          <w:rFonts w:hint="eastAsia"/>
          <w:b/>
          <w:color w:val="000000"/>
          <w:sz w:val="24"/>
          <w:lang w:eastAsia="zh-CN"/>
        </w:rPr>
        <w:t>附件2：</w:t>
      </w:r>
    </w:p>
    <w:p>
      <w:pPr>
        <w:pStyle w:val="8"/>
        <w:spacing w:line="276" w:lineRule="auto"/>
        <w:ind w:left="322" w:hanging="322" w:hangingChars="89"/>
        <w:jc w:val="center"/>
        <w:rPr>
          <w:rFonts w:ascii="黑体" w:hAnsi="宋体" w:eastAsia="黑体"/>
          <w:b/>
          <w:sz w:val="36"/>
          <w:szCs w:val="36"/>
          <w:lang w:eastAsia="zh-CN"/>
        </w:rPr>
      </w:pPr>
      <w:r>
        <w:rPr>
          <w:rFonts w:hint="eastAsia" w:ascii="黑体" w:hAnsi="宋体" w:eastAsia="黑体"/>
          <w:b/>
          <w:sz w:val="36"/>
          <w:szCs w:val="36"/>
          <w:lang w:eastAsia="zh-CN"/>
        </w:rPr>
        <w:t>安全环保协议书</w:t>
      </w:r>
    </w:p>
    <w:p>
      <w:pPr>
        <w:spacing w:line="360" w:lineRule="auto"/>
        <w:rPr>
          <w:u w:val="single"/>
          <w:lang w:eastAsia="zh-CN"/>
        </w:rPr>
      </w:pPr>
      <w:r>
        <w:rPr>
          <w:rFonts w:hint="eastAsia" w:asciiTheme="minorEastAsia" w:hAnsiTheme="minorEastAsia" w:eastAsiaTheme="minorEastAsia"/>
          <w:lang w:eastAsia="zh-CN"/>
        </w:rPr>
        <w:t>发包单位（以下简称甲方）：</w:t>
      </w:r>
      <w:r>
        <w:rPr>
          <w:rFonts w:hint="eastAsia"/>
          <w:u w:val="single"/>
          <w:lang w:eastAsia="zh-CN"/>
        </w:rPr>
        <w:t>腾龙芳烃（漳州）有限公司</w:t>
      </w:r>
    </w:p>
    <w:p>
      <w:pPr>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承包单位（以下简称乙方）：</w:t>
      </w:r>
      <w:r>
        <w:rPr>
          <w:rFonts w:hint="eastAsia"/>
          <w:u w:val="single"/>
          <w:lang w:eastAsia="zh-CN"/>
        </w:rPr>
        <w:t xml:space="preserve">                      </w:t>
      </w:r>
      <w:r>
        <w:rPr>
          <w:rFonts w:hint="eastAsia" w:asciiTheme="minorEastAsia" w:hAnsiTheme="minorEastAsia" w:eastAsiaTheme="minorEastAsia"/>
          <w:lang w:eastAsia="zh-CN"/>
        </w:rPr>
        <w:t xml:space="preserve">     </w:t>
      </w:r>
    </w:p>
    <w:p>
      <w:pPr>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 xml:space="preserve">    双方就</w:t>
      </w:r>
      <w:r>
        <w:rPr>
          <w:rFonts w:hint="eastAsia" w:asciiTheme="minorEastAsia" w:hAnsiTheme="minorEastAsia" w:eastAsiaTheme="minorEastAsia"/>
          <w:u w:val="single"/>
          <w:lang w:eastAsia="zh-CN"/>
        </w:rPr>
        <w:t>流量计检定</w:t>
      </w:r>
      <w:r>
        <w:rPr>
          <w:rFonts w:hint="eastAsia" w:asciiTheme="minorEastAsia" w:hAnsiTheme="minorEastAsia" w:eastAsiaTheme="minorEastAsia"/>
          <w:lang w:eastAsia="zh-CN"/>
        </w:rPr>
        <w:t>项目签订了</w:t>
      </w:r>
      <w:r>
        <w:rPr>
          <w:rFonts w:hint="eastAsia" w:asciiTheme="minorEastAsia" w:hAnsiTheme="minorEastAsia" w:eastAsiaTheme="minorEastAsia"/>
          <w:u w:val="single"/>
          <w:lang w:eastAsia="zh-CN"/>
        </w:rPr>
        <w:t xml:space="preserve"> 委托检定校准服务 </w:t>
      </w:r>
      <w:r>
        <w:rPr>
          <w:rFonts w:hint="eastAsia" w:asciiTheme="minorEastAsia" w:hAnsiTheme="minorEastAsia" w:eastAsiaTheme="minorEastAsia"/>
          <w:lang w:eastAsia="zh-CN"/>
        </w:rPr>
        <w:t>合同，</w:t>
      </w:r>
      <w:r>
        <w:rPr>
          <w:rFonts w:hint="eastAsia"/>
          <w:lang w:eastAsia="zh-CN"/>
        </w:rPr>
        <w:t>为进一步明确甲乙双方在工程承包合同履行过程中的权利和义务及责任，保障人身安全和企业财产安全，</w:t>
      </w:r>
      <w:r>
        <w:rPr>
          <w:rFonts w:hint="eastAsia" w:asciiTheme="minorEastAsia" w:hAnsiTheme="minorEastAsia" w:eastAsiaTheme="minorEastAsia"/>
          <w:lang w:eastAsia="zh-CN"/>
        </w:rPr>
        <w:t>依据《中华人民共和国安全生产法》、《中华人民共和国环境保护法》等相关法规及甲方HSE管理制度，经双方协商，双方自愿签订本安全环保协议，作为主合同的附件。</w:t>
      </w:r>
    </w:p>
    <w:p>
      <w:pPr>
        <w:spacing w:line="360" w:lineRule="auto"/>
        <w:rPr>
          <w:rFonts w:asciiTheme="minorEastAsia" w:hAnsiTheme="minorEastAsia" w:eastAsiaTheme="minorEastAsia"/>
          <w:lang w:eastAsia="zh-CN"/>
        </w:rPr>
      </w:pPr>
      <w:r>
        <w:rPr>
          <w:rFonts w:hint="eastAsia" w:asciiTheme="minorEastAsia" w:hAnsiTheme="minorEastAsia" w:eastAsiaTheme="minorEastAsia"/>
          <w:b/>
          <w:lang w:eastAsia="zh-CN"/>
        </w:rPr>
        <w:t>一、甲方的权利和义务：</w:t>
      </w:r>
    </w:p>
    <w:p>
      <w:pPr>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1、 甲方有权对乙方的资质进行审查，确认其符合且具备进厂条件，方可进厂施工。</w:t>
      </w:r>
    </w:p>
    <w:p>
      <w:pPr>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2、 甲方有权要求乙方维护好甲方相关的安全环保设施、设备和器材。</w:t>
      </w:r>
    </w:p>
    <w:p>
      <w:pPr>
        <w:tabs>
          <w:tab w:val="left" w:pos="360"/>
          <w:tab w:val="left" w:pos="840"/>
        </w:tabs>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color w:val="FF0000"/>
          <w:lang w:eastAsia="zh-CN"/>
        </w:rPr>
      </w:pPr>
      <w:r>
        <w:rPr>
          <w:rFonts w:hint="eastAsia" w:asciiTheme="minorEastAsia" w:hAnsiTheme="minorEastAsia" w:eastAsiaTheme="minorEastAsia"/>
          <w:lang w:eastAsia="zh-CN"/>
        </w:rPr>
        <w:t>5、 甲方有权对乙方不服从管理和严重违章者，驱除施工现场。</w:t>
      </w:r>
    </w:p>
    <w:p>
      <w:pPr>
        <w:spacing w:line="360" w:lineRule="auto"/>
        <w:rPr>
          <w:rFonts w:asciiTheme="minorEastAsia" w:hAnsiTheme="minorEastAsia" w:eastAsiaTheme="minorEastAsia"/>
          <w:b/>
          <w:lang w:eastAsia="zh-CN"/>
        </w:rPr>
      </w:pPr>
      <w:r>
        <w:rPr>
          <w:rFonts w:hint="eastAsia" w:asciiTheme="minorEastAsia" w:hAnsiTheme="minorEastAsia" w:eastAsiaTheme="minorEastAsia"/>
          <w:lang w:eastAsia="zh-CN"/>
        </w:rPr>
        <w:t>6、 甲方负责对乙方进行厂级和部门级安全培训教育和考核，合格方可办理入厂手续。</w:t>
      </w:r>
    </w:p>
    <w:p>
      <w:pPr>
        <w:tabs>
          <w:tab w:val="left" w:pos="360"/>
          <w:tab w:val="left" w:pos="840"/>
        </w:tabs>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7、 甲方负责各装置的工艺处理、退料、置换、吹扫及盲板隔离工作，为本项目提供安全的施工条件。</w:t>
      </w:r>
    </w:p>
    <w:p>
      <w:pPr>
        <w:tabs>
          <w:tab w:val="left" w:pos="360"/>
          <w:tab w:val="left" w:pos="840"/>
        </w:tabs>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8、 甲方</w:t>
      </w:r>
      <w:r>
        <w:rPr>
          <w:rFonts w:hint="eastAsia"/>
          <w:lang w:eastAsia="zh-CN"/>
        </w:rPr>
        <w:t>应乙方要求，向乙方提供与乙方作业相关甲方有毒有害、易燃易爆物品的数据。</w:t>
      </w:r>
    </w:p>
    <w:p>
      <w:pPr>
        <w:tabs>
          <w:tab w:val="left" w:pos="360"/>
          <w:tab w:val="left" w:pos="840"/>
        </w:tabs>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9、 甲方在开工前必须对乙方进行全面的安全技术及文明施工交底。</w:t>
      </w:r>
    </w:p>
    <w:p>
      <w:pPr>
        <w:spacing w:line="360" w:lineRule="auto"/>
        <w:ind w:hanging="1"/>
        <w:rPr>
          <w:rFonts w:asciiTheme="minorEastAsia" w:hAnsiTheme="minorEastAsia" w:eastAsiaTheme="minorEastAsia"/>
          <w:b/>
          <w:lang w:eastAsia="zh-CN"/>
        </w:rPr>
      </w:pPr>
      <w:r>
        <w:rPr>
          <w:rFonts w:hint="eastAsia" w:asciiTheme="minorEastAsia" w:hAnsiTheme="minorEastAsia" w:eastAsiaTheme="minorEastAsia"/>
          <w:b/>
          <w:lang w:eastAsia="zh-CN"/>
        </w:rPr>
        <w:t>二、乙方的权利和义务：</w:t>
      </w:r>
    </w:p>
    <w:p>
      <w:pPr>
        <w:spacing w:line="360" w:lineRule="auto"/>
        <w:ind w:hanging="1"/>
        <w:rPr>
          <w:rFonts w:asciiTheme="minorEastAsia" w:hAnsiTheme="minorEastAsia" w:eastAsiaTheme="minorEastAsia"/>
          <w:lang w:eastAsia="zh-CN"/>
        </w:rPr>
      </w:pPr>
      <w:r>
        <w:rPr>
          <w:rFonts w:hint="eastAsia" w:asciiTheme="minorEastAsia" w:hAnsiTheme="minorEastAsia" w:eastAsiaTheme="minorEastAsia"/>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hanging="1"/>
        <w:rPr>
          <w:rFonts w:asciiTheme="minorEastAsia" w:hAnsiTheme="minorEastAsia" w:eastAsiaTheme="minorEastAsia"/>
          <w:lang w:eastAsia="zh-CN"/>
        </w:rPr>
      </w:pPr>
      <w:r>
        <w:rPr>
          <w:rFonts w:hint="eastAsia" w:asciiTheme="minorEastAsia" w:hAnsiTheme="minorEastAsia" w:eastAsiaTheme="minorEastAsia"/>
          <w:lang w:eastAsia="zh-CN"/>
        </w:rPr>
        <w:t>2、 乙方有权对甲方安全管理工作提出合理化建议或改进措施。</w:t>
      </w:r>
    </w:p>
    <w:p>
      <w:pPr>
        <w:spacing w:line="360" w:lineRule="auto"/>
        <w:ind w:hanging="1"/>
        <w:rPr>
          <w:rFonts w:asciiTheme="minorEastAsia" w:hAnsiTheme="minorEastAsia" w:eastAsiaTheme="minorEastAsia"/>
          <w:lang w:eastAsia="zh-CN"/>
        </w:rPr>
      </w:pPr>
      <w:r>
        <w:rPr>
          <w:rFonts w:hint="eastAsia" w:asciiTheme="minorEastAsia" w:hAnsiTheme="minorEastAsia" w:eastAsiaTheme="minorEastAsia"/>
          <w:lang w:eastAsia="zh-CN"/>
        </w:rPr>
        <w:t xml:space="preserve">3、 乙方对甲方管理人员违章指挥、强令冒险作业、有权拒绝执行。对打击和报复行为有权向上级和有关部门汇报。 </w:t>
      </w:r>
    </w:p>
    <w:p>
      <w:pPr>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4、 乙方对危及生命安全和身体健康的施工作业条件和环境，有权提出整改建议或拒绝施工作业。</w:t>
      </w:r>
    </w:p>
    <w:p>
      <w:pPr>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5、 乙方施工过程中在发生严重危及作业人员生命安全的不可抗拒紧急情况时，有权采取必要的避险措施，并立即向管理部门报告。</w:t>
      </w:r>
    </w:p>
    <w:p>
      <w:pPr>
        <w:spacing w:line="360" w:lineRule="auto"/>
        <w:rPr>
          <w:lang w:eastAsia="zh-CN"/>
        </w:rPr>
      </w:pPr>
      <w:r>
        <w:rPr>
          <w:rFonts w:hint="eastAsia" w:asciiTheme="minorEastAsia" w:hAnsiTheme="minorEastAsia" w:eastAsiaTheme="minorEastAsia"/>
          <w:lang w:eastAsia="zh-CN"/>
        </w:rPr>
        <w:t>6、 乙方</w:t>
      </w:r>
      <w:r>
        <w:rPr>
          <w:rFonts w:hint="eastAsia"/>
          <w:lang w:eastAsia="zh-CN"/>
        </w:rPr>
        <w:t>有权要求甲方提供相关的安全资料。</w:t>
      </w:r>
    </w:p>
    <w:p>
      <w:pPr>
        <w:spacing w:line="360" w:lineRule="auto"/>
        <w:rPr>
          <w:b/>
          <w:lang w:eastAsia="zh-CN"/>
        </w:rPr>
      </w:pPr>
      <w:r>
        <w:rPr>
          <w:rFonts w:hint="eastAsia" w:asciiTheme="minorEastAsia" w:hAnsiTheme="minorEastAsia" w:eastAsiaTheme="minorEastAsia"/>
          <w:lang w:eastAsia="zh-CN"/>
        </w:rPr>
        <w:t xml:space="preserve">7、 </w:t>
      </w:r>
      <w:r>
        <w:rPr>
          <w:rFonts w:hint="eastAsia" w:cs="Arial"/>
          <w:lang w:eastAsia="zh-CN"/>
        </w:rPr>
        <w:t>乙方必须建立健全HSE管理网络、HSE保证体系和HSE责任制，成立专职HSE管理机构</w:t>
      </w:r>
      <w:r>
        <w:rPr>
          <w:rFonts w:hint="eastAsia"/>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11、乙方应按《中华人民共和国劳动法》等法律、法规、规定用工，严禁使用未成年工和有职业禁忌的人员进行施工作业。</w:t>
      </w:r>
      <w:r>
        <w:rPr>
          <w:rFonts w:asciiTheme="minorEastAsia" w:hAnsiTheme="minorEastAsia" w:eastAsiaTheme="minorEastAsia"/>
          <w:lang w:eastAsia="zh-CN"/>
        </w:rPr>
        <w:t xml:space="preserve"> </w:t>
      </w:r>
    </w:p>
    <w:p>
      <w:pPr>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12、 乙方必须按国家有关规定，</w:t>
      </w:r>
      <w:r>
        <w:rPr>
          <w:rFonts w:hint="eastAsia"/>
          <w:lang w:eastAsia="zh-CN"/>
        </w:rPr>
        <w:t>为施工人员办理工伤保险、意外伤害保险（施工人员较多的承包商建议购买建筑工程团体意外险），</w:t>
      </w:r>
      <w:r>
        <w:rPr>
          <w:rFonts w:hint="eastAsia" w:asciiTheme="minorEastAsia" w:hAnsiTheme="minorEastAsia" w:eastAsiaTheme="minorEastAsia"/>
          <w:lang w:eastAsia="zh-CN"/>
        </w:rPr>
        <w:t>为施工人员配备合格的劳动防护用品及安全用具，并保证施工工具、器械使用安全。</w:t>
      </w:r>
    </w:p>
    <w:p>
      <w:pPr>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13、 乙方需</w:t>
      </w:r>
      <w:r>
        <w:rPr>
          <w:rFonts w:hint="eastAsia"/>
          <w:lang w:eastAsia="zh-CN"/>
        </w:rPr>
        <w:t>建立安全检查制度，指定专人负责现场安全监督检查工作，认真开展安全检查，发现作业过程中不安全行为、隐患、重大险情，应采取有效措施及时处理并报告甲方。</w:t>
      </w:r>
    </w:p>
    <w:p>
      <w:pPr>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 xml:space="preserve">14、 </w:t>
      </w:r>
      <w:r>
        <w:rPr>
          <w:rFonts w:hint="eastAsia"/>
          <w:lang w:eastAsia="zh-CN"/>
        </w:rPr>
        <w:t>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15、 乙方</w:t>
      </w:r>
      <w:r>
        <w:rPr>
          <w:rFonts w:hint="eastAsia"/>
          <w:lang w:eastAsia="zh-CN"/>
        </w:rPr>
        <w:t>进入现场的施工人员，严禁动用装置区机泵、容器、塔、加热炉等任何部位阀门，防止误开误关，造成意外事故。如确实需用，经与装置有关人员联系，同意后，由操作人员启闭阀门。</w:t>
      </w:r>
    </w:p>
    <w:p>
      <w:pPr>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16、 乙方</w:t>
      </w:r>
      <w:r>
        <w:rPr>
          <w:rFonts w:hint="eastAsia"/>
          <w:lang w:eastAsia="zh-CN"/>
        </w:rPr>
        <w:t>未经允许，不准占用消防通道和使用消防设施，确需占用或破路工程和使用消防设施，必须取得甲方同意并按照甲方有关规定办理手续；在规定时间内完工（使用）后，立即恢复道路（消防设施）正常使用，以保证消防通道畅通无阻和消防设施处于完好状态。</w:t>
      </w:r>
    </w:p>
    <w:p>
      <w:pPr>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 xml:space="preserve">17、 </w:t>
      </w:r>
      <w:r>
        <w:rPr>
          <w:rFonts w:hint="eastAsia" w:asciiTheme="minorEastAsia" w:hAnsiTheme="minorEastAsia" w:eastAsiaTheme="minorEastAsia"/>
          <w:bCs/>
          <w:lang w:eastAsia="zh-CN"/>
        </w:rPr>
        <w:t>乙方</w:t>
      </w:r>
      <w:r>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rPr>
          <w:rFonts w:asciiTheme="minorEastAsia" w:hAnsiTheme="minorEastAsia" w:eastAsiaTheme="minorEastAsia"/>
          <w:bCs/>
          <w:lang w:eastAsia="zh-CN"/>
        </w:rPr>
      </w:pPr>
      <w:r>
        <w:rPr>
          <w:rFonts w:hint="eastAsia" w:asciiTheme="minorEastAsia" w:hAnsiTheme="minorEastAsia" w:eastAsiaTheme="minorEastAsia"/>
          <w:bCs/>
          <w:lang w:eastAsia="zh-CN"/>
        </w:rPr>
        <w:t xml:space="preserve">18、 </w:t>
      </w:r>
      <w:r>
        <w:rPr>
          <w:rFonts w:hint="eastAsia" w:asciiTheme="minorEastAsia" w:hAnsiTheme="minorEastAsia" w:eastAsiaTheme="minorEastAsia"/>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rPr>
          <w:rFonts w:asciiTheme="minorEastAsia" w:hAnsiTheme="minorEastAsia" w:eastAsiaTheme="minorEastAsia"/>
          <w:lang w:eastAsia="zh-CN"/>
        </w:rPr>
      </w:pPr>
      <w:r>
        <w:rPr>
          <w:rFonts w:hint="eastAsia" w:asciiTheme="minorEastAsia" w:hAnsiTheme="minorEastAsia" w:eastAsiaTheme="minorEastAsia"/>
          <w:bCs/>
          <w:lang w:eastAsia="zh-CN"/>
        </w:rPr>
        <w:t>19、</w:t>
      </w:r>
      <w:r>
        <w:rPr>
          <w:rFonts w:hint="eastAsia" w:asciiTheme="minorEastAsia" w:hAnsiTheme="minorEastAsia" w:eastAsiaTheme="minorEastAsia"/>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asciiTheme="minorEastAsia" w:hAnsiTheme="minorEastAsia" w:eastAsiaTheme="minorEastAsia"/>
          <w:lang w:eastAsia="zh-CN"/>
        </w:rPr>
        <w:t>产生的废物应进行鉴别，一般固废和危险废物应妥善包装、分类堆放，并及时清理。不能任意排放和丢弃。</w:t>
      </w:r>
    </w:p>
    <w:p>
      <w:pPr>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 xml:space="preserve">21、 </w:t>
      </w:r>
      <w:r>
        <w:rPr>
          <w:rFonts w:hint="eastAsia"/>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三、违约责任及处理</w:t>
      </w:r>
    </w:p>
    <w:p>
      <w:pPr>
        <w:pStyle w:val="18"/>
        <w:numPr>
          <w:ilvl w:val="0"/>
          <w:numId w:val="3"/>
        </w:numPr>
        <w:autoSpaceDE/>
        <w:autoSpaceDN/>
        <w:spacing w:before="0" w:line="360" w:lineRule="auto"/>
        <w:jc w:val="both"/>
        <w:rPr>
          <w:rFonts w:asciiTheme="minorEastAsia" w:hAnsiTheme="minorEastAsia" w:eastAsiaTheme="minorEastAsia"/>
          <w:b/>
          <w:szCs w:val="21"/>
          <w:lang w:eastAsia="zh-CN"/>
        </w:rPr>
      </w:pPr>
      <w:r>
        <w:rPr>
          <w:rFonts w:hint="eastAsia"/>
          <w:szCs w:val="21"/>
          <w:lang w:eastAsia="zh-CN"/>
        </w:rPr>
        <w:t>乙方不得将工程违法转包、分包。</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2、发生安全事故时，甲乙双方均有抢险、救灾的义务，所发生的费用由责任方承担。</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w:t>
      </w: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4、甲方违约造成的事故，甲方承担全部责任，并按规定追究有关人员责任及上报。</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pPr>
        <w:tabs>
          <w:tab w:val="left" w:pos="360"/>
          <w:tab w:val="left" w:pos="840"/>
        </w:tabs>
        <w:spacing w:line="360" w:lineRule="auto"/>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6、乙方违约造成的事故，乙方承担全部责任，</w:t>
      </w:r>
      <w:r>
        <w:rPr>
          <w:rFonts w:hint="eastAsia"/>
          <w:szCs w:val="21"/>
          <w:lang w:eastAsia="zh-CN"/>
        </w:rPr>
        <w:t>对于事故后果影响较大的承包商，由甲方主管部门下达停工通知单，勒令承包商停工整顿，在承包商问题隐患整改完毕、人员培训学习合格后方可重新准予开工，</w:t>
      </w:r>
      <w:r>
        <w:rPr>
          <w:rFonts w:hint="eastAsia" w:asciiTheme="minorEastAsia" w:hAnsiTheme="minorEastAsia" w:eastAsiaTheme="minorEastAsia"/>
          <w:szCs w:val="21"/>
          <w:lang w:eastAsia="zh-CN"/>
        </w:rPr>
        <w:t>并按规定追究有关人员责任并报告甲方；由于乙方工程服务质量、检修质量及购买的原材料质量导致的事故，由乙方承担全部责任构成犯罪的，依法追究刑事责任。</w:t>
      </w:r>
    </w:p>
    <w:p>
      <w:pPr>
        <w:spacing w:line="360" w:lineRule="auto"/>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7、对乙方发生事故后弄虚作假、隐瞒不报、迟报或谎报，一经查出，按有关规定处罚，并</w:t>
      </w:r>
      <w:r>
        <w:rPr>
          <w:rFonts w:hint="eastAsia"/>
          <w:szCs w:val="21"/>
          <w:lang w:eastAsia="zh-CN"/>
        </w:rPr>
        <w:t>向所有在甲方范围内施工的其它承包商进行通报，并将通报送达承包商。</w:t>
      </w:r>
      <w:r>
        <w:rPr>
          <w:rFonts w:hint="eastAsia" w:asciiTheme="minorEastAsia" w:hAnsiTheme="minorEastAsia" w:eastAsiaTheme="minorEastAsia"/>
          <w:szCs w:val="21"/>
          <w:lang w:eastAsia="zh-CN"/>
        </w:rPr>
        <w:t>情节严重的，取消其进入甲方的市场资格。</w:t>
      </w:r>
    </w:p>
    <w:p>
      <w:pPr>
        <w:spacing w:line="360" w:lineRule="auto"/>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由于不可抗力造成合同项目施工作业事故及产生的损失，甲乙双方各自承担相应的损失。</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pPr>
        <w:spacing w:line="360" w:lineRule="auto"/>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pPr>
        <w:spacing w:line="360" w:lineRule="auto"/>
        <w:rPr>
          <w:rFonts w:asciiTheme="minorEastAsia" w:hAnsiTheme="minorEastAsia" w:eastAsiaTheme="minorEastAsia"/>
          <w:szCs w:val="21"/>
          <w:lang w:eastAsia="zh-CN"/>
        </w:rPr>
      </w:pPr>
    </w:p>
    <w:p>
      <w:pPr>
        <w:spacing w:line="360" w:lineRule="auto"/>
        <w:ind w:left="-105"/>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（以下无正文）</w:t>
      </w:r>
    </w:p>
    <w:p>
      <w:pPr>
        <w:spacing w:line="276" w:lineRule="auto"/>
        <w:rPr>
          <w:szCs w:val="21"/>
          <w:lang w:eastAsia="zh-CN"/>
        </w:rPr>
      </w:pPr>
    </w:p>
    <w:p>
      <w:pPr>
        <w:spacing w:line="276" w:lineRule="auto"/>
        <w:rPr>
          <w:szCs w:val="21"/>
          <w:lang w:eastAsia="zh-CN"/>
        </w:rPr>
      </w:pPr>
      <w:r>
        <w:rPr>
          <w:rFonts w:hint="eastAsia"/>
          <w:szCs w:val="21"/>
          <w:lang w:eastAsia="zh-CN"/>
        </w:rPr>
        <w:t>甲方 (章)：                                  乙方(章)：</w:t>
      </w:r>
    </w:p>
    <w:p>
      <w:pPr>
        <w:spacing w:line="276" w:lineRule="auto"/>
        <w:ind w:left="-196" w:leftChars="-89" w:firstLine="990" w:firstLineChars="450"/>
        <w:rPr>
          <w:szCs w:val="21"/>
          <w:lang w:eastAsia="zh-CN"/>
        </w:rPr>
      </w:pPr>
      <w:r>
        <w:rPr>
          <w:rFonts w:hint="eastAsia"/>
          <w:szCs w:val="21"/>
          <w:lang w:eastAsia="zh-CN"/>
        </w:rPr>
        <w:t xml:space="preserve">腾龙芳烃（漳州）有限公司                    </w:t>
      </w:r>
    </w:p>
    <w:p>
      <w:pPr>
        <w:spacing w:line="276" w:lineRule="auto"/>
        <w:ind w:left="-187"/>
        <w:rPr>
          <w:szCs w:val="21"/>
          <w:lang w:eastAsia="zh-CN"/>
        </w:rPr>
      </w:pPr>
      <w:r>
        <w:rPr>
          <w:rFonts w:hint="eastAsia"/>
          <w:szCs w:val="21"/>
          <w:lang w:eastAsia="zh-CN"/>
        </w:rPr>
        <w:t xml:space="preserve">        </w:t>
      </w:r>
    </w:p>
    <w:p>
      <w:pPr>
        <w:spacing w:line="276" w:lineRule="auto"/>
        <w:rPr>
          <w:szCs w:val="21"/>
          <w:lang w:eastAsia="zh-CN"/>
        </w:rPr>
      </w:pPr>
      <w:r>
        <w:rPr>
          <w:rFonts w:hint="eastAsia"/>
          <w:szCs w:val="21"/>
          <w:lang w:eastAsia="zh-CN"/>
        </w:rPr>
        <w:t>签定日期：     年    月    日                          年    月    日</w:t>
      </w:r>
    </w:p>
    <w:p>
      <w:pPr>
        <w:spacing w:line="400" w:lineRule="exact"/>
        <w:ind w:left="209" w:hanging="208" w:hangingChars="87"/>
        <w:rPr>
          <w:color w:val="000000"/>
          <w:sz w:val="24"/>
          <w:lang w:eastAsia="zh-CN"/>
        </w:rPr>
      </w:pPr>
    </w:p>
    <w:p>
      <w:pPr>
        <w:spacing w:before="11"/>
        <w:rPr>
          <w:b/>
          <w:bCs/>
          <w:sz w:val="24"/>
          <w:szCs w:val="24"/>
          <w:lang w:eastAsia="zh-CN"/>
        </w:rPr>
      </w:pPr>
      <w:r>
        <w:rPr>
          <w:lang w:eastAsia="zh-CN"/>
        </w:rPr>
        <w:br w:type="column"/>
      </w:r>
      <w:bookmarkStart w:id="9" w:name="_Toc251742852"/>
      <w:r>
        <w:rPr>
          <w:rFonts w:hint="eastAsia"/>
          <w:b/>
          <w:bCs/>
          <w:sz w:val="24"/>
          <w:szCs w:val="24"/>
          <w:lang w:eastAsia="zh-CN"/>
        </w:rPr>
        <w:t>附件三、参选文件范本</w:t>
      </w:r>
    </w:p>
    <w:p>
      <w:pPr>
        <w:pStyle w:val="2"/>
        <w:rPr>
          <w:sz w:val="24"/>
          <w:szCs w:val="24"/>
        </w:rPr>
      </w:pPr>
    </w:p>
    <w:p>
      <w:pPr>
        <w:pStyle w:val="2"/>
        <w:rPr>
          <w:sz w:val="24"/>
          <w:szCs w:val="24"/>
        </w:rPr>
      </w:pPr>
      <w:r>
        <w:rPr>
          <w:rFonts w:hint="eastAsia"/>
          <w:sz w:val="24"/>
          <w:szCs w:val="24"/>
        </w:rPr>
        <w:t>附件1、</w:t>
      </w:r>
    </w:p>
    <w:p>
      <w:pPr>
        <w:pStyle w:val="8"/>
        <w:jc w:val="center"/>
        <w:rPr>
          <w:rFonts w:ascii="Times New Roman" w:hAnsi="Times New Roman"/>
          <w:b/>
          <w:sz w:val="52"/>
          <w:szCs w:val="52"/>
          <w:lang w:eastAsia="zh-CN"/>
        </w:rPr>
      </w:pPr>
    </w:p>
    <w:p>
      <w:pPr>
        <w:spacing w:line="520" w:lineRule="exact"/>
        <w:ind w:firstLine="480" w:firstLineChars="200"/>
        <w:rPr>
          <w:color w:val="000000"/>
          <w:sz w:val="24"/>
          <w:szCs w:val="24"/>
          <w:lang w:eastAsia="zh-CN"/>
        </w:rPr>
      </w:pPr>
      <w:r>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pPr>
        <w:spacing w:line="520" w:lineRule="exact"/>
        <w:rPr>
          <w:color w:val="000000"/>
          <w:sz w:val="24"/>
          <w:szCs w:val="24"/>
          <w:lang w:eastAsia="zh-CN"/>
        </w:rPr>
      </w:pPr>
    </w:p>
    <w:p>
      <w:pPr>
        <w:spacing w:line="520" w:lineRule="exact"/>
        <w:rPr>
          <w:sz w:val="24"/>
          <w:szCs w:val="24"/>
          <w:lang w:eastAsia="zh-CN"/>
        </w:rPr>
      </w:pPr>
      <w:r>
        <w:rPr>
          <w:rFonts w:hint="eastAsia"/>
          <w:color w:val="000000"/>
          <w:sz w:val="24"/>
          <w:szCs w:val="24"/>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sz w:val="24"/>
          <w:u w:val="single"/>
          <w:lang w:eastAsia="zh-CN"/>
        </w:rPr>
        <w:t>流量计检定校准服务</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20"/>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流量计检定校准</w:t>
      </w:r>
      <w:r>
        <w:rPr>
          <w:rFonts w:hint="eastAsia" w:asciiTheme="majorEastAsia" w:hAnsiTheme="majorEastAsia" w:eastAsiaTheme="major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20"/>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20"/>
        <w:spacing w:beforeLines="0" w:afterLines="0" w:line="240" w:lineRule="auto"/>
        <w:ind w:firstLine="0" w:firstLineChars="0"/>
        <w:rPr>
          <w:rFonts w:ascii="Times New Roman" w:hAnsi="Times New Roman" w:cs="Times New Roman"/>
          <w:b/>
          <w:sz w:val="36"/>
          <w:szCs w:val="36"/>
          <w:lang w:eastAsia="zh-CN"/>
        </w:rPr>
      </w:pPr>
    </w:p>
    <w:p>
      <w:pPr>
        <w:pStyle w:val="20"/>
        <w:spacing w:beforeLines="0" w:afterLines="0" w:line="240" w:lineRule="auto"/>
        <w:ind w:firstLine="413" w:firstLineChars="147"/>
        <w:rPr>
          <w:rFonts w:ascii="Times New Roman" w:hAnsi="Times New Roman" w:cs="Times New Roman"/>
          <w:b/>
          <w:lang w:eastAsia="zh-CN"/>
        </w:rPr>
      </w:pPr>
      <w:r>
        <w:rPr>
          <w:rFonts w:hint="eastAsia" w:ascii="Times New Roman" w:hAnsi="Times New Roman" w:cs="Times New Roman"/>
          <w:b/>
          <w:color w:val="FF0000"/>
          <w:lang w:eastAsia="zh-CN"/>
        </w:rPr>
        <w:t>（注：本报价单和附表需单独盖章密封）</w:t>
      </w:r>
    </w:p>
    <w:p>
      <w:pPr>
        <w:ind w:firstLine="1970" w:firstLineChars="545"/>
        <w:rPr>
          <w:b/>
          <w:bCs/>
          <w:sz w:val="36"/>
          <w:lang w:eastAsia="zh-CN"/>
        </w:rPr>
      </w:pPr>
      <w:r>
        <w:rPr>
          <w:rFonts w:hint="eastAsia"/>
          <w:b/>
          <w:bCs/>
          <w:sz w:val="36"/>
          <w:lang w:eastAsia="zh-CN"/>
        </w:rPr>
        <w:t xml:space="preserve">   </w:t>
      </w:r>
    </w:p>
    <w:p>
      <w:pPr>
        <w:ind w:firstLine="560" w:firstLineChars="200"/>
        <w:rPr>
          <w:sz w:val="28"/>
          <w:u w:val="single"/>
          <w:lang w:eastAsia="zh-CN"/>
        </w:rPr>
      </w:pPr>
      <w:r>
        <w:rPr>
          <w:rFonts w:hint="eastAsia"/>
          <w:sz w:val="28"/>
          <w:lang w:eastAsia="zh-CN"/>
        </w:rPr>
        <w:t>参选单位：</w:t>
      </w:r>
      <w:r>
        <w:rPr>
          <w:sz w:val="36"/>
          <w:lang w:eastAsia="zh-CN"/>
        </w:rPr>
        <w:t xml:space="preserve"> ____________________</w:t>
      </w:r>
    </w:p>
    <w:p>
      <w:pPr>
        <w:ind w:firstLine="560" w:firstLineChars="200"/>
        <w:rPr>
          <w:sz w:val="28"/>
          <w:u w:val="single"/>
          <w:lang w:eastAsia="zh-CN"/>
        </w:rPr>
      </w:pPr>
      <w:r>
        <w:rPr>
          <w:rFonts w:hint="eastAsia"/>
          <w:sz w:val="28"/>
          <w:lang w:eastAsia="zh-CN"/>
        </w:rPr>
        <w:t xml:space="preserve">项目名称： </w:t>
      </w:r>
      <w:r>
        <w:rPr>
          <w:rFonts w:hint="eastAsia" w:asciiTheme="majorEastAsia" w:hAnsiTheme="majorEastAsia" w:eastAsiaTheme="majorEastAsia"/>
          <w:sz w:val="28"/>
          <w:szCs w:val="28"/>
          <w:u w:val="single"/>
          <w:lang w:eastAsia="zh-CN"/>
        </w:rPr>
        <w:t xml:space="preserve">流量计检定校准项目 </w:t>
      </w:r>
    </w:p>
    <w:p>
      <w:pPr>
        <w:ind w:firstLine="560" w:firstLineChars="200"/>
        <w:rPr>
          <w:sz w:val="28"/>
          <w:lang w:eastAsia="zh-CN"/>
        </w:rPr>
      </w:pPr>
      <w:r>
        <w:rPr>
          <w:rFonts w:hint="eastAsia"/>
          <w:sz w:val="28"/>
          <w:lang w:eastAsia="zh-CN"/>
        </w:rPr>
        <w:t>参选报价：</w:t>
      </w:r>
    </w:p>
    <w:p>
      <w:pPr>
        <w:ind w:firstLine="1540" w:firstLineChars="550"/>
        <w:rPr>
          <w:b/>
          <w:color w:val="00B050"/>
          <w:sz w:val="28"/>
          <w:szCs w:val="28"/>
          <w:u w:val="single"/>
          <w:lang w:eastAsia="zh-CN"/>
        </w:rPr>
      </w:pPr>
      <w:r>
        <w:rPr>
          <w:rFonts w:hint="eastAsia"/>
          <w:sz w:val="28"/>
          <w:szCs w:val="28"/>
          <w:lang w:eastAsia="zh-CN"/>
        </w:rPr>
        <w:t xml:space="preserve">报价: </w:t>
      </w:r>
      <w:r>
        <w:rPr>
          <w:rFonts w:hint="eastAsia"/>
          <w:sz w:val="28"/>
          <w:szCs w:val="28"/>
          <w:u w:val="single"/>
          <w:lang w:eastAsia="zh-CN"/>
        </w:rPr>
        <w:t xml:space="preserve">         元 </w:t>
      </w:r>
    </w:p>
    <w:p>
      <w:pPr>
        <w:pStyle w:val="2"/>
        <w:spacing w:line="240" w:lineRule="auto"/>
        <w:rPr>
          <w:sz w:val="28"/>
          <w:szCs w:val="28"/>
        </w:rPr>
      </w:pPr>
      <w:r>
        <w:rPr>
          <w:rFonts w:hint="eastAsia"/>
          <w:sz w:val="28"/>
          <w:szCs w:val="28"/>
        </w:rPr>
        <w:t xml:space="preserve">            具体分项报价见附表“报价表”</w:t>
      </w:r>
    </w:p>
    <w:p>
      <w:pPr>
        <w:ind w:firstLine="840" w:firstLineChars="300"/>
        <w:rPr>
          <w:sz w:val="28"/>
          <w:szCs w:val="28"/>
          <w:lang w:eastAsia="zh-CN"/>
        </w:rPr>
      </w:pPr>
      <w:r>
        <w:rPr>
          <w:rFonts w:hint="eastAsia"/>
          <w:sz w:val="28"/>
          <w:szCs w:val="28"/>
          <w:lang w:eastAsia="zh-CN"/>
        </w:rPr>
        <w:t>注： 1、价格为含税价，税率：</w:t>
      </w:r>
      <w:r>
        <w:rPr>
          <w:rFonts w:hint="eastAsia"/>
          <w:sz w:val="28"/>
          <w:szCs w:val="28"/>
          <w:u w:val="single"/>
          <w:lang w:eastAsia="zh-CN"/>
        </w:rPr>
        <w:t xml:space="preserve">    %  </w:t>
      </w:r>
      <w:r>
        <w:rPr>
          <w:rFonts w:hint="eastAsia"/>
          <w:sz w:val="28"/>
          <w:szCs w:val="28"/>
          <w:lang w:eastAsia="zh-CN"/>
        </w:rPr>
        <w:t xml:space="preserve"> ；</w:t>
      </w:r>
    </w:p>
    <w:p>
      <w:pPr>
        <w:pStyle w:val="2"/>
        <w:spacing w:line="240" w:lineRule="auto"/>
        <w:rPr>
          <w:sz w:val="28"/>
          <w:szCs w:val="28"/>
        </w:rPr>
      </w:pPr>
      <w:r>
        <w:rPr>
          <w:rFonts w:hint="eastAsia"/>
          <w:sz w:val="28"/>
          <w:szCs w:val="28"/>
        </w:rPr>
        <w:t xml:space="preserve">           2、付款方式：</w:t>
      </w:r>
      <w:r>
        <w:rPr>
          <w:rFonts w:hint="eastAsia"/>
          <w:sz w:val="28"/>
          <w:szCs w:val="28"/>
          <w:u w:val="single"/>
        </w:rPr>
        <w:t xml:space="preserve">  按比选文件要求内容 </w:t>
      </w:r>
      <w:r>
        <w:rPr>
          <w:rFonts w:hint="eastAsia"/>
          <w:sz w:val="28"/>
          <w:szCs w:val="28"/>
        </w:rPr>
        <w:t>；</w:t>
      </w:r>
    </w:p>
    <w:p>
      <w:pPr>
        <w:pStyle w:val="2"/>
        <w:spacing w:line="240" w:lineRule="auto"/>
        <w:rPr>
          <w:sz w:val="28"/>
          <w:szCs w:val="28"/>
          <w:u w:val="single"/>
        </w:rPr>
      </w:pPr>
      <w:r>
        <w:rPr>
          <w:rFonts w:hint="eastAsia"/>
          <w:sz w:val="28"/>
          <w:szCs w:val="28"/>
        </w:rPr>
        <w:t xml:space="preserve">           3、服务期限：</w:t>
      </w:r>
      <w:r>
        <w:rPr>
          <w:rFonts w:hint="eastAsia"/>
          <w:sz w:val="28"/>
          <w:szCs w:val="28"/>
          <w:u w:val="single"/>
        </w:rPr>
        <w:t xml:space="preserve">                 </w:t>
      </w:r>
    </w:p>
    <w:p>
      <w:pPr>
        <w:pStyle w:val="2"/>
        <w:spacing w:line="240" w:lineRule="auto"/>
        <w:ind w:firstLine="560" w:firstLineChars="20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pPr>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pPr>
        <w:pStyle w:val="2"/>
      </w:pPr>
    </w:p>
    <w:p>
      <w:pPr>
        <w:pStyle w:val="2"/>
      </w:pPr>
    </w:p>
    <w:p>
      <w:pPr>
        <w:pStyle w:val="2"/>
      </w:pPr>
    </w:p>
    <w:p>
      <w:pPr>
        <w:pStyle w:val="2"/>
      </w:pPr>
    </w:p>
    <w:p>
      <w:pPr>
        <w:pStyle w:val="2"/>
      </w:pPr>
    </w:p>
    <w:p>
      <w:pPr>
        <w:pStyle w:val="2"/>
        <w:sectPr>
          <w:footerReference r:id="rId5" w:type="default"/>
          <w:pgSz w:w="11910" w:h="16840"/>
          <w:pgMar w:top="1500" w:right="1680" w:bottom="740" w:left="1680" w:header="0" w:footer="551" w:gutter="0"/>
          <w:cols w:space="720" w:num="1"/>
          <w:docGrid w:type="lines" w:linePitch="312" w:charSpace="0"/>
        </w:sectPr>
      </w:pPr>
    </w:p>
    <w:p>
      <w:pPr>
        <w:pStyle w:val="2"/>
        <w:rPr>
          <w:sz w:val="28"/>
          <w:szCs w:val="28"/>
        </w:rPr>
      </w:pPr>
      <w:r>
        <w:rPr>
          <w:rFonts w:hint="eastAsia"/>
          <w:sz w:val="28"/>
          <w:szCs w:val="28"/>
        </w:rPr>
        <w:t>附表：</w:t>
      </w:r>
    </w:p>
    <w:tbl>
      <w:tblPr>
        <w:tblStyle w:val="11"/>
        <w:tblW w:w="15183" w:type="dxa"/>
        <w:tblInd w:w="93" w:type="dxa"/>
        <w:tblLayout w:type="fixed"/>
        <w:tblCellMar>
          <w:top w:w="0" w:type="dxa"/>
          <w:left w:w="108" w:type="dxa"/>
          <w:bottom w:w="0" w:type="dxa"/>
          <w:right w:w="108" w:type="dxa"/>
        </w:tblCellMar>
      </w:tblPr>
      <w:tblGrid>
        <w:gridCol w:w="418"/>
        <w:gridCol w:w="810"/>
        <w:gridCol w:w="1144"/>
        <w:gridCol w:w="2015"/>
        <w:gridCol w:w="1677"/>
        <w:gridCol w:w="1039"/>
        <w:gridCol w:w="820"/>
        <w:gridCol w:w="739"/>
        <w:gridCol w:w="1243"/>
        <w:gridCol w:w="883"/>
        <w:gridCol w:w="851"/>
        <w:gridCol w:w="850"/>
        <w:gridCol w:w="951"/>
        <w:gridCol w:w="1034"/>
        <w:gridCol w:w="709"/>
      </w:tblGrid>
      <w:tr>
        <w:tblPrEx>
          <w:tblCellMar>
            <w:top w:w="0" w:type="dxa"/>
            <w:left w:w="108" w:type="dxa"/>
            <w:bottom w:w="0" w:type="dxa"/>
            <w:right w:w="108" w:type="dxa"/>
          </w:tblCellMar>
        </w:tblPrEx>
        <w:trPr>
          <w:trHeight w:val="720" w:hRule="atLeast"/>
        </w:trPr>
        <w:tc>
          <w:tcPr>
            <w:tcW w:w="41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b/>
                <w:bCs/>
                <w:sz w:val="20"/>
                <w:szCs w:val="20"/>
                <w:lang w:eastAsia="zh-CN"/>
              </w:rPr>
            </w:pPr>
            <w:r>
              <w:rPr>
                <w:rFonts w:hint="eastAsia"/>
                <w:b/>
                <w:bCs/>
                <w:sz w:val="20"/>
                <w:szCs w:val="20"/>
                <w:lang w:eastAsia="zh-CN"/>
              </w:rPr>
              <w:t>序号</w:t>
            </w:r>
          </w:p>
        </w:tc>
        <w:tc>
          <w:tcPr>
            <w:tcW w:w="810" w:type="dxa"/>
            <w:tcBorders>
              <w:top w:val="single" w:color="auto" w:sz="4" w:space="0"/>
              <w:left w:val="nil"/>
              <w:bottom w:val="single" w:color="auto" w:sz="4" w:space="0"/>
              <w:right w:val="single" w:color="auto" w:sz="4" w:space="0"/>
            </w:tcBorders>
            <w:shd w:val="clear" w:color="000000" w:fill="FFFFFF"/>
            <w:vAlign w:val="center"/>
          </w:tcPr>
          <w:p>
            <w:pPr>
              <w:widowControl/>
              <w:autoSpaceDE/>
              <w:autoSpaceDN/>
              <w:jc w:val="center"/>
              <w:rPr>
                <w:b/>
                <w:bCs/>
                <w:sz w:val="20"/>
                <w:szCs w:val="20"/>
                <w:lang w:eastAsia="zh-CN"/>
              </w:rPr>
            </w:pPr>
            <w:r>
              <w:rPr>
                <w:rFonts w:hint="eastAsia"/>
                <w:b/>
                <w:bCs/>
                <w:sz w:val="20"/>
                <w:szCs w:val="20"/>
                <w:lang w:eastAsia="zh-CN"/>
              </w:rPr>
              <w:t>位号</w:t>
            </w:r>
          </w:p>
        </w:tc>
        <w:tc>
          <w:tcPr>
            <w:tcW w:w="1144" w:type="dxa"/>
            <w:tcBorders>
              <w:top w:val="single" w:color="auto" w:sz="4" w:space="0"/>
              <w:left w:val="nil"/>
              <w:bottom w:val="single" w:color="auto" w:sz="4" w:space="0"/>
              <w:right w:val="single" w:color="auto" w:sz="4" w:space="0"/>
            </w:tcBorders>
            <w:shd w:val="clear" w:color="000000" w:fill="FFFFFF"/>
            <w:vAlign w:val="center"/>
          </w:tcPr>
          <w:p>
            <w:pPr>
              <w:widowControl/>
              <w:autoSpaceDE/>
              <w:autoSpaceDN/>
              <w:jc w:val="center"/>
              <w:rPr>
                <w:b/>
                <w:bCs/>
                <w:sz w:val="20"/>
                <w:szCs w:val="20"/>
                <w:lang w:eastAsia="zh-CN"/>
              </w:rPr>
            </w:pPr>
            <w:r>
              <w:rPr>
                <w:rFonts w:hint="eastAsia"/>
                <w:b/>
                <w:bCs/>
                <w:sz w:val="20"/>
                <w:szCs w:val="20"/>
                <w:lang w:eastAsia="zh-CN"/>
              </w:rPr>
              <w:t>用途</w:t>
            </w:r>
          </w:p>
        </w:tc>
        <w:tc>
          <w:tcPr>
            <w:tcW w:w="2015" w:type="dxa"/>
            <w:tcBorders>
              <w:top w:val="single" w:color="auto" w:sz="4" w:space="0"/>
              <w:left w:val="nil"/>
              <w:bottom w:val="single" w:color="auto" w:sz="4" w:space="0"/>
              <w:right w:val="single" w:color="auto" w:sz="4" w:space="0"/>
            </w:tcBorders>
            <w:shd w:val="clear" w:color="000000" w:fill="FFFFFF"/>
            <w:vAlign w:val="center"/>
          </w:tcPr>
          <w:p>
            <w:pPr>
              <w:widowControl/>
              <w:autoSpaceDE/>
              <w:autoSpaceDN/>
              <w:jc w:val="center"/>
              <w:rPr>
                <w:b/>
                <w:bCs/>
                <w:sz w:val="20"/>
                <w:szCs w:val="20"/>
                <w:lang w:eastAsia="zh-CN"/>
              </w:rPr>
            </w:pPr>
            <w:r>
              <w:rPr>
                <w:rFonts w:hint="eastAsia"/>
                <w:b/>
                <w:bCs/>
                <w:sz w:val="20"/>
                <w:szCs w:val="20"/>
                <w:lang w:eastAsia="zh-CN"/>
              </w:rPr>
              <w:t>产品型号</w:t>
            </w:r>
          </w:p>
        </w:tc>
        <w:tc>
          <w:tcPr>
            <w:tcW w:w="1677" w:type="dxa"/>
            <w:tcBorders>
              <w:top w:val="single" w:color="auto" w:sz="4" w:space="0"/>
              <w:left w:val="nil"/>
              <w:bottom w:val="single" w:color="auto" w:sz="4" w:space="0"/>
              <w:right w:val="single" w:color="auto" w:sz="4" w:space="0"/>
            </w:tcBorders>
            <w:shd w:val="clear" w:color="000000" w:fill="FFFFFF"/>
            <w:vAlign w:val="center"/>
          </w:tcPr>
          <w:p>
            <w:pPr>
              <w:widowControl/>
              <w:autoSpaceDE/>
              <w:autoSpaceDN/>
              <w:jc w:val="center"/>
              <w:rPr>
                <w:b/>
                <w:bCs/>
                <w:sz w:val="20"/>
                <w:szCs w:val="20"/>
                <w:lang w:eastAsia="zh-CN"/>
              </w:rPr>
            </w:pPr>
            <w:r>
              <w:rPr>
                <w:rFonts w:hint="eastAsia"/>
                <w:b/>
                <w:bCs/>
                <w:sz w:val="20"/>
                <w:szCs w:val="20"/>
                <w:lang w:eastAsia="zh-CN"/>
              </w:rPr>
              <w:t>产品品牌</w:t>
            </w:r>
          </w:p>
        </w:tc>
        <w:tc>
          <w:tcPr>
            <w:tcW w:w="1039" w:type="dxa"/>
            <w:tcBorders>
              <w:top w:val="single" w:color="auto" w:sz="4" w:space="0"/>
              <w:left w:val="nil"/>
              <w:bottom w:val="single" w:color="auto" w:sz="4" w:space="0"/>
              <w:right w:val="single" w:color="auto" w:sz="4" w:space="0"/>
            </w:tcBorders>
            <w:shd w:val="clear" w:color="000000" w:fill="FFFFFF"/>
            <w:vAlign w:val="center"/>
          </w:tcPr>
          <w:p>
            <w:pPr>
              <w:widowControl/>
              <w:autoSpaceDE/>
              <w:autoSpaceDN/>
              <w:jc w:val="center"/>
              <w:rPr>
                <w:b/>
                <w:bCs/>
                <w:sz w:val="20"/>
                <w:szCs w:val="20"/>
                <w:lang w:eastAsia="zh-CN"/>
              </w:rPr>
            </w:pPr>
            <w:r>
              <w:rPr>
                <w:rFonts w:hint="eastAsia"/>
                <w:b/>
                <w:bCs/>
                <w:sz w:val="20"/>
                <w:szCs w:val="20"/>
                <w:lang w:eastAsia="zh-CN"/>
              </w:rPr>
              <w:t xml:space="preserve"> 口径</w:t>
            </w:r>
          </w:p>
        </w:tc>
        <w:tc>
          <w:tcPr>
            <w:tcW w:w="820" w:type="dxa"/>
            <w:tcBorders>
              <w:top w:val="single" w:color="auto" w:sz="4" w:space="0"/>
              <w:left w:val="nil"/>
              <w:bottom w:val="single" w:color="auto" w:sz="4" w:space="0"/>
              <w:right w:val="single" w:color="auto" w:sz="4" w:space="0"/>
            </w:tcBorders>
            <w:shd w:val="clear" w:color="000000" w:fill="FFFFFF"/>
            <w:vAlign w:val="center"/>
          </w:tcPr>
          <w:p>
            <w:pPr>
              <w:widowControl/>
              <w:autoSpaceDE/>
              <w:autoSpaceDN/>
              <w:jc w:val="center"/>
              <w:rPr>
                <w:b/>
                <w:bCs/>
                <w:sz w:val="20"/>
                <w:szCs w:val="20"/>
                <w:lang w:eastAsia="zh-CN"/>
              </w:rPr>
            </w:pPr>
            <w:r>
              <w:rPr>
                <w:rFonts w:hint="eastAsia"/>
                <w:b/>
                <w:bCs/>
                <w:sz w:val="20"/>
                <w:szCs w:val="20"/>
                <w:lang w:eastAsia="zh-CN"/>
              </w:rPr>
              <w:t>信号输出</w:t>
            </w:r>
          </w:p>
        </w:tc>
        <w:tc>
          <w:tcPr>
            <w:tcW w:w="739" w:type="dxa"/>
            <w:tcBorders>
              <w:top w:val="single" w:color="auto" w:sz="4" w:space="0"/>
              <w:left w:val="nil"/>
              <w:bottom w:val="single" w:color="auto" w:sz="4" w:space="0"/>
              <w:right w:val="single" w:color="auto" w:sz="4" w:space="0"/>
            </w:tcBorders>
            <w:shd w:val="clear" w:color="000000" w:fill="FFFFFF"/>
            <w:vAlign w:val="center"/>
          </w:tcPr>
          <w:p>
            <w:pPr>
              <w:widowControl/>
              <w:autoSpaceDE/>
              <w:autoSpaceDN/>
              <w:jc w:val="center"/>
              <w:rPr>
                <w:b/>
                <w:bCs/>
                <w:sz w:val="20"/>
                <w:szCs w:val="20"/>
                <w:lang w:eastAsia="zh-CN"/>
              </w:rPr>
            </w:pPr>
            <w:r>
              <w:rPr>
                <w:rFonts w:hint="eastAsia"/>
                <w:b/>
                <w:bCs/>
                <w:sz w:val="20"/>
                <w:szCs w:val="20"/>
                <w:lang w:eastAsia="zh-CN"/>
              </w:rPr>
              <w:t>材质</w:t>
            </w:r>
          </w:p>
        </w:tc>
        <w:tc>
          <w:tcPr>
            <w:tcW w:w="1243" w:type="dxa"/>
            <w:tcBorders>
              <w:top w:val="single" w:color="auto" w:sz="4" w:space="0"/>
              <w:left w:val="nil"/>
              <w:bottom w:val="single" w:color="auto" w:sz="4" w:space="0"/>
              <w:right w:val="single" w:color="auto" w:sz="4" w:space="0"/>
            </w:tcBorders>
            <w:shd w:val="clear" w:color="000000" w:fill="FFFFFF"/>
            <w:vAlign w:val="center"/>
          </w:tcPr>
          <w:p>
            <w:pPr>
              <w:widowControl/>
              <w:autoSpaceDE/>
              <w:autoSpaceDN/>
              <w:jc w:val="center"/>
              <w:rPr>
                <w:b/>
                <w:bCs/>
                <w:sz w:val="20"/>
                <w:szCs w:val="20"/>
                <w:lang w:eastAsia="zh-CN"/>
              </w:rPr>
            </w:pPr>
            <w:r>
              <w:rPr>
                <w:rFonts w:hint="eastAsia"/>
                <w:b/>
                <w:bCs/>
                <w:sz w:val="20"/>
                <w:szCs w:val="20"/>
                <w:lang w:eastAsia="zh-CN"/>
              </w:rPr>
              <w:t>过程连接及标准材质</w:t>
            </w:r>
          </w:p>
        </w:tc>
        <w:tc>
          <w:tcPr>
            <w:tcW w:w="883" w:type="dxa"/>
            <w:tcBorders>
              <w:top w:val="single" w:color="auto" w:sz="4" w:space="0"/>
              <w:left w:val="nil"/>
              <w:bottom w:val="single" w:color="auto" w:sz="4" w:space="0"/>
              <w:right w:val="single" w:color="auto" w:sz="4" w:space="0"/>
            </w:tcBorders>
            <w:shd w:val="clear" w:color="000000" w:fill="FFFFFF"/>
            <w:vAlign w:val="center"/>
          </w:tcPr>
          <w:p>
            <w:pPr>
              <w:widowControl/>
              <w:autoSpaceDE/>
              <w:autoSpaceDN/>
              <w:jc w:val="center"/>
              <w:rPr>
                <w:b/>
                <w:bCs/>
                <w:sz w:val="20"/>
                <w:szCs w:val="20"/>
                <w:lang w:eastAsia="zh-CN"/>
              </w:rPr>
            </w:pPr>
            <w:r>
              <w:rPr>
                <w:rFonts w:hint="eastAsia"/>
                <w:b/>
                <w:bCs/>
                <w:sz w:val="20"/>
                <w:szCs w:val="20"/>
                <w:lang w:eastAsia="zh-CN"/>
              </w:rPr>
              <w:t>介质</w:t>
            </w:r>
          </w:p>
        </w:tc>
        <w:tc>
          <w:tcPr>
            <w:tcW w:w="851" w:type="dxa"/>
            <w:tcBorders>
              <w:top w:val="single" w:color="auto" w:sz="4" w:space="0"/>
              <w:left w:val="nil"/>
              <w:bottom w:val="single" w:color="auto" w:sz="4" w:space="0"/>
              <w:right w:val="single" w:color="auto" w:sz="4" w:space="0"/>
            </w:tcBorders>
            <w:shd w:val="clear" w:color="000000" w:fill="FFFFFF"/>
            <w:vAlign w:val="center"/>
          </w:tcPr>
          <w:p>
            <w:pPr>
              <w:widowControl/>
              <w:autoSpaceDE/>
              <w:autoSpaceDN/>
              <w:jc w:val="center"/>
              <w:rPr>
                <w:b/>
                <w:bCs/>
                <w:sz w:val="20"/>
                <w:szCs w:val="20"/>
                <w:lang w:eastAsia="zh-CN"/>
              </w:rPr>
            </w:pPr>
            <w:r>
              <w:rPr>
                <w:rFonts w:hint="eastAsia"/>
                <w:b/>
                <w:bCs/>
                <w:sz w:val="20"/>
                <w:szCs w:val="20"/>
                <w:lang w:eastAsia="zh-CN"/>
              </w:rPr>
              <w:t xml:space="preserve">精度 </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autoSpaceDE/>
              <w:autoSpaceDN/>
              <w:jc w:val="center"/>
              <w:rPr>
                <w:b/>
                <w:bCs/>
                <w:sz w:val="20"/>
                <w:szCs w:val="20"/>
                <w:lang w:eastAsia="zh-CN"/>
              </w:rPr>
            </w:pPr>
            <w:r>
              <w:rPr>
                <w:rFonts w:hint="eastAsia"/>
                <w:b/>
                <w:bCs/>
                <w:sz w:val="20"/>
                <w:szCs w:val="20"/>
                <w:lang w:eastAsia="zh-CN"/>
              </w:rPr>
              <w:t>数量（台）</w:t>
            </w:r>
          </w:p>
        </w:tc>
        <w:tc>
          <w:tcPr>
            <w:tcW w:w="951" w:type="dxa"/>
            <w:tcBorders>
              <w:top w:val="single" w:color="auto" w:sz="4" w:space="0"/>
              <w:left w:val="nil"/>
              <w:bottom w:val="single" w:color="auto" w:sz="4" w:space="0"/>
              <w:right w:val="single" w:color="auto" w:sz="4" w:space="0"/>
            </w:tcBorders>
            <w:shd w:val="clear" w:color="000000" w:fill="FFFFFF"/>
            <w:vAlign w:val="center"/>
          </w:tcPr>
          <w:p>
            <w:pPr>
              <w:widowControl/>
              <w:autoSpaceDE/>
              <w:autoSpaceDN/>
              <w:jc w:val="center"/>
              <w:rPr>
                <w:b/>
                <w:bCs/>
                <w:sz w:val="20"/>
                <w:szCs w:val="20"/>
                <w:lang w:eastAsia="zh-CN"/>
              </w:rPr>
            </w:pPr>
            <w:r>
              <w:rPr>
                <w:rFonts w:hint="eastAsia"/>
                <w:b/>
                <w:bCs/>
                <w:sz w:val="20"/>
                <w:szCs w:val="20"/>
                <w:lang w:eastAsia="zh-CN"/>
              </w:rPr>
              <w:t>防浪涌保护器</w:t>
            </w:r>
          </w:p>
        </w:tc>
        <w:tc>
          <w:tcPr>
            <w:tcW w:w="1034" w:type="dxa"/>
            <w:tcBorders>
              <w:top w:val="single" w:color="auto" w:sz="4" w:space="0"/>
              <w:left w:val="nil"/>
              <w:bottom w:val="single" w:color="auto" w:sz="4" w:space="0"/>
              <w:right w:val="single" w:color="auto" w:sz="4" w:space="0"/>
            </w:tcBorders>
            <w:shd w:val="clear" w:color="000000" w:fill="FFFFFF"/>
            <w:vAlign w:val="center"/>
          </w:tcPr>
          <w:p>
            <w:pPr>
              <w:widowControl/>
              <w:autoSpaceDE/>
              <w:autoSpaceDN/>
              <w:jc w:val="center"/>
              <w:rPr>
                <w:b/>
                <w:bCs/>
                <w:sz w:val="20"/>
                <w:szCs w:val="20"/>
                <w:lang w:eastAsia="zh-CN"/>
              </w:rPr>
            </w:pPr>
            <w:r>
              <w:rPr>
                <w:rFonts w:hint="eastAsia"/>
                <w:b/>
                <w:bCs/>
                <w:sz w:val="20"/>
                <w:szCs w:val="20"/>
                <w:lang w:eastAsia="zh-CN"/>
              </w:rPr>
              <w:t>价格</w:t>
            </w:r>
            <w:r>
              <w:rPr>
                <w:rFonts w:hint="eastAsia"/>
                <w:b/>
                <w:bCs/>
                <w:sz w:val="20"/>
                <w:szCs w:val="20"/>
                <w:lang w:eastAsia="zh-CN"/>
              </w:rPr>
              <w:br w:type="textWrapping"/>
            </w:r>
            <w:r>
              <w:rPr>
                <w:rFonts w:hint="eastAsia"/>
                <w:b/>
                <w:bCs/>
                <w:sz w:val="20"/>
                <w:szCs w:val="20"/>
                <w:lang w:eastAsia="zh-CN"/>
              </w:rPr>
              <w:t>（元）</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b/>
                <w:bCs/>
                <w:color w:val="000000"/>
                <w:sz w:val="20"/>
                <w:szCs w:val="20"/>
                <w:lang w:eastAsia="zh-CN"/>
              </w:rPr>
            </w:pPr>
            <w:r>
              <w:rPr>
                <w:rFonts w:hint="eastAsia"/>
                <w:b/>
                <w:bCs/>
                <w:color w:val="000000"/>
                <w:sz w:val="20"/>
                <w:szCs w:val="20"/>
                <w:lang w:eastAsia="zh-CN"/>
              </w:rPr>
              <w:t>备注</w:t>
            </w:r>
          </w:p>
        </w:tc>
      </w:tr>
      <w:tr>
        <w:tblPrEx>
          <w:tblCellMar>
            <w:top w:w="0" w:type="dxa"/>
            <w:left w:w="108" w:type="dxa"/>
            <w:bottom w:w="0" w:type="dxa"/>
            <w:right w:w="108" w:type="dxa"/>
          </w:tblCellMar>
        </w:tblPrEx>
        <w:trPr>
          <w:trHeight w:val="480" w:hRule="atLeast"/>
        </w:trPr>
        <w:tc>
          <w:tcPr>
            <w:tcW w:w="418"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1</w:t>
            </w:r>
          </w:p>
        </w:tc>
        <w:tc>
          <w:tcPr>
            <w:tcW w:w="810"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FT-9501</w:t>
            </w:r>
          </w:p>
        </w:tc>
        <w:tc>
          <w:tcPr>
            <w:tcW w:w="1144" w:type="dxa"/>
            <w:tcBorders>
              <w:top w:val="nil"/>
              <w:left w:val="nil"/>
              <w:bottom w:val="single" w:color="auto" w:sz="4" w:space="0"/>
              <w:right w:val="single" w:color="auto" w:sz="4" w:space="0"/>
            </w:tcBorders>
            <w:shd w:val="clear" w:color="000000" w:fill="FFFFFF"/>
            <w:vAlign w:val="center"/>
          </w:tcPr>
          <w:p>
            <w:pPr>
              <w:widowControl/>
              <w:autoSpaceDE/>
              <w:autoSpaceDN/>
              <w:rPr>
                <w:sz w:val="20"/>
                <w:szCs w:val="20"/>
                <w:lang w:eastAsia="zh-CN"/>
              </w:rPr>
            </w:pPr>
            <w:r>
              <w:rPr>
                <w:rFonts w:hint="eastAsia"/>
                <w:sz w:val="20"/>
                <w:szCs w:val="20"/>
                <w:lang w:eastAsia="zh-CN"/>
              </w:rPr>
              <w:t>邻二甲苯与PX界区计量</w:t>
            </w:r>
          </w:p>
        </w:tc>
        <w:tc>
          <w:tcPr>
            <w:tcW w:w="2015"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F300S425ERAPMZ1ZZ</w:t>
            </w:r>
          </w:p>
        </w:tc>
        <w:tc>
          <w:tcPr>
            <w:tcW w:w="1677"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EMERON</w:t>
            </w:r>
          </w:p>
        </w:tc>
        <w:tc>
          <w:tcPr>
            <w:tcW w:w="1039"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ascii="Times New Roman" w:hAnsi="Times New Roman" w:cs="Times New Roman"/>
                <w:sz w:val="20"/>
                <w:szCs w:val="20"/>
                <w:lang w:eastAsia="zh-CN"/>
              </w:rPr>
            </w:pPr>
            <w:r>
              <w:rPr>
                <w:rFonts w:ascii="Times New Roman" w:hAnsi="Times New Roman" w:cs="Times New Roman"/>
                <w:sz w:val="20"/>
                <w:szCs w:val="20"/>
                <w:lang w:eastAsia="zh-CN"/>
              </w:rPr>
              <w:t>4" 150#</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4~20mA</w:t>
            </w:r>
          </w:p>
        </w:tc>
        <w:tc>
          <w:tcPr>
            <w:tcW w:w="739"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316L</w:t>
            </w:r>
          </w:p>
        </w:tc>
        <w:tc>
          <w:tcPr>
            <w:tcW w:w="1243"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法兰连接ANSI 150#</w:t>
            </w:r>
          </w:p>
        </w:tc>
        <w:tc>
          <w:tcPr>
            <w:tcW w:w="883"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邻二甲苯</w:t>
            </w:r>
          </w:p>
        </w:tc>
        <w:tc>
          <w:tcPr>
            <w:tcW w:w="851"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±0.1%</w:t>
            </w:r>
          </w:p>
        </w:tc>
        <w:tc>
          <w:tcPr>
            <w:tcW w:w="850"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1</w:t>
            </w:r>
          </w:p>
        </w:tc>
        <w:tc>
          <w:tcPr>
            <w:tcW w:w="951"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带</w:t>
            </w:r>
          </w:p>
        </w:tc>
        <w:tc>
          <w:tcPr>
            <w:tcW w:w="1034"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　</w:t>
            </w:r>
          </w:p>
        </w:tc>
        <w:tc>
          <w:tcPr>
            <w:tcW w:w="709" w:type="dxa"/>
            <w:tcBorders>
              <w:top w:val="nil"/>
              <w:left w:val="nil"/>
              <w:bottom w:val="single" w:color="auto" w:sz="4" w:space="0"/>
              <w:right w:val="single" w:color="auto" w:sz="4" w:space="0"/>
            </w:tcBorders>
            <w:shd w:val="clear" w:color="auto" w:fill="auto"/>
            <w:noWrap/>
            <w:vAlign w:val="center"/>
          </w:tcPr>
          <w:p>
            <w:pPr>
              <w:widowControl/>
              <w:autoSpaceDE/>
              <w:autoSpaceDN/>
              <w:rPr>
                <w:color w:val="000000"/>
                <w:sz w:val="20"/>
                <w:szCs w:val="20"/>
                <w:lang w:eastAsia="zh-CN"/>
              </w:rPr>
            </w:pPr>
            <w:r>
              <w:rPr>
                <w:rFonts w:hint="eastAsia"/>
                <w:color w:val="000000"/>
                <w:sz w:val="20"/>
                <w:szCs w:val="20"/>
                <w:lang w:eastAsia="zh-CN"/>
              </w:rPr>
              <w:t>　</w:t>
            </w:r>
          </w:p>
        </w:tc>
      </w:tr>
      <w:tr>
        <w:tblPrEx>
          <w:tblCellMar>
            <w:top w:w="0" w:type="dxa"/>
            <w:left w:w="108" w:type="dxa"/>
            <w:bottom w:w="0" w:type="dxa"/>
            <w:right w:w="108" w:type="dxa"/>
          </w:tblCellMar>
        </w:tblPrEx>
        <w:trPr>
          <w:trHeight w:val="720" w:hRule="atLeast"/>
        </w:trPr>
        <w:tc>
          <w:tcPr>
            <w:tcW w:w="418"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2</w:t>
            </w:r>
          </w:p>
        </w:tc>
        <w:tc>
          <w:tcPr>
            <w:tcW w:w="810"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FT-9502</w:t>
            </w:r>
          </w:p>
        </w:tc>
        <w:tc>
          <w:tcPr>
            <w:tcW w:w="1144" w:type="dxa"/>
            <w:tcBorders>
              <w:top w:val="nil"/>
              <w:left w:val="nil"/>
              <w:bottom w:val="single" w:color="auto" w:sz="4" w:space="0"/>
              <w:right w:val="single" w:color="auto" w:sz="4" w:space="0"/>
            </w:tcBorders>
            <w:shd w:val="clear" w:color="000000" w:fill="FFFFFF"/>
            <w:vAlign w:val="center"/>
          </w:tcPr>
          <w:p>
            <w:pPr>
              <w:widowControl/>
              <w:autoSpaceDE/>
              <w:autoSpaceDN/>
              <w:rPr>
                <w:sz w:val="20"/>
                <w:szCs w:val="20"/>
                <w:lang w:eastAsia="zh-CN"/>
              </w:rPr>
            </w:pPr>
            <w:r>
              <w:rPr>
                <w:rFonts w:hint="eastAsia"/>
                <w:sz w:val="20"/>
                <w:szCs w:val="20"/>
                <w:lang w:eastAsia="zh-CN"/>
              </w:rPr>
              <w:t>除盐水界区计量</w:t>
            </w:r>
          </w:p>
        </w:tc>
        <w:tc>
          <w:tcPr>
            <w:tcW w:w="2015"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MBF4119941N03T</w:t>
            </w:r>
          </w:p>
        </w:tc>
        <w:tc>
          <w:tcPr>
            <w:tcW w:w="1677"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xml:space="preserve">   菲时博特Fischer&amp;Porter     </w:t>
            </w:r>
          </w:p>
        </w:tc>
        <w:tc>
          <w:tcPr>
            <w:tcW w:w="1039"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8</w:t>
            </w:r>
            <w:r>
              <w:rPr>
                <w:rFonts w:ascii="Times New Roman" w:hAnsi="Times New Roman" w:cs="Times New Roman"/>
                <w:sz w:val="20"/>
                <w:szCs w:val="20"/>
                <w:lang w:eastAsia="zh-CN"/>
              </w:rPr>
              <w:t>" 150#</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xml:space="preserve">4-20 mA </w:t>
            </w:r>
          </w:p>
        </w:tc>
        <w:tc>
          <w:tcPr>
            <w:tcW w:w="739"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316L</w:t>
            </w:r>
          </w:p>
        </w:tc>
        <w:tc>
          <w:tcPr>
            <w:tcW w:w="1243"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法兰连接 ANSI 150#</w:t>
            </w:r>
          </w:p>
        </w:tc>
        <w:tc>
          <w:tcPr>
            <w:tcW w:w="883"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除盐水</w:t>
            </w:r>
          </w:p>
        </w:tc>
        <w:tc>
          <w:tcPr>
            <w:tcW w:w="851"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0.5%</w:t>
            </w:r>
          </w:p>
        </w:tc>
        <w:tc>
          <w:tcPr>
            <w:tcW w:w="850"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1</w:t>
            </w:r>
          </w:p>
        </w:tc>
        <w:tc>
          <w:tcPr>
            <w:tcW w:w="951"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带</w:t>
            </w:r>
          </w:p>
        </w:tc>
        <w:tc>
          <w:tcPr>
            <w:tcW w:w="1034"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w:t>
            </w:r>
          </w:p>
        </w:tc>
        <w:tc>
          <w:tcPr>
            <w:tcW w:w="709" w:type="dxa"/>
            <w:tcBorders>
              <w:top w:val="nil"/>
              <w:left w:val="nil"/>
              <w:bottom w:val="single" w:color="auto" w:sz="4" w:space="0"/>
              <w:right w:val="single" w:color="auto" w:sz="4" w:space="0"/>
            </w:tcBorders>
            <w:shd w:val="clear" w:color="auto" w:fill="auto"/>
            <w:noWrap/>
            <w:vAlign w:val="center"/>
          </w:tcPr>
          <w:p>
            <w:pPr>
              <w:widowControl/>
              <w:autoSpaceDE/>
              <w:autoSpaceDN/>
              <w:rPr>
                <w:color w:val="000000"/>
                <w:sz w:val="20"/>
                <w:szCs w:val="20"/>
                <w:lang w:eastAsia="zh-CN"/>
              </w:rPr>
            </w:pPr>
            <w:r>
              <w:rPr>
                <w:rFonts w:hint="eastAsia"/>
                <w:color w:val="000000"/>
                <w:sz w:val="20"/>
                <w:szCs w:val="20"/>
                <w:lang w:eastAsia="zh-CN"/>
              </w:rPr>
              <w:t>　</w:t>
            </w:r>
          </w:p>
        </w:tc>
      </w:tr>
      <w:tr>
        <w:tblPrEx>
          <w:tblCellMar>
            <w:top w:w="0" w:type="dxa"/>
            <w:left w:w="108" w:type="dxa"/>
            <w:bottom w:w="0" w:type="dxa"/>
            <w:right w:w="108" w:type="dxa"/>
          </w:tblCellMar>
        </w:tblPrEx>
        <w:trPr>
          <w:trHeight w:val="720" w:hRule="atLeast"/>
        </w:trPr>
        <w:tc>
          <w:tcPr>
            <w:tcW w:w="418"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3</w:t>
            </w:r>
          </w:p>
        </w:tc>
        <w:tc>
          <w:tcPr>
            <w:tcW w:w="810"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FT-9503</w:t>
            </w:r>
          </w:p>
        </w:tc>
        <w:tc>
          <w:tcPr>
            <w:tcW w:w="1144" w:type="dxa"/>
            <w:tcBorders>
              <w:top w:val="nil"/>
              <w:left w:val="nil"/>
              <w:bottom w:val="single" w:color="auto" w:sz="4" w:space="0"/>
              <w:right w:val="single" w:color="auto" w:sz="4" w:space="0"/>
            </w:tcBorders>
            <w:shd w:val="clear" w:color="000000" w:fill="FFFFFF"/>
            <w:vAlign w:val="center"/>
          </w:tcPr>
          <w:p>
            <w:pPr>
              <w:widowControl/>
              <w:autoSpaceDE/>
              <w:autoSpaceDN/>
              <w:rPr>
                <w:sz w:val="20"/>
                <w:szCs w:val="20"/>
                <w:lang w:eastAsia="zh-CN"/>
              </w:rPr>
            </w:pPr>
            <w:r>
              <w:rPr>
                <w:rFonts w:hint="eastAsia"/>
                <w:sz w:val="20"/>
                <w:szCs w:val="20"/>
                <w:lang w:eastAsia="zh-CN"/>
              </w:rPr>
              <w:t>除盐水界区计量</w:t>
            </w:r>
          </w:p>
        </w:tc>
        <w:tc>
          <w:tcPr>
            <w:tcW w:w="2015"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MBF4119941N03T</w:t>
            </w:r>
          </w:p>
        </w:tc>
        <w:tc>
          <w:tcPr>
            <w:tcW w:w="1677"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xml:space="preserve">   菲时博特Fischer&amp;Porter     </w:t>
            </w:r>
          </w:p>
        </w:tc>
        <w:tc>
          <w:tcPr>
            <w:tcW w:w="1039"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8</w:t>
            </w:r>
            <w:r>
              <w:rPr>
                <w:rFonts w:ascii="Times New Roman" w:hAnsi="Times New Roman" w:cs="Times New Roman"/>
                <w:sz w:val="20"/>
                <w:szCs w:val="20"/>
                <w:lang w:eastAsia="zh-CN"/>
              </w:rPr>
              <w:t>" 150#</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xml:space="preserve">4-20 mA </w:t>
            </w:r>
          </w:p>
        </w:tc>
        <w:tc>
          <w:tcPr>
            <w:tcW w:w="739"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316L</w:t>
            </w:r>
          </w:p>
        </w:tc>
        <w:tc>
          <w:tcPr>
            <w:tcW w:w="1243"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法兰连接 ANSI 150#</w:t>
            </w:r>
          </w:p>
        </w:tc>
        <w:tc>
          <w:tcPr>
            <w:tcW w:w="883"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除盐水</w:t>
            </w:r>
          </w:p>
        </w:tc>
        <w:tc>
          <w:tcPr>
            <w:tcW w:w="851"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0.5%</w:t>
            </w:r>
          </w:p>
        </w:tc>
        <w:tc>
          <w:tcPr>
            <w:tcW w:w="850"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1</w:t>
            </w:r>
          </w:p>
        </w:tc>
        <w:tc>
          <w:tcPr>
            <w:tcW w:w="951"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带</w:t>
            </w:r>
          </w:p>
        </w:tc>
        <w:tc>
          <w:tcPr>
            <w:tcW w:w="1034"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w:t>
            </w:r>
          </w:p>
        </w:tc>
        <w:tc>
          <w:tcPr>
            <w:tcW w:w="709" w:type="dxa"/>
            <w:tcBorders>
              <w:top w:val="nil"/>
              <w:left w:val="nil"/>
              <w:bottom w:val="single" w:color="auto" w:sz="4" w:space="0"/>
              <w:right w:val="single" w:color="auto" w:sz="4" w:space="0"/>
            </w:tcBorders>
            <w:shd w:val="clear" w:color="auto" w:fill="auto"/>
            <w:noWrap/>
            <w:vAlign w:val="center"/>
          </w:tcPr>
          <w:p>
            <w:pPr>
              <w:widowControl/>
              <w:autoSpaceDE/>
              <w:autoSpaceDN/>
              <w:rPr>
                <w:color w:val="000000"/>
                <w:sz w:val="20"/>
                <w:szCs w:val="20"/>
                <w:lang w:eastAsia="zh-CN"/>
              </w:rPr>
            </w:pPr>
            <w:r>
              <w:rPr>
                <w:rFonts w:hint="eastAsia"/>
                <w:color w:val="000000"/>
                <w:sz w:val="20"/>
                <w:szCs w:val="20"/>
                <w:lang w:eastAsia="zh-CN"/>
              </w:rPr>
              <w:t>　</w:t>
            </w:r>
          </w:p>
        </w:tc>
      </w:tr>
      <w:tr>
        <w:tblPrEx>
          <w:tblCellMar>
            <w:top w:w="0" w:type="dxa"/>
            <w:left w:w="108" w:type="dxa"/>
            <w:bottom w:w="0" w:type="dxa"/>
            <w:right w:w="108" w:type="dxa"/>
          </w:tblCellMar>
        </w:tblPrEx>
        <w:trPr>
          <w:trHeight w:val="720" w:hRule="atLeast"/>
        </w:trPr>
        <w:tc>
          <w:tcPr>
            <w:tcW w:w="418"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4</w:t>
            </w:r>
          </w:p>
        </w:tc>
        <w:tc>
          <w:tcPr>
            <w:tcW w:w="810"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FT-9508</w:t>
            </w:r>
          </w:p>
        </w:tc>
        <w:tc>
          <w:tcPr>
            <w:tcW w:w="1144" w:type="dxa"/>
            <w:tcBorders>
              <w:top w:val="nil"/>
              <w:left w:val="nil"/>
              <w:bottom w:val="single" w:color="auto" w:sz="4" w:space="0"/>
              <w:right w:val="single" w:color="auto" w:sz="4" w:space="0"/>
            </w:tcBorders>
            <w:shd w:val="clear" w:color="000000" w:fill="FFFFFF"/>
            <w:vAlign w:val="center"/>
          </w:tcPr>
          <w:p>
            <w:pPr>
              <w:widowControl/>
              <w:autoSpaceDE/>
              <w:autoSpaceDN/>
              <w:rPr>
                <w:sz w:val="20"/>
                <w:szCs w:val="20"/>
                <w:lang w:eastAsia="zh-CN"/>
              </w:rPr>
            </w:pPr>
            <w:r>
              <w:rPr>
                <w:rFonts w:hint="eastAsia"/>
                <w:sz w:val="20"/>
                <w:szCs w:val="20"/>
                <w:lang w:eastAsia="zh-CN"/>
              </w:rPr>
              <w:t>氮气界区计量</w:t>
            </w:r>
          </w:p>
        </w:tc>
        <w:tc>
          <w:tcPr>
            <w:tcW w:w="2015"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MBF4121121N03T</w:t>
            </w:r>
          </w:p>
        </w:tc>
        <w:tc>
          <w:tcPr>
            <w:tcW w:w="1677"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xml:space="preserve">   菲时博特Fischer&amp;Porter     </w:t>
            </w:r>
          </w:p>
        </w:tc>
        <w:tc>
          <w:tcPr>
            <w:tcW w:w="1039"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3</w:t>
            </w:r>
            <w:r>
              <w:rPr>
                <w:rFonts w:ascii="Times New Roman" w:hAnsi="Times New Roman" w:cs="Times New Roman"/>
                <w:sz w:val="20"/>
                <w:szCs w:val="20"/>
                <w:lang w:eastAsia="zh-CN"/>
              </w:rPr>
              <w:t>" 150#</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xml:space="preserve">4-20 mA </w:t>
            </w:r>
          </w:p>
        </w:tc>
        <w:tc>
          <w:tcPr>
            <w:tcW w:w="739"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304</w:t>
            </w:r>
          </w:p>
        </w:tc>
        <w:tc>
          <w:tcPr>
            <w:tcW w:w="1243"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法兰连接 ANSI 150#</w:t>
            </w:r>
          </w:p>
        </w:tc>
        <w:tc>
          <w:tcPr>
            <w:tcW w:w="883"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氮气</w:t>
            </w:r>
          </w:p>
        </w:tc>
        <w:tc>
          <w:tcPr>
            <w:tcW w:w="851"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0.5%</w:t>
            </w:r>
          </w:p>
        </w:tc>
        <w:tc>
          <w:tcPr>
            <w:tcW w:w="850"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1</w:t>
            </w:r>
          </w:p>
        </w:tc>
        <w:tc>
          <w:tcPr>
            <w:tcW w:w="951"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带</w:t>
            </w:r>
          </w:p>
        </w:tc>
        <w:tc>
          <w:tcPr>
            <w:tcW w:w="1034"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w:t>
            </w:r>
          </w:p>
        </w:tc>
        <w:tc>
          <w:tcPr>
            <w:tcW w:w="709" w:type="dxa"/>
            <w:tcBorders>
              <w:top w:val="nil"/>
              <w:left w:val="nil"/>
              <w:bottom w:val="single" w:color="auto" w:sz="4" w:space="0"/>
              <w:right w:val="single" w:color="auto" w:sz="4" w:space="0"/>
            </w:tcBorders>
            <w:shd w:val="clear" w:color="auto" w:fill="auto"/>
            <w:noWrap/>
            <w:vAlign w:val="center"/>
          </w:tcPr>
          <w:p>
            <w:pPr>
              <w:widowControl/>
              <w:autoSpaceDE/>
              <w:autoSpaceDN/>
              <w:rPr>
                <w:color w:val="000000"/>
                <w:sz w:val="20"/>
                <w:szCs w:val="20"/>
                <w:lang w:eastAsia="zh-CN"/>
              </w:rPr>
            </w:pPr>
            <w:r>
              <w:rPr>
                <w:rFonts w:hint="eastAsia"/>
                <w:color w:val="000000"/>
                <w:sz w:val="20"/>
                <w:szCs w:val="20"/>
                <w:lang w:eastAsia="zh-CN"/>
              </w:rPr>
              <w:t>　</w:t>
            </w:r>
          </w:p>
        </w:tc>
      </w:tr>
      <w:tr>
        <w:tblPrEx>
          <w:tblCellMar>
            <w:top w:w="0" w:type="dxa"/>
            <w:left w:w="108" w:type="dxa"/>
            <w:bottom w:w="0" w:type="dxa"/>
            <w:right w:w="108" w:type="dxa"/>
          </w:tblCellMar>
        </w:tblPrEx>
        <w:trPr>
          <w:trHeight w:val="720" w:hRule="atLeast"/>
        </w:trPr>
        <w:tc>
          <w:tcPr>
            <w:tcW w:w="418"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5</w:t>
            </w:r>
          </w:p>
        </w:tc>
        <w:tc>
          <w:tcPr>
            <w:tcW w:w="810"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FT-9509</w:t>
            </w:r>
          </w:p>
        </w:tc>
        <w:tc>
          <w:tcPr>
            <w:tcW w:w="1144" w:type="dxa"/>
            <w:tcBorders>
              <w:top w:val="nil"/>
              <w:left w:val="nil"/>
              <w:bottom w:val="single" w:color="auto" w:sz="4" w:space="0"/>
              <w:right w:val="single" w:color="auto" w:sz="4" w:space="0"/>
            </w:tcBorders>
            <w:shd w:val="clear" w:color="000000" w:fill="FFFFFF"/>
            <w:vAlign w:val="center"/>
          </w:tcPr>
          <w:p>
            <w:pPr>
              <w:widowControl/>
              <w:autoSpaceDE/>
              <w:autoSpaceDN/>
              <w:rPr>
                <w:sz w:val="20"/>
                <w:szCs w:val="20"/>
                <w:lang w:eastAsia="zh-CN"/>
              </w:rPr>
            </w:pPr>
            <w:r>
              <w:rPr>
                <w:rFonts w:hint="eastAsia"/>
                <w:sz w:val="20"/>
                <w:szCs w:val="20"/>
                <w:lang w:eastAsia="zh-CN"/>
              </w:rPr>
              <w:t>仪表空气界区计量</w:t>
            </w:r>
          </w:p>
        </w:tc>
        <w:tc>
          <w:tcPr>
            <w:tcW w:w="2015"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MBF4121121N03T</w:t>
            </w:r>
          </w:p>
        </w:tc>
        <w:tc>
          <w:tcPr>
            <w:tcW w:w="1677"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xml:space="preserve">   菲时博特Fischer&amp;Porter     </w:t>
            </w:r>
          </w:p>
        </w:tc>
        <w:tc>
          <w:tcPr>
            <w:tcW w:w="1039"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ascii="Times New Roman" w:hAnsi="Times New Roman" w:cs="Times New Roman"/>
                <w:sz w:val="20"/>
                <w:szCs w:val="20"/>
                <w:lang w:eastAsia="zh-CN"/>
              </w:rPr>
            </w:pPr>
            <w:r>
              <w:rPr>
                <w:rFonts w:ascii="Times New Roman" w:hAnsi="Times New Roman" w:cs="Times New Roman"/>
                <w:sz w:val="20"/>
                <w:szCs w:val="20"/>
                <w:lang w:eastAsia="zh-CN"/>
              </w:rPr>
              <w:t>4" 150#</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xml:space="preserve">4-20 mA </w:t>
            </w:r>
          </w:p>
        </w:tc>
        <w:tc>
          <w:tcPr>
            <w:tcW w:w="739"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304</w:t>
            </w:r>
          </w:p>
        </w:tc>
        <w:tc>
          <w:tcPr>
            <w:tcW w:w="1243"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法兰连接 ANSI 150#</w:t>
            </w:r>
          </w:p>
        </w:tc>
        <w:tc>
          <w:tcPr>
            <w:tcW w:w="883"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仪表空气</w:t>
            </w:r>
          </w:p>
        </w:tc>
        <w:tc>
          <w:tcPr>
            <w:tcW w:w="851"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0.5%</w:t>
            </w:r>
          </w:p>
        </w:tc>
        <w:tc>
          <w:tcPr>
            <w:tcW w:w="850"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1</w:t>
            </w:r>
          </w:p>
        </w:tc>
        <w:tc>
          <w:tcPr>
            <w:tcW w:w="951"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带</w:t>
            </w:r>
          </w:p>
        </w:tc>
        <w:tc>
          <w:tcPr>
            <w:tcW w:w="1034"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w:t>
            </w:r>
          </w:p>
        </w:tc>
        <w:tc>
          <w:tcPr>
            <w:tcW w:w="709" w:type="dxa"/>
            <w:tcBorders>
              <w:top w:val="nil"/>
              <w:left w:val="nil"/>
              <w:bottom w:val="single" w:color="auto" w:sz="4" w:space="0"/>
              <w:right w:val="single" w:color="auto" w:sz="4" w:space="0"/>
            </w:tcBorders>
            <w:shd w:val="clear" w:color="auto" w:fill="auto"/>
            <w:noWrap/>
            <w:vAlign w:val="center"/>
          </w:tcPr>
          <w:p>
            <w:pPr>
              <w:widowControl/>
              <w:autoSpaceDE/>
              <w:autoSpaceDN/>
              <w:rPr>
                <w:color w:val="000000"/>
                <w:sz w:val="20"/>
                <w:szCs w:val="20"/>
                <w:lang w:eastAsia="zh-CN"/>
              </w:rPr>
            </w:pPr>
            <w:r>
              <w:rPr>
                <w:rFonts w:hint="eastAsia"/>
                <w:color w:val="000000"/>
                <w:sz w:val="20"/>
                <w:szCs w:val="20"/>
                <w:lang w:eastAsia="zh-CN"/>
              </w:rPr>
              <w:t>　</w:t>
            </w:r>
          </w:p>
        </w:tc>
      </w:tr>
      <w:tr>
        <w:tblPrEx>
          <w:tblCellMar>
            <w:top w:w="0" w:type="dxa"/>
            <w:left w:w="108" w:type="dxa"/>
            <w:bottom w:w="0" w:type="dxa"/>
            <w:right w:w="108" w:type="dxa"/>
          </w:tblCellMar>
        </w:tblPrEx>
        <w:trPr>
          <w:trHeight w:val="720" w:hRule="atLeast"/>
        </w:trPr>
        <w:tc>
          <w:tcPr>
            <w:tcW w:w="418"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6</w:t>
            </w:r>
          </w:p>
        </w:tc>
        <w:tc>
          <w:tcPr>
            <w:tcW w:w="810"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FT-9510</w:t>
            </w:r>
          </w:p>
        </w:tc>
        <w:tc>
          <w:tcPr>
            <w:tcW w:w="1144" w:type="dxa"/>
            <w:tcBorders>
              <w:top w:val="nil"/>
              <w:left w:val="nil"/>
              <w:bottom w:val="single" w:color="auto" w:sz="4" w:space="0"/>
              <w:right w:val="single" w:color="auto" w:sz="4" w:space="0"/>
            </w:tcBorders>
            <w:shd w:val="clear" w:color="000000" w:fill="FFFFFF"/>
            <w:vAlign w:val="center"/>
          </w:tcPr>
          <w:p>
            <w:pPr>
              <w:widowControl/>
              <w:autoSpaceDE/>
              <w:autoSpaceDN/>
              <w:rPr>
                <w:sz w:val="20"/>
                <w:szCs w:val="20"/>
                <w:lang w:eastAsia="zh-CN"/>
              </w:rPr>
            </w:pPr>
            <w:r>
              <w:rPr>
                <w:rFonts w:hint="eastAsia"/>
                <w:sz w:val="20"/>
                <w:szCs w:val="20"/>
                <w:lang w:eastAsia="zh-CN"/>
              </w:rPr>
              <w:t>压缩空气界区计量</w:t>
            </w:r>
          </w:p>
        </w:tc>
        <w:tc>
          <w:tcPr>
            <w:tcW w:w="2015"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MBF4121121N03T</w:t>
            </w:r>
          </w:p>
        </w:tc>
        <w:tc>
          <w:tcPr>
            <w:tcW w:w="1677"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xml:space="preserve">   菲时博特Fischer&amp;Porter     </w:t>
            </w:r>
          </w:p>
        </w:tc>
        <w:tc>
          <w:tcPr>
            <w:tcW w:w="1039"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ascii="Times New Roman" w:hAnsi="Times New Roman" w:cs="Times New Roman"/>
                <w:sz w:val="20"/>
                <w:szCs w:val="20"/>
                <w:lang w:eastAsia="zh-CN"/>
              </w:rPr>
            </w:pPr>
            <w:r>
              <w:rPr>
                <w:rFonts w:ascii="Times New Roman" w:hAnsi="Times New Roman" w:cs="Times New Roman"/>
                <w:sz w:val="20"/>
                <w:szCs w:val="20"/>
                <w:lang w:eastAsia="zh-CN"/>
              </w:rPr>
              <w:t>4" 150#</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xml:space="preserve">4-20 mA </w:t>
            </w:r>
          </w:p>
        </w:tc>
        <w:tc>
          <w:tcPr>
            <w:tcW w:w="739"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304</w:t>
            </w:r>
          </w:p>
        </w:tc>
        <w:tc>
          <w:tcPr>
            <w:tcW w:w="1243"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法兰连接 ANSI 150#</w:t>
            </w:r>
          </w:p>
        </w:tc>
        <w:tc>
          <w:tcPr>
            <w:tcW w:w="883"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压缩空气</w:t>
            </w:r>
          </w:p>
        </w:tc>
        <w:tc>
          <w:tcPr>
            <w:tcW w:w="851"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0.5%</w:t>
            </w:r>
          </w:p>
        </w:tc>
        <w:tc>
          <w:tcPr>
            <w:tcW w:w="850"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1</w:t>
            </w:r>
          </w:p>
        </w:tc>
        <w:tc>
          <w:tcPr>
            <w:tcW w:w="951"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带</w:t>
            </w:r>
          </w:p>
        </w:tc>
        <w:tc>
          <w:tcPr>
            <w:tcW w:w="1034"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w:t>
            </w:r>
          </w:p>
        </w:tc>
        <w:tc>
          <w:tcPr>
            <w:tcW w:w="709" w:type="dxa"/>
            <w:tcBorders>
              <w:top w:val="nil"/>
              <w:left w:val="nil"/>
              <w:bottom w:val="single" w:color="auto" w:sz="4" w:space="0"/>
              <w:right w:val="single" w:color="auto" w:sz="4" w:space="0"/>
            </w:tcBorders>
            <w:shd w:val="clear" w:color="auto" w:fill="auto"/>
            <w:noWrap/>
            <w:vAlign w:val="center"/>
          </w:tcPr>
          <w:p>
            <w:pPr>
              <w:widowControl/>
              <w:autoSpaceDE/>
              <w:autoSpaceDN/>
              <w:rPr>
                <w:color w:val="000000"/>
                <w:sz w:val="20"/>
                <w:szCs w:val="20"/>
                <w:lang w:eastAsia="zh-CN"/>
              </w:rPr>
            </w:pPr>
            <w:r>
              <w:rPr>
                <w:rFonts w:hint="eastAsia"/>
                <w:color w:val="000000"/>
                <w:sz w:val="20"/>
                <w:szCs w:val="20"/>
                <w:lang w:eastAsia="zh-CN"/>
              </w:rPr>
              <w:t>　</w:t>
            </w:r>
          </w:p>
        </w:tc>
      </w:tr>
      <w:tr>
        <w:tblPrEx>
          <w:tblCellMar>
            <w:top w:w="0" w:type="dxa"/>
            <w:left w:w="108" w:type="dxa"/>
            <w:bottom w:w="0" w:type="dxa"/>
            <w:right w:w="108" w:type="dxa"/>
          </w:tblCellMar>
        </w:tblPrEx>
        <w:trPr>
          <w:trHeight w:val="720" w:hRule="atLeast"/>
        </w:trPr>
        <w:tc>
          <w:tcPr>
            <w:tcW w:w="418"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7</w:t>
            </w:r>
          </w:p>
        </w:tc>
        <w:tc>
          <w:tcPr>
            <w:tcW w:w="810"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FT-9504</w:t>
            </w:r>
          </w:p>
        </w:tc>
        <w:tc>
          <w:tcPr>
            <w:tcW w:w="1144" w:type="dxa"/>
            <w:tcBorders>
              <w:top w:val="nil"/>
              <w:left w:val="nil"/>
              <w:bottom w:val="single" w:color="auto" w:sz="4" w:space="0"/>
              <w:right w:val="single" w:color="auto" w:sz="4" w:space="0"/>
            </w:tcBorders>
            <w:shd w:val="clear" w:color="000000" w:fill="FFFFFF"/>
            <w:vAlign w:val="center"/>
          </w:tcPr>
          <w:p>
            <w:pPr>
              <w:widowControl/>
              <w:autoSpaceDE/>
              <w:autoSpaceDN/>
              <w:rPr>
                <w:sz w:val="20"/>
                <w:szCs w:val="20"/>
                <w:lang w:eastAsia="zh-CN"/>
              </w:rPr>
            </w:pPr>
            <w:r>
              <w:rPr>
                <w:rFonts w:hint="eastAsia"/>
                <w:sz w:val="20"/>
                <w:szCs w:val="20"/>
                <w:lang w:eastAsia="zh-CN"/>
              </w:rPr>
              <w:t>连续性排污水界区计量</w:t>
            </w:r>
          </w:p>
        </w:tc>
        <w:tc>
          <w:tcPr>
            <w:tcW w:w="2015"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MBF4111121N03T</w:t>
            </w:r>
          </w:p>
        </w:tc>
        <w:tc>
          <w:tcPr>
            <w:tcW w:w="1677"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xml:space="preserve">   菲时博特Fischer&amp;Porter     </w:t>
            </w:r>
          </w:p>
        </w:tc>
        <w:tc>
          <w:tcPr>
            <w:tcW w:w="1039"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4</w:t>
            </w:r>
            <w:r>
              <w:rPr>
                <w:rFonts w:ascii="Times New Roman" w:hAnsi="Times New Roman" w:cs="Times New Roman"/>
                <w:sz w:val="20"/>
                <w:szCs w:val="20"/>
                <w:lang w:eastAsia="zh-CN"/>
              </w:rPr>
              <w:t>" 150#</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xml:space="preserve">4-20 mA </w:t>
            </w:r>
          </w:p>
        </w:tc>
        <w:tc>
          <w:tcPr>
            <w:tcW w:w="739"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304</w:t>
            </w:r>
          </w:p>
        </w:tc>
        <w:tc>
          <w:tcPr>
            <w:tcW w:w="1243"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法兰连接 ANSI 150#</w:t>
            </w:r>
          </w:p>
        </w:tc>
        <w:tc>
          <w:tcPr>
            <w:tcW w:w="883"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含盐污水</w:t>
            </w:r>
          </w:p>
        </w:tc>
        <w:tc>
          <w:tcPr>
            <w:tcW w:w="851"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0.5%</w:t>
            </w:r>
          </w:p>
        </w:tc>
        <w:tc>
          <w:tcPr>
            <w:tcW w:w="850"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1</w:t>
            </w:r>
          </w:p>
        </w:tc>
        <w:tc>
          <w:tcPr>
            <w:tcW w:w="951"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带</w:t>
            </w:r>
          </w:p>
        </w:tc>
        <w:tc>
          <w:tcPr>
            <w:tcW w:w="1034"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w:t>
            </w:r>
          </w:p>
        </w:tc>
        <w:tc>
          <w:tcPr>
            <w:tcW w:w="709" w:type="dxa"/>
            <w:tcBorders>
              <w:top w:val="nil"/>
              <w:left w:val="nil"/>
              <w:bottom w:val="single" w:color="auto" w:sz="4" w:space="0"/>
              <w:right w:val="single" w:color="auto" w:sz="4" w:space="0"/>
            </w:tcBorders>
            <w:shd w:val="clear" w:color="auto" w:fill="auto"/>
            <w:noWrap/>
            <w:vAlign w:val="center"/>
          </w:tcPr>
          <w:p>
            <w:pPr>
              <w:widowControl/>
              <w:autoSpaceDE/>
              <w:autoSpaceDN/>
              <w:rPr>
                <w:color w:val="000000"/>
                <w:sz w:val="20"/>
                <w:szCs w:val="20"/>
                <w:lang w:eastAsia="zh-CN"/>
              </w:rPr>
            </w:pPr>
            <w:r>
              <w:rPr>
                <w:rFonts w:hint="eastAsia"/>
                <w:color w:val="000000"/>
                <w:sz w:val="20"/>
                <w:szCs w:val="20"/>
                <w:lang w:eastAsia="zh-CN"/>
              </w:rPr>
              <w:t>　</w:t>
            </w:r>
          </w:p>
        </w:tc>
      </w:tr>
      <w:tr>
        <w:tblPrEx>
          <w:tblCellMar>
            <w:top w:w="0" w:type="dxa"/>
            <w:left w:w="108" w:type="dxa"/>
            <w:bottom w:w="0" w:type="dxa"/>
            <w:right w:w="108" w:type="dxa"/>
          </w:tblCellMar>
        </w:tblPrEx>
        <w:trPr>
          <w:trHeight w:val="720" w:hRule="atLeast"/>
        </w:trPr>
        <w:tc>
          <w:tcPr>
            <w:tcW w:w="418"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8</w:t>
            </w:r>
          </w:p>
        </w:tc>
        <w:tc>
          <w:tcPr>
            <w:tcW w:w="810"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FT-9505</w:t>
            </w:r>
          </w:p>
        </w:tc>
        <w:tc>
          <w:tcPr>
            <w:tcW w:w="1144" w:type="dxa"/>
            <w:tcBorders>
              <w:top w:val="nil"/>
              <w:left w:val="nil"/>
              <w:bottom w:val="single" w:color="auto" w:sz="4" w:space="0"/>
              <w:right w:val="single" w:color="auto" w:sz="4" w:space="0"/>
            </w:tcBorders>
            <w:shd w:val="clear" w:color="000000" w:fill="FFFFFF"/>
            <w:vAlign w:val="center"/>
          </w:tcPr>
          <w:p>
            <w:pPr>
              <w:widowControl/>
              <w:autoSpaceDE/>
              <w:autoSpaceDN/>
              <w:rPr>
                <w:sz w:val="20"/>
                <w:szCs w:val="20"/>
                <w:lang w:eastAsia="zh-CN"/>
              </w:rPr>
            </w:pPr>
            <w:r>
              <w:rPr>
                <w:rFonts w:hint="eastAsia"/>
                <w:sz w:val="20"/>
                <w:szCs w:val="20"/>
                <w:lang w:eastAsia="zh-CN"/>
              </w:rPr>
              <w:t>事故污水界区计量</w:t>
            </w:r>
          </w:p>
        </w:tc>
        <w:tc>
          <w:tcPr>
            <w:tcW w:w="2015"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MBF4119991N03T</w:t>
            </w:r>
          </w:p>
        </w:tc>
        <w:tc>
          <w:tcPr>
            <w:tcW w:w="1677"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xml:space="preserve">   菲时博特Fischer&amp;Porter     </w:t>
            </w:r>
          </w:p>
        </w:tc>
        <w:tc>
          <w:tcPr>
            <w:tcW w:w="1039"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4</w:t>
            </w:r>
            <w:r>
              <w:rPr>
                <w:rFonts w:ascii="Times New Roman" w:hAnsi="Times New Roman" w:cs="Times New Roman"/>
                <w:sz w:val="20"/>
                <w:szCs w:val="20"/>
                <w:lang w:eastAsia="zh-CN"/>
              </w:rPr>
              <w:t>" 150#</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xml:space="preserve">4-20 mA </w:t>
            </w:r>
          </w:p>
        </w:tc>
        <w:tc>
          <w:tcPr>
            <w:tcW w:w="739"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304L</w:t>
            </w:r>
          </w:p>
        </w:tc>
        <w:tc>
          <w:tcPr>
            <w:tcW w:w="1243"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法兰连接 ANSI 150#</w:t>
            </w:r>
          </w:p>
        </w:tc>
        <w:tc>
          <w:tcPr>
            <w:tcW w:w="883"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事故污水</w:t>
            </w:r>
          </w:p>
        </w:tc>
        <w:tc>
          <w:tcPr>
            <w:tcW w:w="851"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0.5%</w:t>
            </w:r>
          </w:p>
        </w:tc>
        <w:tc>
          <w:tcPr>
            <w:tcW w:w="850"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1</w:t>
            </w:r>
          </w:p>
        </w:tc>
        <w:tc>
          <w:tcPr>
            <w:tcW w:w="951"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带</w:t>
            </w:r>
          </w:p>
        </w:tc>
        <w:tc>
          <w:tcPr>
            <w:tcW w:w="1034"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w:t>
            </w:r>
          </w:p>
        </w:tc>
        <w:tc>
          <w:tcPr>
            <w:tcW w:w="709" w:type="dxa"/>
            <w:tcBorders>
              <w:top w:val="nil"/>
              <w:left w:val="nil"/>
              <w:bottom w:val="single" w:color="auto" w:sz="4" w:space="0"/>
              <w:right w:val="single" w:color="auto" w:sz="4" w:space="0"/>
            </w:tcBorders>
            <w:shd w:val="clear" w:color="auto" w:fill="auto"/>
            <w:noWrap/>
            <w:vAlign w:val="center"/>
          </w:tcPr>
          <w:p>
            <w:pPr>
              <w:widowControl/>
              <w:autoSpaceDE/>
              <w:autoSpaceDN/>
              <w:rPr>
                <w:color w:val="000000"/>
                <w:sz w:val="20"/>
                <w:szCs w:val="20"/>
                <w:lang w:eastAsia="zh-CN"/>
              </w:rPr>
            </w:pPr>
            <w:r>
              <w:rPr>
                <w:rFonts w:hint="eastAsia"/>
                <w:color w:val="000000"/>
                <w:sz w:val="20"/>
                <w:szCs w:val="20"/>
                <w:lang w:eastAsia="zh-CN"/>
              </w:rPr>
              <w:t>　</w:t>
            </w:r>
          </w:p>
        </w:tc>
      </w:tr>
      <w:tr>
        <w:tblPrEx>
          <w:tblCellMar>
            <w:top w:w="0" w:type="dxa"/>
            <w:left w:w="108" w:type="dxa"/>
            <w:bottom w:w="0" w:type="dxa"/>
            <w:right w:w="108" w:type="dxa"/>
          </w:tblCellMar>
        </w:tblPrEx>
        <w:trPr>
          <w:trHeight w:val="720" w:hRule="atLeast"/>
        </w:trPr>
        <w:tc>
          <w:tcPr>
            <w:tcW w:w="418"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9</w:t>
            </w:r>
          </w:p>
        </w:tc>
        <w:tc>
          <w:tcPr>
            <w:tcW w:w="810"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FT-9506</w:t>
            </w:r>
          </w:p>
        </w:tc>
        <w:tc>
          <w:tcPr>
            <w:tcW w:w="1144" w:type="dxa"/>
            <w:tcBorders>
              <w:top w:val="nil"/>
              <w:left w:val="nil"/>
              <w:bottom w:val="single" w:color="auto" w:sz="4" w:space="0"/>
              <w:right w:val="single" w:color="auto" w:sz="4" w:space="0"/>
            </w:tcBorders>
            <w:shd w:val="clear" w:color="000000" w:fill="FFFFFF"/>
            <w:vAlign w:val="center"/>
          </w:tcPr>
          <w:p>
            <w:pPr>
              <w:widowControl/>
              <w:autoSpaceDE/>
              <w:autoSpaceDN/>
              <w:rPr>
                <w:sz w:val="20"/>
                <w:szCs w:val="20"/>
                <w:lang w:eastAsia="zh-CN"/>
              </w:rPr>
            </w:pPr>
            <w:r>
              <w:rPr>
                <w:rFonts w:hint="eastAsia"/>
                <w:sz w:val="20"/>
                <w:szCs w:val="20"/>
                <w:lang w:eastAsia="zh-CN"/>
              </w:rPr>
              <w:t>工业水界区计量</w:t>
            </w:r>
          </w:p>
        </w:tc>
        <w:tc>
          <w:tcPr>
            <w:tcW w:w="2015"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MBF4111121N03T</w:t>
            </w:r>
          </w:p>
        </w:tc>
        <w:tc>
          <w:tcPr>
            <w:tcW w:w="1677"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xml:space="preserve">   菲时博特Fischer&amp;Porter     </w:t>
            </w:r>
          </w:p>
        </w:tc>
        <w:tc>
          <w:tcPr>
            <w:tcW w:w="1039"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ascii="Times New Roman" w:hAnsi="Times New Roman" w:cs="Times New Roman"/>
                <w:sz w:val="20"/>
                <w:szCs w:val="20"/>
                <w:lang w:eastAsia="zh-CN"/>
              </w:rPr>
            </w:pPr>
            <w:r>
              <w:rPr>
                <w:rFonts w:ascii="Times New Roman" w:hAnsi="Times New Roman" w:cs="Times New Roman"/>
                <w:sz w:val="20"/>
                <w:szCs w:val="20"/>
                <w:lang w:eastAsia="zh-CN"/>
              </w:rPr>
              <w:t>12" 150#</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xml:space="preserve">4-20 mA </w:t>
            </w:r>
          </w:p>
        </w:tc>
        <w:tc>
          <w:tcPr>
            <w:tcW w:w="739"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304</w:t>
            </w:r>
          </w:p>
        </w:tc>
        <w:tc>
          <w:tcPr>
            <w:tcW w:w="1243"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法兰连接 ANSI 150#</w:t>
            </w:r>
          </w:p>
        </w:tc>
        <w:tc>
          <w:tcPr>
            <w:tcW w:w="883"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工业水</w:t>
            </w:r>
          </w:p>
        </w:tc>
        <w:tc>
          <w:tcPr>
            <w:tcW w:w="851"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0.5%</w:t>
            </w:r>
          </w:p>
        </w:tc>
        <w:tc>
          <w:tcPr>
            <w:tcW w:w="850"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1</w:t>
            </w:r>
          </w:p>
        </w:tc>
        <w:tc>
          <w:tcPr>
            <w:tcW w:w="951"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带</w:t>
            </w:r>
          </w:p>
        </w:tc>
        <w:tc>
          <w:tcPr>
            <w:tcW w:w="1034"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w:t>
            </w:r>
          </w:p>
        </w:tc>
        <w:tc>
          <w:tcPr>
            <w:tcW w:w="709" w:type="dxa"/>
            <w:tcBorders>
              <w:top w:val="nil"/>
              <w:left w:val="nil"/>
              <w:bottom w:val="single" w:color="auto" w:sz="4" w:space="0"/>
              <w:right w:val="single" w:color="auto" w:sz="4" w:space="0"/>
            </w:tcBorders>
            <w:shd w:val="clear" w:color="auto" w:fill="auto"/>
            <w:noWrap/>
            <w:vAlign w:val="center"/>
          </w:tcPr>
          <w:p>
            <w:pPr>
              <w:widowControl/>
              <w:autoSpaceDE/>
              <w:autoSpaceDN/>
              <w:rPr>
                <w:color w:val="000000"/>
                <w:sz w:val="20"/>
                <w:szCs w:val="20"/>
                <w:lang w:eastAsia="zh-CN"/>
              </w:rPr>
            </w:pPr>
            <w:r>
              <w:rPr>
                <w:rFonts w:hint="eastAsia"/>
                <w:color w:val="000000"/>
                <w:sz w:val="20"/>
                <w:szCs w:val="20"/>
                <w:lang w:eastAsia="zh-CN"/>
              </w:rPr>
              <w:t>　</w:t>
            </w:r>
          </w:p>
        </w:tc>
      </w:tr>
      <w:tr>
        <w:tblPrEx>
          <w:tblCellMar>
            <w:top w:w="0" w:type="dxa"/>
            <w:left w:w="108" w:type="dxa"/>
            <w:bottom w:w="0" w:type="dxa"/>
            <w:right w:w="108" w:type="dxa"/>
          </w:tblCellMar>
        </w:tblPrEx>
        <w:trPr>
          <w:trHeight w:val="720" w:hRule="atLeast"/>
        </w:trPr>
        <w:tc>
          <w:tcPr>
            <w:tcW w:w="418"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10</w:t>
            </w:r>
          </w:p>
        </w:tc>
        <w:tc>
          <w:tcPr>
            <w:tcW w:w="810"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FT-9507</w:t>
            </w:r>
          </w:p>
        </w:tc>
        <w:tc>
          <w:tcPr>
            <w:tcW w:w="1144" w:type="dxa"/>
            <w:tcBorders>
              <w:top w:val="nil"/>
              <w:left w:val="nil"/>
              <w:bottom w:val="single" w:color="auto" w:sz="4" w:space="0"/>
              <w:right w:val="single" w:color="auto" w:sz="4" w:space="0"/>
            </w:tcBorders>
            <w:shd w:val="clear" w:color="000000" w:fill="FFFFFF"/>
            <w:vAlign w:val="center"/>
          </w:tcPr>
          <w:p>
            <w:pPr>
              <w:widowControl/>
              <w:autoSpaceDE/>
              <w:autoSpaceDN/>
              <w:rPr>
                <w:sz w:val="20"/>
                <w:szCs w:val="20"/>
                <w:lang w:eastAsia="zh-CN"/>
              </w:rPr>
            </w:pPr>
            <w:r>
              <w:rPr>
                <w:rFonts w:hint="eastAsia"/>
                <w:sz w:val="20"/>
                <w:szCs w:val="20"/>
                <w:lang w:eastAsia="zh-CN"/>
              </w:rPr>
              <w:t>蒸汽界区计量</w:t>
            </w:r>
          </w:p>
        </w:tc>
        <w:tc>
          <w:tcPr>
            <w:tcW w:w="2015"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MBF4131121NC3T</w:t>
            </w:r>
          </w:p>
        </w:tc>
        <w:tc>
          <w:tcPr>
            <w:tcW w:w="1677"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xml:space="preserve">   菲时博特Fischer&amp;Porter     </w:t>
            </w:r>
          </w:p>
        </w:tc>
        <w:tc>
          <w:tcPr>
            <w:tcW w:w="1039"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ascii="Times New Roman" w:hAnsi="Times New Roman" w:cs="Times New Roman"/>
                <w:sz w:val="20"/>
                <w:szCs w:val="20"/>
                <w:lang w:eastAsia="zh-CN"/>
              </w:rPr>
            </w:pPr>
            <w:r>
              <w:rPr>
                <w:rFonts w:ascii="Times New Roman" w:hAnsi="Times New Roman" w:cs="Times New Roman"/>
                <w:sz w:val="20"/>
                <w:szCs w:val="20"/>
                <w:lang w:eastAsia="zh-CN"/>
              </w:rPr>
              <w:t>8" 300#</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xml:space="preserve">4-20 mA </w:t>
            </w:r>
          </w:p>
        </w:tc>
        <w:tc>
          <w:tcPr>
            <w:tcW w:w="739"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304</w:t>
            </w:r>
          </w:p>
        </w:tc>
        <w:tc>
          <w:tcPr>
            <w:tcW w:w="1243"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法兰连接 ANSI 300#</w:t>
            </w:r>
          </w:p>
        </w:tc>
        <w:tc>
          <w:tcPr>
            <w:tcW w:w="883"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蒸汽</w:t>
            </w:r>
          </w:p>
        </w:tc>
        <w:tc>
          <w:tcPr>
            <w:tcW w:w="851"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0.5%</w:t>
            </w:r>
          </w:p>
        </w:tc>
        <w:tc>
          <w:tcPr>
            <w:tcW w:w="850"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1</w:t>
            </w:r>
          </w:p>
        </w:tc>
        <w:tc>
          <w:tcPr>
            <w:tcW w:w="951"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带</w:t>
            </w:r>
          </w:p>
        </w:tc>
        <w:tc>
          <w:tcPr>
            <w:tcW w:w="1034"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w:t>
            </w:r>
          </w:p>
        </w:tc>
        <w:tc>
          <w:tcPr>
            <w:tcW w:w="709" w:type="dxa"/>
            <w:tcBorders>
              <w:top w:val="nil"/>
              <w:left w:val="nil"/>
              <w:bottom w:val="single" w:color="auto" w:sz="4" w:space="0"/>
              <w:right w:val="single" w:color="auto" w:sz="4" w:space="0"/>
            </w:tcBorders>
            <w:shd w:val="clear" w:color="auto" w:fill="auto"/>
            <w:noWrap/>
            <w:vAlign w:val="center"/>
          </w:tcPr>
          <w:p>
            <w:pPr>
              <w:widowControl/>
              <w:autoSpaceDE/>
              <w:autoSpaceDN/>
              <w:rPr>
                <w:color w:val="000000"/>
                <w:sz w:val="20"/>
                <w:szCs w:val="20"/>
                <w:lang w:eastAsia="zh-CN"/>
              </w:rPr>
            </w:pPr>
            <w:r>
              <w:rPr>
                <w:rFonts w:hint="eastAsia"/>
                <w:color w:val="000000"/>
                <w:sz w:val="20"/>
                <w:szCs w:val="20"/>
                <w:lang w:eastAsia="zh-CN"/>
              </w:rPr>
              <w:t>　</w:t>
            </w:r>
          </w:p>
        </w:tc>
      </w:tr>
      <w:tr>
        <w:tblPrEx>
          <w:tblCellMar>
            <w:top w:w="0" w:type="dxa"/>
            <w:left w:w="108" w:type="dxa"/>
            <w:bottom w:w="0" w:type="dxa"/>
            <w:right w:w="108" w:type="dxa"/>
          </w:tblCellMar>
        </w:tblPrEx>
        <w:trPr>
          <w:trHeight w:val="720" w:hRule="atLeast"/>
        </w:trPr>
        <w:tc>
          <w:tcPr>
            <w:tcW w:w="418"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11</w:t>
            </w:r>
          </w:p>
        </w:tc>
        <w:tc>
          <w:tcPr>
            <w:tcW w:w="810"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FT-9511</w:t>
            </w:r>
          </w:p>
        </w:tc>
        <w:tc>
          <w:tcPr>
            <w:tcW w:w="1144" w:type="dxa"/>
            <w:tcBorders>
              <w:top w:val="nil"/>
              <w:left w:val="nil"/>
              <w:bottom w:val="single" w:color="auto" w:sz="4" w:space="0"/>
              <w:right w:val="single" w:color="auto" w:sz="4" w:space="0"/>
            </w:tcBorders>
            <w:shd w:val="clear" w:color="000000" w:fill="FFFFFF"/>
            <w:vAlign w:val="center"/>
          </w:tcPr>
          <w:p>
            <w:pPr>
              <w:widowControl/>
              <w:autoSpaceDE/>
              <w:autoSpaceDN/>
              <w:rPr>
                <w:sz w:val="20"/>
                <w:szCs w:val="20"/>
                <w:lang w:eastAsia="zh-CN"/>
              </w:rPr>
            </w:pPr>
            <w:r>
              <w:rPr>
                <w:rFonts w:hint="eastAsia"/>
                <w:sz w:val="20"/>
                <w:szCs w:val="20"/>
                <w:lang w:eastAsia="zh-CN"/>
              </w:rPr>
              <w:t>蒸汽界区计量</w:t>
            </w:r>
          </w:p>
        </w:tc>
        <w:tc>
          <w:tcPr>
            <w:tcW w:w="2015"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MBF4131121NC3T</w:t>
            </w:r>
          </w:p>
        </w:tc>
        <w:tc>
          <w:tcPr>
            <w:tcW w:w="1677"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xml:space="preserve">   菲时博特Fischer&amp;Porter     </w:t>
            </w:r>
          </w:p>
        </w:tc>
        <w:tc>
          <w:tcPr>
            <w:tcW w:w="1039"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16</w:t>
            </w:r>
            <w:r>
              <w:rPr>
                <w:rFonts w:ascii="Times New Roman" w:hAnsi="Times New Roman" w:cs="Times New Roman"/>
                <w:sz w:val="20"/>
                <w:szCs w:val="20"/>
                <w:lang w:eastAsia="zh-CN"/>
              </w:rPr>
              <w:t>" 300#</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xml:space="preserve">4-20 mA </w:t>
            </w:r>
          </w:p>
        </w:tc>
        <w:tc>
          <w:tcPr>
            <w:tcW w:w="739"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304</w:t>
            </w:r>
          </w:p>
        </w:tc>
        <w:tc>
          <w:tcPr>
            <w:tcW w:w="1243"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法兰连接 ANSI 300#</w:t>
            </w:r>
          </w:p>
        </w:tc>
        <w:tc>
          <w:tcPr>
            <w:tcW w:w="883"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蒸汽</w:t>
            </w:r>
          </w:p>
        </w:tc>
        <w:tc>
          <w:tcPr>
            <w:tcW w:w="851"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0.5%</w:t>
            </w:r>
          </w:p>
        </w:tc>
        <w:tc>
          <w:tcPr>
            <w:tcW w:w="850"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1</w:t>
            </w:r>
          </w:p>
        </w:tc>
        <w:tc>
          <w:tcPr>
            <w:tcW w:w="951"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带</w:t>
            </w:r>
          </w:p>
        </w:tc>
        <w:tc>
          <w:tcPr>
            <w:tcW w:w="1034" w:type="dxa"/>
            <w:tcBorders>
              <w:top w:val="nil"/>
              <w:left w:val="nil"/>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w:t>
            </w:r>
          </w:p>
        </w:tc>
        <w:tc>
          <w:tcPr>
            <w:tcW w:w="709" w:type="dxa"/>
            <w:tcBorders>
              <w:top w:val="nil"/>
              <w:left w:val="nil"/>
              <w:bottom w:val="single" w:color="auto" w:sz="4" w:space="0"/>
              <w:right w:val="single" w:color="auto" w:sz="4" w:space="0"/>
            </w:tcBorders>
            <w:shd w:val="clear" w:color="auto" w:fill="auto"/>
            <w:noWrap/>
            <w:vAlign w:val="center"/>
          </w:tcPr>
          <w:p>
            <w:pPr>
              <w:widowControl/>
              <w:autoSpaceDE/>
              <w:autoSpaceDN/>
              <w:rPr>
                <w:color w:val="000000"/>
                <w:sz w:val="20"/>
                <w:szCs w:val="20"/>
                <w:lang w:eastAsia="zh-CN"/>
              </w:rPr>
            </w:pPr>
            <w:r>
              <w:rPr>
                <w:rFonts w:hint="eastAsia"/>
                <w:color w:val="000000"/>
                <w:sz w:val="20"/>
                <w:szCs w:val="20"/>
                <w:lang w:eastAsia="zh-CN"/>
              </w:rPr>
              <w:t>　</w:t>
            </w:r>
          </w:p>
        </w:tc>
      </w:tr>
      <w:tr>
        <w:tblPrEx>
          <w:tblCellMar>
            <w:top w:w="0" w:type="dxa"/>
            <w:left w:w="108" w:type="dxa"/>
            <w:bottom w:w="0" w:type="dxa"/>
            <w:right w:w="108" w:type="dxa"/>
          </w:tblCellMar>
        </w:tblPrEx>
        <w:trPr>
          <w:trHeight w:val="600" w:hRule="atLeast"/>
        </w:trPr>
        <w:tc>
          <w:tcPr>
            <w:tcW w:w="418"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　</w:t>
            </w:r>
          </w:p>
        </w:tc>
        <w:tc>
          <w:tcPr>
            <w:tcW w:w="11221" w:type="dxa"/>
            <w:gridSpan w:val="10"/>
            <w:tcBorders>
              <w:top w:val="single" w:color="auto" w:sz="4" w:space="0"/>
              <w:left w:val="nil"/>
              <w:bottom w:val="single" w:color="auto" w:sz="4" w:space="0"/>
              <w:right w:val="single" w:color="000000" w:sz="4" w:space="0"/>
            </w:tcBorders>
            <w:shd w:val="clear" w:color="000000" w:fill="FFFFFF"/>
            <w:vAlign w:val="center"/>
          </w:tcPr>
          <w:p>
            <w:pPr>
              <w:widowControl/>
              <w:autoSpaceDE/>
              <w:autoSpaceDN/>
              <w:jc w:val="center"/>
              <w:rPr>
                <w:sz w:val="20"/>
                <w:szCs w:val="20"/>
                <w:lang w:eastAsia="zh-CN"/>
              </w:rPr>
            </w:pPr>
            <w:r>
              <w:rPr>
                <w:rFonts w:hint="eastAsia"/>
                <w:sz w:val="20"/>
                <w:szCs w:val="20"/>
                <w:lang w:eastAsia="zh-CN"/>
              </w:rPr>
              <w:t>合计：</w:t>
            </w:r>
          </w:p>
        </w:tc>
        <w:tc>
          <w:tcPr>
            <w:tcW w:w="850"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b/>
                <w:bCs/>
                <w:sz w:val="20"/>
                <w:szCs w:val="20"/>
                <w:lang w:eastAsia="zh-CN"/>
              </w:rPr>
            </w:pPr>
            <w:r>
              <w:rPr>
                <w:rFonts w:hint="eastAsia"/>
                <w:b/>
                <w:bCs/>
                <w:sz w:val="20"/>
                <w:szCs w:val="20"/>
                <w:lang w:eastAsia="zh-CN"/>
              </w:rPr>
              <w:t>11</w:t>
            </w:r>
          </w:p>
        </w:tc>
        <w:tc>
          <w:tcPr>
            <w:tcW w:w="951" w:type="dxa"/>
            <w:tcBorders>
              <w:top w:val="nil"/>
              <w:left w:val="nil"/>
              <w:bottom w:val="single" w:color="auto" w:sz="4" w:space="0"/>
              <w:right w:val="single" w:color="auto" w:sz="4" w:space="0"/>
            </w:tcBorders>
            <w:shd w:val="clear" w:color="000000" w:fill="FFFFFF"/>
            <w:noWrap/>
            <w:vAlign w:val="center"/>
          </w:tcPr>
          <w:p>
            <w:pPr>
              <w:widowControl/>
              <w:autoSpaceDE/>
              <w:autoSpaceDN/>
              <w:jc w:val="center"/>
              <w:rPr>
                <w:sz w:val="20"/>
                <w:szCs w:val="20"/>
                <w:lang w:eastAsia="zh-CN"/>
              </w:rPr>
            </w:pPr>
            <w:r>
              <w:rPr>
                <w:rFonts w:hint="eastAsia"/>
                <w:sz w:val="20"/>
                <w:szCs w:val="20"/>
                <w:lang w:eastAsia="zh-CN"/>
              </w:rPr>
              <w:t>　</w:t>
            </w:r>
          </w:p>
        </w:tc>
        <w:tc>
          <w:tcPr>
            <w:tcW w:w="1034" w:type="dxa"/>
            <w:tcBorders>
              <w:top w:val="nil"/>
              <w:left w:val="nil"/>
              <w:bottom w:val="single" w:color="auto" w:sz="4" w:space="0"/>
              <w:right w:val="single" w:color="auto" w:sz="4" w:space="0"/>
            </w:tcBorders>
            <w:shd w:val="clear" w:color="000000" w:fill="FFFFFF"/>
            <w:noWrap/>
            <w:vAlign w:val="center"/>
          </w:tcPr>
          <w:p>
            <w:pPr>
              <w:widowControl/>
              <w:autoSpaceDE/>
              <w:autoSpaceDN/>
              <w:rPr>
                <w:sz w:val="20"/>
                <w:szCs w:val="20"/>
                <w:lang w:eastAsia="zh-CN"/>
              </w:rPr>
            </w:pPr>
            <w:r>
              <w:rPr>
                <w:rFonts w:hint="eastAsia"/>
                <w:sz w:val="20"/>
                <w:szCs w:val="20"/>
                <w:lang w:eastAsia="zh-CN"/>
              </w:rPr>
              <w:t>　</w:t>
            </w:r>
          </w:p>
        </w:tc>
        <w:tc>
          <w:tcPr>
            <w:tcW w:w="709" w:type="dxa"/>
            <w:tcBorders>
              <w:top w:val="nil"/>
              <w:left w:val="nil"/>
              <w:bottom w:val="single" w:color="auto" w:sz="4" w:space="0"/>
              <w:right w:val="single" w:color="auto" w:sz="4" w:space="0"/>
            </w:tcBorders>
            <w:shd w:val="clear" w:color="auto" w:fill="auto"/>
            <w:noWrap/>
            <w:vAlign w:val="center"/>
          </w:tcPr>
          <w:p>
            <w:pPr>
              <w:widowControl/>
              <w:autoSpaceDE/>
              <w:autoSpaceDN/>
              <w:rPr>
                <w:color w:val="000000"/>
                <w:sz w:val="20"/>
                <w:szCs w:val="20"/>
                <w:lang w:eastAsia="zh-CN"/>
              </w:rPr>
            </w:pPr>
            <w:r>
              <w:rPr>
                <w:rFonts w:hint="eastAsia"/>
                <w:color w:val="000000"/>
                <w:sz w:val="20"/>
                <w:szCs w:val="20"/>
                <w:lang w:eastAsia="zh-CN"/>
              </w:rPr>
              <w:t>　</w:t>
            </w:r>
          </w:p>
        </w:tc>
      </w:tr>
    </w:tbl>
    <w:p>
      <w:pPr>
        <w:pStyle w:val="2"/>
      </w:pPr>
    </w:p>
    <w:bookmarkEnd w:id="9"/>
    <w:p>
      <w:pPr>
        <w:pStyle w:val="6"/>
        <w:spacing w:before="106"/>
        <w:rPr>
          <w:lang w:eastAsia="zh-CN"/>
        </w:rPr>
      </w:pPr>
    </w:p>
    <w:sectPr>
      <w:pgSz w:w="16840" w:h="11910" w:orient="landscape"/>
      <w:pgMar w:top="1678" w:right="1503" w:bottom="1678" w:left="743" w:header="0" w:footer="5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12943"/>
      <w:docPartObj>
        <w:docPartGallery w:val="AutoText"/>
      </w:docPartObj>
    </w:sdtPr>
    <w:sdtContent>
      <w:p>
        <w:pPr>
          <w:pStyle w:val="9"/>
          <w:jc w:val="center"/>
        </w:pPr>
        <w:r>
          <w:fldChar w:fldCharType="begin"/>
        </w:r>
        <w:r>
          <w:instrText xml:space="preserve"> PAGE   \* MERGEFORMAT </w:instrText>
        </w:r>
        <w:r>
          <w:fldChar w:fldCharType="separate"/>
        </w:r>
        <w:r>
          <w:rPr>
            <w:lang w:val="zh-CN"/>
          </w:rPr>
          <w:t>25</w:t>
        </w:r>
        <w:r>
          <w:rPr>
            <w:lang w:val="zh-CN"/>
          </w:rPr>
          <w:fldChar w:fldCharType="end"/>
        </w:r>
      </w:p>
    </w:sdtContent>
  </w:sdt>
  <w:p>
    <w:pPr>
      <w:pStyle w:val="6"/>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36D6E"/>
    <w:multiLevelType w:val="multilevel"/>
    <w:tmpl w:val="04636D6E"/>
    <w:lvl w:ilvl="0" w:tentative="0">
      <w:start w:val="1"/>
      <w:numFmt w:val="decimal"/>
      <w:lvlText w:val="%1、"/>
      <w:lvlJc w:val="left"/>
      <w:pPr>
        <w:ind w:left="360" w:hanging="360"/>
      </w:pPr>
      <w:rPr>
        <w:rFonts w:hint="default"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
    <w:nsid w:val="282A0B62"/>
    <w:multiLevelType w:val="multilevel"/>
    <w:tmpl w:val="282A0B62"/>
    <w:lvl w:ilvl="0" w:tentative="0">
      <w:start w:val="4"/>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94F"/>
    <w:rsid w:val="000056FD"/>
    <w:rsid w:val="000248EF"/>
    <w:rsid w:val="00044E6D"/>
    <w:rsid w:val="00054C3E"/>
    <w:rsid w:val="00062313"/>
    <w:rsid w:val="00075F90"/>
    <w:rsid w:val="00080E5D"/>
    <w:rsid w:val="00082A22"/>
    <w:rsid w:val="000C05B1"/>
    <w:rsid w:val="000C3751"/>
    <w:rsid w:val="000D32E2"/>
    <w:rsid w:val="000E3AD8"/>
    <w:rsid w:val="00144B4E"/>
    <w:rsid w:val="001503EF"/>
    <w:rsid w:val="0015787E"/>
    <w:rsid w:val="00191802"/>
    <w:rsid w:val="00193817"/>
    <w:rsid w:val="001A2748"/>
    <w:rsid w:val="001B698B"/>
    <w:rsid w:val="0022717E"/>
    <w:rsid w:val="00227556"/>
    <w:rsid w:val="00235C2A"/>
    <w:rsid w:val="002373F3"/>
    <w:rsid w:val="00245C4E"/>
    <w:rsid w:val="00254651"/>
    <w:rsid w:val="00260302"/>
    <w:rsid w:val="00260C9D"/>
    <w:rsid w:val="00267D22"/>
    <w:rsid w:val="0029525B"/>
    <w:rsid w:val="00295B59"/>
    <w:rsid w:val="002C794A"/>
    <w:rsid w:val="002D07A9"/>
    <w:rsid w:val="002D2D0E"/>
    <w:rsid w:val="002D7B4B"/>
    <w:rsid w:val="002E43EA"/>
    <w:rsid w:val="002E46AF"/>
    <w:rsid w:val="00321AAF"/>
    <w:rsid w:val="00322549"/>
    <w:rsid w:val="00322FA1"/>
    <w:rsid w:val="00335118"/>
    <w:rsid w:val="00341823"/>
    <w:rsid w:val="00376CE1"/>
    <w:rsid w:val="00381044"/>
    <w:rsid w:val="003C6281"/>
    <w:rsid w:val="003C7643"/>
    <w:rsid w:val="003D68E3"/>
    <w:rsid w:val="003D7661"/>
    <w:rsid w:val="003E090F"/>
    <w:rsid w:val="003E4E63"/>
    <w:rsid w:val="003E5C4D"/>
    <w:rsid w:val="00402400"/>
    <w:rsid w:val="0040417A"/>
    <w:rsid w:val="00421627"/>
    <w:rsid w:val="00452278"/>
    <w:rsid w:val="00452D25"/>
    <w:rsid w:val="00467513"/>
    <w:rsid w:val="00467CED"/>
    <w:rsid w:val="0047282D"/>
    <w:rsid w:val="004835AF"/>
    <w:rsid w:val="004A3FAD"/>
    <w:rsid w:val="004F5293"/>
    <w:rsid w:val="004F6EF2"/>
    <w:rsid w:val="0052534F"/>
    <w:rsid w:val="00525F14"/>
    <w:rsid w:val="005276BF"/>
    <w:rsid w:val="00533195"/>
    <w:rsid w:val="00544A8B"/>
    <w:rsid w:val="005461F1"/>
    <w:rsid w:val="005500D0"/>
    <w:rsid w:val="00580170"/>
    <w:rsid w:val="00595F8F"/>
    <w:rsid w:val="005B4BA0"/>
    <w:rsid w:val="005C5038"/>
    <w:rsid w:val="005D12E3"/>
    <w:rsid w:val="005D647F"/>
    <w:rsid w:val="005F7CAD"/>
    <w:rsid w:val="00605340"/>
    <w:rsid w:val="00614742"/>
    <w:rsid w:val="006167B2"/>
    <w:rsid w:val="006252B7"/>
    <w:rsid w:val="00631705"/>
    <w:rsid w:val="00643B6F"/>
    <w:rsid w:val="006440D7"/>
    <w:rsid w:val="006510CC"/>
    <w:rsid w:val="00673B08"/>
    <w:rsid w:val="00674766"/>
    <w:rsid w:val="00685693"/>
    <w:rsid w:val="00685A36"/>
    <w:rsid w:val="00693379"/>
    <w:rsid w:val="006A6DAF"/>
    <w:rsid w:val="006C1484"/>
    <w:rsid w:val="0070126F"/>
    <w:rsid w:val="00702A99"/>
    <w:rsid w:val="00704862"/>
    <w:rsid w:val="007265B0"/>
    <w:rsid w:val="00746559"/>
    <w:rsid w:val="007834F9"/>
    <w:rsid w:val="007A7F5A"/>
    <w:rsid w:val="007C3FF4"/>
    <w:rsid w:val="007E6157"/>
    <w:rsid w:val="007F6141"/>
    <w:rsid w:val="008527F1"/>
    <w:rsid w:val="00867275"/>
    <w:rsid w:val="00873D0A"/>
    <w:rsid w:val="00884958"/>
    <w:rsid w:val="0088574D"/>
    <w:rsid w:val="00896EC8"/>
    <w:rsid w:val="008D2283"/>
    <w:rsid w:val="008F43DC"/>
    <w:rsid w:val="00914962"/>
    <w:rsid w:val="00926559"/>
    <w:rsid w:val="009312CA"/>
    <w:rsid w:val="00954536"/>
    <w:rsid w:val="00967702"/>
    <w:rsid w:val="00970ABE"/>
    <w:rsid w:val="0097131F"/>
    <w:rsid w:val="00987395"/>
    <w:rsid w:val="009B507A"/>
    <w:rsid w:val="009D3075"/>
    <w:rsid w:val="009E5808"/>
    <w:rsid w:val="009F4AC1"/>
    <w:rsid w:val="00A06849"/>
    <w:rsid w:val="00A1293A"/>
    <w:rsid w:val="00A12C2C"/>
    <w:rsid w:val="00A305C9"/>
    <w:rsid w:val="00A33476"/>
    <w:rsid w:val="00A44E5A"/>
    <w:rsid w:val="00A54719"/>
    <w:rsid w:val="00A56063"/>
    <w:rsid w:val="00A571C0"/>
    <w:rsid w:val="00A84167"/>
    <w:rsid w:val="00AB2654"/>
    <w:rsid w:val="00AC0076"/>
    <w:rsid w:val="00AE540F"/>
    <w:rsid w:val="00B25D73"/>
    <w:rsid w:val="00B3280D"/>
    <w:rsid w:val="00B35490"/>
    <w:rsid w:val="00B4061B"/>
    <w:rsid w:val="00B44FC3"/>
    <w:rsid w:val="00B5723E"/>
    <w:rsid w:val="00B63F98"/>
    <w:rsid w:val="00B75985"/>
    <w:rsid w:val="00B803B3"/>
    <w:rsid w:val="00B87975"/>
    <w:rsid w:val="00BA452D"/>
    <w:rsid w:val="00BA56AC"/>
    <w:rsid w:val="00BB7BD5"/>
    <w:rsid w:val="00BE0D38"/>
    <w:rsid w:val="00C0078C"/>
    <w:rsid w:val="00C0622C"/>
    <w:rsid w:val="00C133A8"/>
    <w:rsid w:val="00C533BE"/>
    <w:rsid w:val="00C57D4A"/>
    <w:rsid w:val="00C618E5"/>
    <w:rsid w:val="00C724A2"/>
    <w:rsid w:val="00C73CC3"/>
    <w:rsid w:val="00C74089"/>
    <w:rsid w:val="00C95E31"/>
    <w:rsid w:val="00CB2E01"/>
    <w:rsid w:val="00CE1FBD"/>
    <w:rsid w:val="00CE5691"/>
    <w:rsid w:val="00CF74B9"/>
    <w:rsid w:val="00D15A84"/>
    <w:rsid w:val="00D239EF"/>
    <w:rsid w:val="00D32BA9"/>
    <w:rsid w:val="00D37E8E"/>
    <w:rsid w:val="00D440EF"/>
    <w:rsid w:val="00D465D2"/>
    <w:rsid w:val="00D47E50"/>
    <w:rsid w:val="00D749CB"/>
    <w:rsid w:val="00D87F63"/>
    <w:rsid w:val="00D947D8"/>
    <w:rsid w:val="00DC1121"/>
    <w:rsid w:val="00DC22FC"/>
    <w:rsid w:val="00DC3BF2"/>
    <w:rsid w:val="00DD56C2"/>
    <w:rsid w:val="00E13998"/>
    <w:rsid w:val="00E22E7E"/>
    <w:rsid w:val="00E347E6"/>
    <w:rsid w:val="00E55109"/>
    <w:rsid w:val="00E911A8"/>
    <w:rsid w:val="00E948B8"/>
    <w:rsid w:val="00E95ACA"/>
    <w:rsid w:val="00E95E0C"/>
    <w:rsid w:val="00E976A2"/>
    <w:rsid w:val="00EA5226"/>
    <w:rsid w:val="00EC678B"/>
    <w:rsid w:val="00EC6F75"/>
    <w:rsid w:val="00EC7B58"/>
    <w:rsid w:val="00EE5A05"/>
    <w:rsid w:val="00EE60EB"/>
    <w:rsid w:val="00EF2B8B"/>
    <w:rsid w:val="00F41B1E"/>
    <w:rsid w:val="00F6409E"/>
    <w:rsid w:val="00F75584"/>
    <w:rsid w:val="00F81188"/>
    <w:rsid w:val="00F87131"/>
    <w:rsid w:val="00F95F2C"/>
    <w:rsid w:val="00FA4745"/>
    <w:rsid w:val="00FC571D"/>
    <w:rsid w:val="00FE4F90"/>
    <w:rsid w:val="00FF1A9C"/>
    <w:rsid w:val="00FF56AC"/>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69744E"/>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23"/>
    <w:qFormat/>
    <w:uiPriority w:val="0"/>
    <w:pPr>
      <w:ind w:left="538"/>
      <w:outlineLvl w:val="0"/>
    </w:pPr>
    <w:rPr>
      <w:b/>
      <w:bCs/>
      <w:sz w:val="28"/>
      <w:szCs w:val="28"/>
    </w:rPr>
  </w:style>
  <w:style w:type="paragraph" w:styleId="4">
    <w:name w:val="heading 2"/>
    <w:basedOn w:val="1"/>
    <w:next w:val="1"/>
    <w:qFormat/>
    <w:uiPriority w:val="1"/>
    <w:pPr>
      <w:ind w:left="629"/>
      <w:outlineLvl w:val="1"/>
    </w:pPr>
    <w:rPr>
      <w:b/>
      <w:bCs/>
      <w:sz w:val="24"/>
      <w:szCs w:val="2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28"/>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5">
    <w:name w:val="Normal Indent"/>
    <w:basedOn w:val="1"/>
    <w:link w:val="25"/>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6">
    <w:name w:val="Body Text"/>
    <w:basedOn w:val="1"/>
    <w:link w:val="26"/>
    <w:qFormat/>
    <w:uiPriority w:val="1"/>
    <w:rPr>
      <w:sz w:val="24"/>
      <w:szCs w:val="24"/>
    </w:rPr>
  </w:style>
  <w:style w:type="paragraph" w:styleId="7">
    <w:name w:val="Body Text Indent"/>
    <w:basedOn w:val="1"/>
    <w:link w:val="27"/>
    <w:uiPriority w:val="0"/>
    <w:pPr>
      <w:spacing w:after="120"/>
      <w:ind w:left="420" w:leftChars="200"/>
    </w:pPr>
  </w:style>
  <w:style w:type="paragraph" w:styleId="8">
    <w:name w:val="Plain Text"/>
    <w:basedOn w:val="1"/>
    <w:link w:val="21"/>
    <w:qFormat/>
    <w:uiPriority w:val="99"/>
    <w:rPr>
      <w:rFonts w:hAnsi="Courier New" w:cs="Courier New"/>
      <w:szCs w:val="21"/>
    </w:rPr>
  </w:style>
  <w:style w:type="paragraph" w:styleId="9">
    <w:name w:val="footer"/>
    <w:basedOn w:val="1"/>
    <w:link w:val="29"/>
    <w:qFormat/>
    <w:uiPriority w:val="99"/>
    <w:pPr>
      <w:tabs>
        <w:tab w:val="center" w:pos="4153"/>
        <w:tab w:val="right" w:pos="8306"/>
      </w:tabs>
      <w:snapToGrid w:val="0"/>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2">
    <w:name w:val="Table Grid"/>
    <w:basedOn w:val="11"/>
    <w:qFormat/>
    <w:uiPriority w:val="5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22"/>
    <w:rPr>
      <w:b/>
      <w:bCs/>
    </w:rPr>
  </w:style>
  <w:style w:type="character" w:styleId="15">
    <w:name w:val="Hyperlink"/>
    <w:basedOn w:val="13"/>
    <w:qFormat/>
    <w:uiPriority w:val="99"/>
    <w:rPr>
      <w:color w:val="0000FF"/>
      <w:u w:val="single"/>
    </w:rPr>
  </w:style>
  <w:style w:type="character" w:styleId="16">
    <w:name w:val="HTML Code"/>
    <w:unhideWhenUsed/>
    <w:qFormat/>
    <w:uiPriority w:val="99"/>
    <w:rPr>
      <w:rFonts w:ascii="Courier New" w:hAnsi="Courier New"/>
      <w:sz w:val="20"/>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34"/>
    <w:pPr>
      <w:spacing w:before="206"/>
      <w:ind w:left="959" w:hanging="361"/>
    </w:pPr>
  </w:style>
  <w:style w:type="paragraph" w:customStyle="1" w:styleId="19">
    <w:name w:val="Table Paragraph"/>
    <w:basedOn w:val="1"/>
    <w:qFormat/>
    <w:uiPriority w:val="1"/>
  </w:style>
  <w:style w:type="paragraph" w:customStyle="1" w:styleId="20">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21">
    <w:name w:val="纯文本 Char"/>
    <w:basedOn w:val="13"/>
    <w:link w:val="8"/>
    <w:qFormat/>
    <w:uiPriority w:val="99"/>
    <w:rPr>
      <w:rFonts w:ascii="宋体" w:hAnsi="Courier New" w:cs="Courier New"/>
      <w:sz w:val="22"/>
      <w:szCs w:val="21"/>
      <w:lang w:eastAsia="en-US"/>
    </w:rPr>
  </w:style>
  <w:style w:type="character" w:customStyle="1" w:styleId="22">
    <w:name w:val="font21"/>
    <w:uiPriority w:val="0"/>
    <w:rPr>
      <w:rFonts w:hint="eastAsia" w:ascii="宋体" w:hAnsi="宋体" w:eastAsia="宋体" w:cs="宋体"/>
      <w:color w:val="000000"/>
      <w:sz w:val="20"/>
      <w:szCs w:val="20"/>
      <w:u w:val="none"/>
    </w:rPr>
  </w:style>
  <w:style w:type="character" w:customStyle="1" w:styleId="23">
    <w:name w:val="标题 1 Char"/>
    <w:link w:val="3"/>
    <w:uiPriority w:val="0"/>
    <w:rPr>
      <w:rFonts w:ascii="宋体" w:hAnsi="宋体" w:cs="宋体"/>
      <w:b/>
      <w:bCs/>
      <w:sz w:val="28"/>
      <w:szCs w:val="28"/>
      <w:lang w:eastAsia="en-US"/>
    </w:rPr>
  </w:style>
  <w:style w:type="character" w:customStyle="1" w:styleId="24">
    <w:name w:val="apple-converted-space"/>
    <w:basedOn w:val="13"/>
    <w:qFormat/>
    <w:uiPriority w:val="0"/>
  </w:style>
  <w:style w:type="character" w:customStyle="1" w:styleId="25">
    <w:name w:val="正文缩进 Char"/>
    <w:link w:val="5"/>
    <w:qFormat/>
    <w:uiPriority w:val="0"/>
    <w:rPr>
      <w:kern w:val="2"/>
      <w:sz w:val="21"/>
    </w:rPr>
  </w:style>
  <w:style w:type="character" w:customStyle="1" w:styleId="26">
    <w:name w:val="正文文本 Char"/>
    <w:basedOn w:val="13"/>
    <w:link w:val="6"/>
    <w:qFormat/>
    <w:uiPriority w:val="0"/>
    <w:rPr>
      <w:rFonts w:ascii="宋体" w:hAnsi="宋体" w:cs="宋体"/>
      <w:sz w:val="24"/>
      <w:szCs w:val="24"/>
      <w:lang w:eastAsia="en-US"/>
    </w:rPr>
  </w:style>
  <w:style w:type="character" w:customStyle="1" w:styleId="27">
    <w:name w:val="正文文本缩进 Char"/>
    <w:basedOn w:val="13"/>
    <w:link w:val="7"/>
    <w:uiPriority w:val="0"/>
    <w:rPr>
      <w:rFonts w:ascii="宋体" w:hAnsi="宋体" w:cs="宋体"/>
      <w:sz w:val="22"/>
      <w:szCs w:val="22"/>
      <w:lang w:eastAsia="en-US"/>
    </w:rPr>
  </w:style>
  <w:style w:type="character" w:customStyle="1" w:styleId="28">
    <w:name w:val="正文1 Char"/>
    <w:basedOn w:val="13"/>
    <w:link w:val="2"/>
    <w:locked/>
    <w:uiPriority w:val="0"/>
    <w:rPr>
      <w:rFonts w:ascii="宋体" w:hAnsi="Calibri"/>
      <w:sz w:val="34"/>
      <w:szCs w:val="22"/>
    </w:rPr>
  </w:style>
  <w:style w:type="character" w:customStyle="1" w:styleId="29">
    <w:name w:val="页脚 Char"/>
    <w:basedOn w:val="13"/>
    <w:link w:val="9"/>
    <w:uiPriority w:val="99"/>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4"/>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26</Pages>
  <Words>2453</Words>
  <Characters>13983</Characters>
  <Lines>116</Lines>
  <Paragraphs>32</Paragraphs>
  <TotalTime>3</TotalTime>
  <ScaleCrop>false</ScaleCrop>
  <LinksUpToDate>false</LinksUpToDate>
  <CharactersWithSpaces>16404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2021-08-18T02:53:00Z</dcterms:created>
  <dc:creator>CGC</dc:creator>
  <cp:lastModifiedBy>潘骏</cp:lastModifiedBy>
  <dcterms:modified xsi:type="dcterms:W3CDTF">2021-08-23T08:15:09Z</dcterms:modified>
  <dc:title>公开招标文件（货物服务类）</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2052-11.1.0.10700</vt:lpwstr>
  </property>
  <property fmtid="{D5CDD505-2E9C-101B-9397-08002B2CF9AE}" pid="6" name="ICV">
    <vt:lpwstr>D6249B227E044FF9946B63E2BC3D9C29</vt:lpwstr>
  </property>
</Properties>
</file>