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CD" w:rsidRDefault="00434DCD" w:rsidP="00434DCD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公开比选公告</w:t>
      </w:r>
    </w:p>
    <w:p w:rsidR="00434DCD" w:rsidRDefault="00434DCD" w:rsidP="00434DCD">
      <w:pPr>
        <w:spacing w:line="440" w:lineRule="exact"/>
        <w:jc w:val="center"/>
        <w:rPr>
          <w:rFonts w:ascii="宋体" w:hAnsi="宋体"/>
        </w:rPr>
      </w:pPr>
      <w:r>
        <w:rPr>
          <w:rFonts w:ascii="宋体" w:hAnsi="宋体" w:hint="eastAsia"/>
          <w:sz w:val="24"/>
        </w:rPr>
        <w:t>比选编号：LJ-ZGB-2021-00</w:t>
      </w:r>
      <w:r>
        <w:rPr>
          <w:rFonts w:ascii="宋体" w:hAnsi="宋体"/>
          <w:sz w:val="24"/>
        </w:rPr>
        <w:t>14</w:t>
      </w:r>
    </w:p>
    <w:p w:rsidR="00434DCD" w:rsidRDefault="00434DCD" w:rsidP="00434DCD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  <w:u w:val="single"/>
        </w:rPr>
        <w:t>福建湄洲湾氯碱工业有限公司</w:t>
      </w:r>
      <w:r>
        <w:rPr>
          <w:rFonts w:ascii="宋体" w:hAnsi="宋体"/>
          <w:szCs w:val="21"/>
        </w:rPr>
        <w:t>的</w:t>
      </w:r>
      <w:r w:rsidRPr="00C577DA">
        <w:rPr>
          <w:rFonts w:ascii="宋体" w:hAnsi="宋体" w:hint="eastAsia"/>
          <w:szCs w:val="21"/>
          <w:u w:val="single"/>
        </w:rPr>
        <w:t>PPG新建及BDO/PBT迁建项目10KV施工用电电源引接工程</w:t>
      </w:r>
      <w:r>
        <w:rPr>
          <w:rFonts w:ascii="宋体" w:hAnsi="宋体"/>
          <w:szCs w:val="21"/>
        </w:rPr>
        <w:t>进行</w:t>
      </w:r>
      <w:r>
        <w:rPr>
          <w:rFonts w:ascii="宋体" w:hAnsi="宋体"/>
          <w:szCs w:val="21"/>
          <w:u w:val="single"/>
        </w:rPr>
        <w:t>国内</w:t>
      </w:r>
      <w:r>
        <w:rPr>
          <w:rFonts w:ascii="宋体" w:hAnsi="宋体" w:hint="eastAsia"/>
          <w:szCs w:val="21"/>
          <w:u w:val="single"/>
        </w:rPr>
        <w:t>公开比选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pacing w:val="-2"/>
          <w:szCs w:val="21"/>
        </w:rPr>
        <w:t>现欢迎国内合格参选人对该招比选货物及服务进行密封报价参选。</w:t>
      </w:r>
    </w:p>
    <w:p w:rsidR="00434DCD" w:rsidRDefault="00434DCD" w:rsidP="00434DCD">
      <w:pPr>
        <w:tabs>
          <w:tab w:val="left" w:pos="4197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1.招比选内容:</w:t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431"/>
        <w:gridCol w:w="1260"/>
        <w:gridCol w:w="4637"/>
        <w:gridCol w:w="2524"/>
      </w:tblGrid>
      <w:tr w:rsidR="00434DCD" w:rsidTr="00101A8C">
        <w:trPr>
          <w:cantSplit/>
          <w:trHeight w:val="397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pStyle w:val="xl27"/>
              <w:spacing w:before="0" w:beforeAutospacing="0" w:after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cs="宋体" w:hint="eastAsia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1431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pStyle w:val="xl27"/>
              <w:spacing w:before="0" w:beforeAutospacing="0" w:after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cs="宋体" w:hint="eastAsia"/>
                <w:b/>
                <w:kern w:val="2"/>
                <w:sz w:val="21"/>
                <w:szCs w:val="21"/>
              </w:rPr>
              <w:t>业务名称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pStyle w:val="xl27"/>
              <w:spacing w:before="0" w:beforeAutospacing="0" w:after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cs="宋体" w:hint="eastAsia"/>
                <w:b/>
                <w:kern w:val="2"/>
                <w:sz w:val="21"/>
                <w:szCs w:val="21"/>
              </w:rPr>
              <w:t>项目地点</w:t>
            </w:r>
          </w:p>
        </w:tc>
        <w:tc>
          <w:tcPr>
            <w:tcW w:w="4637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业务内容</w:t>
            </w:r>
          </w:p>
        </w:tc>
        <w:tc>
          <w:tcPr>
            <w:tcW w:w="2524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完成日期</w:t>
            </w:r>
          </w:p>
        </w:tc>
      </w:tr>
      <w:tr w:rsidR="00434DCD" w:rsidTr="00101A8C">
        <w:trPr>
          <w:cantSplit/>
          <w:trHeight w:val="823"/>
          <w:jc w:val="center"/>
        </w:trPr>
        <w:tc>
          <w:tcPr>
            <w:tcW w:w="585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pStyle w:val="xl27"/>
              <w:spacing w:before="0" w:beforeAutospacing="0" w:after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1</w:t>
            </w:r>
          </w:p>
        </w:tc>
        <w:tc>
          <w:tcPr>
            <w:tcW w:w="1431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rPr>
                <w:rFonts w:ascii="宋体" w:hAnsi="宋体"/>
                <w:szCs w:val="21"/>
              </w:rPr>
            </w:pPr>
            <w:r w:rsidRPr="00C577DA">
              <w:rPr>
                <w:rFonts w:ascii="宋体" w:hAnsi="宋体" w:hint="eastAsia"/>
                <w:b/>
                <w:bCs/>
                <w:szCs w:val="21"/>
              </w:rPr>
              <w:t>PPG新建及BDO/PBT迁建项目10KV施工用电电源引接工程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漳州古雷港经济开发区</w:t>
            </w:r>
          </w:p>
        </w:tc>
        <w:tc>
          <w:tcPr>
            <w:tcW w:w="4637" w:type="dxa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rPr>
                <w:rFonts w:ascii="宋体" w:hAnsi="宋体"/>
                <w:szCs w:val="21"/>
                <w:highlight w:val="yellow"/>
              </w:rPr>
            </w:pPr>
            <w:r w:rsidRPr="00AD2408">
              <w:rPr>
                <w:rFonts w:ascii="宋体" w:hAnsi="宋体" w:hint="eastAsia"/>
                <w:b/>
                <w:bCs/>
                <w:szCs w:val="21"/>
              </w:rPr>
              <w:t>PPG新建及BDO/PBT迁建项目施工建设临时用电报批、设计、勘察、采购、安装、验收、送电、拆除、运输等</w:t>
            </w:r>
            <w:r>
              <w:rPr>
                <w:rFonts w:ascii="宋体" w:hAnsi="宋体" w:hint="eastAsia"/>
                <w:b/>
                <w:bCs/>
                <w:szCs w:val="21"/>
              </w:rPr>
              <w:t>。</w:t>
            </w:r>
          </w:p>
        </w:tc>
        <w:tc>
          <w:tcPr>
            <w:tcW w:w="2524" w:type="dxa"/>
            <w:tcMar>
              <w:left w:w="28" w:type="dxa"/>
              <w:right w:w="28" w:type="dxa"/>
            </w:tcMar>
            <w:vAlign w:val="center"/>
          </w:tcPr>
          <w:p w:rsidR="00434DCD" w:rsidRDefault="006529C0" w:rsidP="00101A8C">
            <w:pPr>
              <w:rPr>
                <w:rFonts w:ascii="宋体" w:hAnsi="宋体" w:cs="宋体"/>
                <w:b/>
                <w:szCs w:val="21"/>
              </w:rPr>
            </w:pPr>
            <w:r w:rsidRPr="006529C0">
              <w:rPr>
                <w:rFonts w:ascii="宋体" w:hAnsi="宋体" w:cs="宋体" w:hint="eastAsia"/>
                <w:b/>
                <w:szCs w:val="21"/>
              </w:rPr>
              <w:t>工期为中选通知书发出后45个日历天，具体开工时间以甲方书面通知为准，且关键施工点满足甲方要求的时间节点；拆除时间以甲方书面通知为准，至通知之日起2周内完成。</w:t>
            </w:r>
            <w:bookmarkStart w:id="0" w:name="_GoBack"/>
            <w:bookmarkEnd w:id="0"/>
          </w:p>
        </w:tc>
      </w:tr>
      <w:tr w:rsidR="00434DCD" w:rsidTr="00101A8C">
        <w:trPr>
          <w:cantSplit/>
          <w:trHeight w:val="433"/>
          <w:jc w:val="center"/>
        </w:trPr>
        <w:tc>
          <w:tcPr>
            <w:tcW w:w="10437" w:type="dxa"/>
            <w:gridSpan w:val="5"/>
            <w:tcMar>
              <w:left w:w="28" w:type="dxa"/>
              <w:right w:w="28" w:type="dxa"/>
            </w:tcMar>
            <w:vAlign w:val="center"/>
          </w:tcPr>
          <w:p w:rsidR="00434DCD" w:rsidRDefault="00434DCD" w:rsidP="00101A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具体详见招比选文件</w:t>
            </w:r>
          </w:p>
        </w:tc>
      </w:tr>
    </w:tbl>
    <w:p w:rsidR="00434DCD" w:rsidRDefault="00434DCD" w:rsidP="00434DCD">
      <w:pPr>
        <w:spacing w:line="380" w:lineRule="exact"/>
        <w:ind w:firstLineChars="196" w:firstLine="413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备注：参选人必须对同一个合同包中的全部货物与服务进行参选，不得仅对合同包中的部分货物或服务进行参选，否则其比选文件将被拒绝。</w:t>
      </w:r>
    </w:p>
    <w:p w:rsidR="00434DCD" w:rsidRPr="002A42E8" w:rsidRDefault="00434DCD" w:rsidP="00434DCD">
      <w:pPr>
        <w:numPr>
          <w:ilvl w:val="0"/>
          <w:numId w:val="3"/>
        </w:numPr>
        <w:adjustRightInd w:val="0"/>
        <w:spacing w:line="380" w:lineRule="exact"/>
        <w:ind w:firstLine="420"/>
        <w:textAlignment w:val="baseline"/>
        <w:rPr>
          <w:rFonts w:ascii="宋体" w:hAnsi="宋体"/>
          <w:spacing w:val="-4"/>
          <w:szCs w:val="21"/>
        </w:rPr>
      </w:pPr>
      <w:r>
        <w:rPr>
          <w:rFonts w:ascii="宋体" w:hAnsi="宋体" w:hint="eastAsia"/>
          <w:szCs w:val="21"/>
        </w:rPr>
        <w:t>参选人资格要求：（1）</w:t>
      </w:r>
      <w:r w:rsidRPr="00CD71AD">
        <w:rPr>
          <w:rFonts w:ascii="宋体" w:hAnsi="宋体" w:hint="eastAsia"/>
          <w:szCs w:val="21"/>
        </w:rPr>
        <w:t>由乙方委托有资质的单位实施，设计单位资质可乙方中选后提供；乙方参选时需提供书面承诺，承诺设计单位资质满足电力行业（送、变电工程）专业丙级（含丙级）或以上单位；乙方委托的设计单位应任命一名具有同类工程设计经验、并熟悉工程建设管理的具有中、高级职称的设计人员作为项目设计负责人；（2）近五年具有至少2项单项合同完成电源引接10kV供电线路工程业绩（不包括分包业绩）（须提供业绩合同等相关证明材料）</w:t>
      </w:r>
      <w:r>
        <w:rPr>
          <w:rFonts w:ascii="宋体" w:hAnsi="宋体" w:hint="eastAsia"/>
          <w:szCs w:val="21"/>
        </w:rPr>
        <w:t>；（3）</w:t>
      </w:r>
      <w:r w:rsidRPr="00924FF5">
        <w:rPr>
          <w:rFonts w:ascii="宋体" w:hAnsi="宋体" w:hint="eastAsia"/>
          <w:szCs w:val="21"/>
        </w:rPr>
        <w:t>项目经理须取得省级行政主管部门颁发的贰级(含贰级)以上注册建造师执业资格证（机电工程）并具有安全生产考核合格证书B证，同时必须为本单位在职人员并提供不少于半年的社保缴纳证明。乙方拟派技术负责人：具有工程师（电气、电力类）及以上职称，同时必须为本单位在职人员并提供不少于半年的社保缴纳证明</w:t>
      </w:r>
      <w:r>
        <w:rPr>
          <w:rFonts w:ascii="宋体" w:hAnsi="宋体" w:hint="eastAsia"/>
          <w:szCs w:val="21"/>
        </w:rPr>
        <w:t>；（4）</w:t>
      </w:r>
      <w:r w:rsidRPr="00924FF5">
        <w:rPr>
          <w:rFonts w:ascii="宋体" w:hAnsi="宋体" w:hint="eastAsia"/>
          <w:szCs w:val="21"/>
        </w:rPr>
        <w:t>乙方具有国家电力监管委员会颁发的承装类承装（修、试）电力设施许可证肆级（含肆级）以上资质，同时具有行政主管部门核发合格有效的安全生产许可证。</w:t>
      </w:r>
    </w:p>
    <w:p w:rsidR="00434DCD" w:rsidRDefault="00434DCD" w:rsidP="00434DCD">
      <w:pPr>
        <w:numPr>
          <w:ilvl w:val="0"/>
          <w:numId w:val="3"/>
        </w:num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spacing w:val="-4"/>
          <w:szCs w:val="21"/>
        </w:rPr>
      </w:pPr>
      <w:r>
        <w:rPr>
          <w:rFonts w:ascii="宋体" w:hint="eastAsia"/>
          <w:szCs w:val="21"/>
        </w:rPr>
        <w:t>发放招比选文件时间、地点：凡愿意参加公开比选的合格参选人请于</w:t>
      </w:r>
      <w:r>
        <w:rPr>
          <w:rFonts w:ascii="宋体" w:hint="eastAsia"/>
          <w:szCs w:val="21"/>
          <w:u w:val="single"/>
        </w:rPr>
        <w:t>2021</w:t>
      </w:r>
      <w:r>
        <w:rPr>
          <w:rFonts w:ascii="宋体" w:hint="eastAsia"/>
          <w:szCs w:val="21"/>
        </w:rPr>
        <w:t>年</w:t>
      </w:r>
      <w:r>
        <w:rPr>
          <w:rFonts w:ascii="宋体"/>
          <w:szCs w:val="21"/>
        </w:rPr>
        <w:t>7</w:t>
      </w:r>
      <w:r>
        <w:rPr>
          <w:rFonts w:ascii="宋体" w:hint="eastAsia"/>
          <w:szCs w:val="21"/>
        </w:rPr>
        <w:t>月2</w:t>
      </w:r>
      <w:r>
        <w:rPr>
          <w:rFonts w:ascii="宋体"/>
          <w:szCs w:val="21"/>
        </w:rPr>
        <w:t>8</w:t>
      </w:r>
      <w:r>
        <w:rPr>
          <w:rFonts w:ascii="宋体" w:hint="eastAsia"/>
          <w:szCs w:val="21"/>
        </w:rPr>
        <w:t>日起（法定公休日、法定节假日除外），每天上午</w:t>
      </w:r>
      <w:r>
        <w:rPr>
          <w:rFonts w:ascii="宋体" w:hint="eastAsia"/>
          <w:szCs w:val="21"/>
          <w:u w:val="single"/>
        </w:rPr>
        <w:t>9</w:t>
      </w:r>
      <w:r>
        <w:rPr>
          <w:rFonts w:ascii="宋体" w:hint="eastAsia"/>
          <w:szCs w:val="21"/>
        </w:rPr>
        <w:t>时</w:t>
      </w:r>
      <w:r>
        <w:rPr>
          <w:rFonts w:ascii="宋体" w:hint="eastAsia"/>
          <w:szCs w:val="21"/>
          <w:u w:val="single"/>
        </w:rPr>
        <w:t>00</w:t>
      </w:r>
      <w:r>
        <w:rPr>
          <w:rFonts w:ascii="宋体" w:hint="eastAsia"/>
          <w:szCs w:val="21"/>
        </w:rPr>
        <w:t>分至</w:t>
      </w:r>
      <w:r>
        <w:rPr>
          <w:rFonts w:ascii="宋体" w:hint="eastAsia"/>
          <w:szCs w:val="21"/>
          <w:u w:val="single"/>
        </w:rPr>
        <w:t>11</w:t>
      </w:r>
      <w:r>
        <w:rPr>
          <w:rFonts w:ascii="宋体" w:hint="eastAsia"/>
          <w:szCs w:val="21"/>
        </w:rPr>
        <w:t>时</w:t>
      </w:r>
      <w:r>
        <w:rPr>
          <w:rFonts w:ascii="宋体" w:hint="eastAsia"/>
          <w:szCs w:val="21"/>
          <w:u w:val="single"/>
        </w:rPr>
        <w:t>00</w:t>
      </w:r>
      <w:r>
        <w:rPr>
          <w:rFonts w:ascii="宋体" w:hint="eastAsia"/>
          <w:szCs w:val="21"/>
        </w:rPr>
        <w:t>分，下午</w:t>
      </w:r>
      <w:r>
        <w:rPr>
          <w:rFonts w:ascii="宋体" w:hint="eastAsia"/>
          <w:szCs w:val="21"/>
          <w:u w:val="single"/>
        </w:rPr>
        <w:t xml:space="preserve"> 15 </w:t>
      </w:r>
      <w:r>
        <w:rPr>
          <w:rFonts w:ascii="宋体" w:hint="eastAsia"/>
          <w:szCs w:val="21"/>
        </w:rPr>
        <w:t>时</w:t>
      </w:r>
      <w:r>
        <w:rPr>
          <w:rFonts w:ascii="宋体" w:hint="eastAsia"/>
          <w:szCs w:val="21"/>
          <w:u w:val="single"/>
        </w:rPr>
        <w:t xml:space="preserve"> 00 </w:t>
      </w:r>
      <w:r>
        <w:rPr>
          <w:rFonts w:ascii="宋体" w:hint="eastAsia"/>
          <w:szCs w:val="21"/>
        </w:rPr>
        <w:t>分至</w:t>
      </w:r>
      <w:r>
        <w:rPr>
          <w:rFonts w:ascii="宋体" w:hint="eastAsia"/>
          <w:szCs w:val="21"/>
          <w:u w:val="single"/>
        </w:rPr>
        <w:t xml:space="preserve"> 17 </w:t>
      </w:r>
      <w:r>
        <w:rPr>
          <w:rFonts w:ascii="宋体" w:hint="eastAsia"/>
          <w:szCs w:val="21"/>
        </w:rPr>
        <w:t>时</w:t>
      </w:r>
      <w:r>
        <w:rPr>
          <w:rFonts w:ascii="宋体" w:hint="eastAsia"/>
          <w:szCs w:val="21"/>
          <w:u w:val="single"/>
        </w:rPr>
        <w:t xml:space="preserve"> 00 </w:t>
      </w:r>
      <w:r>
        <w:rPr>
          <w:rFonts w:ascii="宋体" w:hint="eastAsia"/>
          <w:szCs w:val="21"/>
        </w:rPr>
        <w:t>分（北京时间，下同），联系</w:t>
      </w:r>
      <w:r>
        <w:rPr>
          <w:rFonts w:ascii="宋体" w:hint="eastAsia"/>
          <w:szCs w:val="21"/>
          <w:u w:val="single"/>
        </w:rPr>
        <w:t>福建湄洲湾氯碱工业有限公司（地址：泉州市泉港区南山北路1137号）收取招比选</w:t>
      </w:r>
      <w:r>
        <w:rPr>
          <w:rFonts w:ascii="宋体" w:hint="eastAsia"/>
          <w:szCs w:val="21"/>
        </w:rPr>
        <w:t>文件。</w:t>
      </w:r>
    </w:p>
    <w:p w:rsidR="00434DCD" w:rsidRDefault="00434DCD" w:rsidP="00434DC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参选截止时间：比选文件应在</w:t>
      </w:r>
      <w:r>
        <w:rPr>
          <w:rFonts w:ascii="宋体" w:hAnsi="宋体" w:hint="eastAsia"/>
          <w:szCs w:val="21"/>
          <w:u w:val="single"/>
        </w:rPr>
        <w:t>2021年</w:t>
      </w:r>
      <w:r>
        <w:rPr>
          <w:rFonts w:ascii="宋体" w:hAnsi="宋体"/>
          <w:szCs w:val="21"/>
          <w:u w:val="single"/>
        </w:rPr>
        <w:t>8</w:t>
      </w:r>
      <w:r>
        <w:rPr>
          <w:rFonts w:ascii="宋体" w:hAnsi="宋体" w:hint="eastAsia"/>
          <w:szCs w:val="21"/>
          <w:u w:val="single"/>
        </w:rPr>
        <w:t>月</w:t>
      </w:r>
      <w:r>
        <w:rPr>
          <w:rFonts w:ascii="宋体" w:hAnsi="宋体"/>
          <w:szCs w:val="21"/>
          <w:u w:val="single"/>
        </w:rPr>
        <w:t>6</w:t>
      </w:r>
      <w:r>
        <w:rPr>
          <w:rFonts w:ascii="宋体" w:hAnsi="宋体" w:hint="eastAsia"/>
          <w:szCs w:val="21"/>
          <w:u w:val="single"/>
        </w:rPr>
        <w:t>日</w:t>
      </w:r>
      <w:r>
        <w:rPr>
          <w:rFonts w:ascii="宋体" w:hAnsi="宋体"/>
          <w:szCs w:val="21"/>
          <w:u w:val="single"/>
        </w:rPr>
        <w:t>9</w:t>
      </w:r>
      <w:r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  <w:u w:val="single"/>
        </w:rPr>
        <w:t xml:space="preserve"> 00 </w:t>
      </w:r>
      <w:r>
        <w:rPr>
          <w:rFonts w:ascii="宋体" w:hAnsi="宋体" w:hint="eastAsia"/>
          <w:szCs w:val="21"/>
        </w:rPr>
        <w:t>分（北京时间）前按下述地址送至</w:t>
      </w:r>
      <w:r>
        <w:rPr>
          <w:rFonts w:ascii="宋体" w:hAnsi="宋体" w:hint="eastAsia"/>
          <w:szCs w:val="21"/>
          <w:highlight w:val="yellow"/>
          <w:u w:val="single"/>
        </w:rPr>
        <w:t>福建湄洲湾氯碱工业有限公司费控科（地址：泉州市泉港区南山北路1137号）或邮寄，收件人：吴艳，</w:t>
      </w:r>
      <w:r>
        <w:rPr>
          <w:rFonts w:ascii="宋体" w:hAnsi="宋体" w:hint="eastAsia"/>
          <w:szCs w:val="21"/>
        </w:rPr>
        <w:t>逾期收到或不符合规定的比选文件恕不接受。</w:t>
      </w:r>
    </w:p>
    <w:p w:rsidR="00434DCD" w:rsidRDefault="00434DCD" w:rsidP="00434DCD">
      <w:pPr>
        <w:spacing w:line="3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5.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开选时间、地点：2021年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日9时或另行通知（北京时间）在</w:t>
      </w:r>
      <w:r>
        <w:rPr>
          <w:rFonts w:ascii="宋体" w:hint="eastAsia"/>
          <w:szCs w:val="21"/>
          <w:u w:val="single"/>
        </w:rPr>
        <w:t>福建湄洲湾氯碱工业有限公司（地址：泉州市泉港区</w:t>
      </w:r>
      <w:r>
        <w:rPr>
          <w:rFonts w:ascii="宋体" w:hAnsi="宋体" w:hint="eastAsia"/>
          <w:szCs w:val="21"/>
          <w:u w:val="single"/>
        </w:rPr>
        <w:t>南山北路1137号</w:t>
      </w:r>
      <w:r>
        <w:rPr>
          <w:rFonts w:asci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开选。</w:t>
      </w:r>
    </w:p>
    <w:p w:rsidR="00434DCD" w:rsidRDefault="00434DCD" w:rsidP="00434DCD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6．本次比选采用</w:t>
      </w:r>
      <w:r>
        <w:rPr>
          <w:rFonts w:ascii="宋体" w:hAnsi="宋体" w:hint="eastAsia"/>
          <w:szCs w:val="21"/>
          <w:u w:val="single"/>
        </w:rPr>
        <w:t>低价中选</w:t>
      </w:r>
      <w:r>
        <w:rPr>
          <w:rFonts w:ascii="宋体" w:hAnsi="宋体" w:hint="eastAsia"/>
          <w:szCs w:val="21"/>
        </w:rPr>
        <w:t>的比选办法。</w:t>
      </w:r>
    </w:p>
    <w:p w:rsidR="00434DCD" w:rsidRDefault="00434DCD" w:rsidP="00434DCD">
      <w:pPr>
        <w:pStyle w:val="af0"/>
        <w:snapToGrid w:val="0"/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招比选人名称：福建湄洲湾氯碱工业有限公司</w:t>
      </w:r>
    </w:p>
    <w:p w:rsidR="00434DCD" w:rsidRDefault="00434DCD" w:rsidP="00434DCD">
      <w:pPr>
        <w:pStyle w:val="af0"/>
        <w:snapToGrid w:val="0"/>
        <w:spacing w:line="380" w:lineRule="exact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招比选人地址：</w:t>
      </w:r>
      <w:r>
        <w:rPr>
          <w:rFonts w:ascii="宋体" w:hAnsi="宋体" w:hint="eastAsia"/>
          <w:szCs w:val="21"/>
          <w:u w:val="single"/>
        </w:rPr>
        <w:t>福建省泉州市泉港区南山北路1137号</w:t>
      </w:r>
    </w:p>
    <w:p w:rsidR="00434DCD" w:rsidRDefault="00434DCD" w:rsidP="00434DCD">
      <w:pPr>
        <w:pStyle w:val="af0"/>
        <w:snapToGrid w:val="0"/>
        <w:spacing w:line="380" w:lineRule="exact"/>
        <w:ind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ascii="宋体" w:hAnsi="宋体" w:hint="eastAsia"/>
          <w:szCs w:val="21"/>
        </w:rPr>
        <w:t>87027337</w:t>
      </w:r>
    </w:p>
    <w:p w:rsidR="00434DCD" w:rsidRDefault="00434DCD" w:rsidP="00434DCD">
      <w:pPr>
        <w:pStyle w:val="af0"/>
        <w:snapToGrid w:val="0"/>
        <w:spacing w:line="3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ascii="宋体" w:hAnsi="宋体" w:hint="eastAsia"/>
          <w:szCs w:val="21"/>
        </w:rPr>
        <w:t>陈先生、郑女士</w:t>
      </w:r>
    </w:p>
    <w:p w:rsidR="00434DCD" w:rsidRDefault="00434DCD" w:rsidP="00434DCD">
      <w:pPr>
        <w:pStyle w:val="af0"/>
        <w:snapToGrid w:val="0"/>
        <w:spacing w:line="380" w:lineRule="exact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邮箱：mzwljxmb@163.com</w:t>
      </w:r>
    </w:p>
    <w:p w:rsidR="00434DCD" w:rsidRDefault="00434DCD" w:rsidP="00434DCD">
      <w:pPr>
        <w:pStyle w:val="af0"/>
        <w:snapToGrid w:val="0"/>
        <w:spacing w:line="380" w:lineRule="exact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公司纪检监察室：0595-87027062 联系人：蔡女士</w:t>
      </w:r>
    </w:p>
    <w:p w:rsidR="00434DCD" w:rsidRDefault="00434DCD" w:rsidP="00434DCD">
      <w:pPr>
        <w:pStyle w:val="af0"/>
        <w:snapToGrid w:val="0"/>
        <w:spacing w:line="380" w:lineRule="exact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福建湄洲湾氯碱工业有限公司企业管理部</w:t>
      </w:r>
    </w:p>
    <w:p w:rsidR="00434DCD" w:rsidRDefault="00434DCD" w:rsidP="00434DCD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2021</w:t>
      </w:r>
      <w:r>
        <w:rPr>
          <w:rFonts w:hint="eastAsia"/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szCs w:val="21"/>
        </w:rPr>
        <w:t>7</w:t>
      </w:r>
      <w:r>
        <w:rPr>
          <w:rFonts w:hint="eastAsia"/>
          <w:szCs w:val="21"/>
        </w:rPr>
        <w:t>日</w:t>
      </w:r>
    </w:p>
    <w:p w:rsidR="0044450E" w:rsidRDefault="0044450E" w:rsidP="00434DCD"/>
    <w:sectPr w:rsidR="0044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4F" w:rsidRDefault="007D354F" w:rsidP="00434DCD">
      <w:r>
        <w:separator/>
      </w:r>
    </w:p>
  </w:endnote>
  <w:endnote w:type="continuationSeparator" w:id="0">
    <w:p w:rsidR="007D354F" w:rsidRDefault="007D354F" w:rsidP="0043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4F" w:rsidRDefault="007D354F" w:rsidP="00434DCD">
      <w:r>
        <w:separator/>
      </w:r>
    </w:p>
  </w:footnote>
  <w:footnote w:type="continuationSeparator" w:id="0">
    <w:p w:rsidR="007D354F" w:rsidRDefault="007D354F" w:rsidP="0043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chineseCountingThousand"/>
      <w:isLgl/>
      <w:suff w:val="space"/>
      <w:lvlText w:val="第%1章"/>
      <w:lvlJc w:val="center"/>
      <w:pPr>
        <w:ind w:left="2790" w:hanging="68"/>
      </w:pPr>
      <w:rPr>
        <w:rFonts w:ascii="黑体" w:eastAsia="黑体" w:hint="eastAsia"/>
        <w:b/>
        <w:sz w:val="36"/>
        <w:szCs w:val="36"/>
      </w:rPr>
    </w:lvl>
    <w:lvl w:ilvl="1">
      <w:start w:val="1"/>
      <w:numFmt w:val="chineseCountingThousand"/>
      <w:suff w:val="space"/>
      <w:lvlText w:val="%2"/>
      <w:lvlJc w:val="left"/>
      <w:pPr>
        <w:ind w:left="1140" w:hanging="630"/>
      </w:pPr>
      <w:rPr>
        <w:rFonts w:eastAsia="宋体" w:hint="eastAsia"/>
        <w:b/>
        <w:sz w:val="24"/>
        <w:szCs w:val="24"/>
      </w:rPr>
    </w:lvl>
    <w:lvl w:ilvl="2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/>
        <w:b/>
        <w:sz w:val="24"/>
        <w:szCs w:val="24"/>
      </w:rPr>
    </w:lvl>
    <w:lvl w:ilvl="3">
      <w:start w:val="1"/>
      <w:numFmt w:val="decimal"/>
      <w:suff w:val="space"/>
      <w:lvlText w:val="%4"/>
      <w:lvlJc w:val="left"/>
      <w:pPr>
        <w:ind w:left="0" w:firstLine="510"/>
      </w:pPr>
      <w:rPr>
        <w:rFonts w:eastAsia="宋体" w:hint="eastAsia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5">
      <w:start w:val="1"/>
      <w:numFmt w:val="upperLetter"/>
      <w:lvlText w:val="%6."/>
      <w:lvlJc w:val="right"/>
      <w:pPr>
        <w:tabs>
          <w:tab w:val="num" w:pos="510"/>
        </w:tabs>
        <w:ind w:left="0" w:firstLine="51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2D52686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510"/>
      </w:pPr>
      <w:rPr>
        <w:rFonts w:ascii="宋体" w:eastAsia="宋体" w:hAnsi="宋体" w:hint="eastAsi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42"/>
    <w:rsid w:val="001C50E8"/>
    <w:rsid w:val="002E1582"/>
    <w:rsid w:val="0031578B"/>
    <w:rsid w:val="003E2191"/>
    <w:rsid w:val="00434DCD"/>
    <w:rsid w:val="0044450E"/>
    <w:rsid w:val="00487C30"/>
    <w:rsid w:val="006529C0"/>
    <w:rsid w:val="00775042"/>
    <w:rsid w:val="0078666C"/>
    <w:rsid w:val="007D354F"/>
    <w:rsid w:val="00E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AA872-FCDD-4429-8E75-A8816B19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82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764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64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64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64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64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641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641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641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641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76415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E76415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"/>
    <w:semiHidden/>
    <w:rsid w:val="00E76415"/>
    <w:rPr>
      <w:rFonts w:ascii="Cambria" w:eastAsia="宋体" w:hAnsi="Cambria"/>
      <w:b/>
      <w:bCs/>
      <w:sz w:val="26"/>
      <w:szCs w:val="26"/>
    </w:rPr>
  </w:style>
  <w:style w:type="character" w:customStyle="1" w:styleId="4Char">
    <w:name w:val="标题 4 Char"/>
    <w:link w:val="4"/>
    <w:uiPriority w:val="9"/>
    <w:semiHidden/>
    <w:rsid w:val="00E76415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E76415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semiHidden/>
    <w:rsid w:val="00E76415"/>
    <w:rPr>
      <w:b/>
      <w:bCs/>
    </w:rPr>
  </w:style>
  <w:style w:type="character" w:customStyle="1" w:styleId="7Char">
    <w:name w:val="标题 7 Char"/>
    <w:link w:val="7"/>
    <w:uiPriority w:val="9"/>
    <w:semiHidden/>
    <w:rsid w:val="00E76415"/>
    <w:rPr>
      <w:sz w:val="24"/>
      <w:szCs w:val="24"/>
    </w:rPr>
  </w:style>
  <w:style w:type="character" w:customStyle="1" w:styleId="8Char">
    <w:name w:val="标题 8 Char"/>
    <w:link w:val="8"/>
    <w:uiPriority w:val="9"/>
    <w:semiHidden/>
    <w:rsid w:val="00E76415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semiHidden/>
    <w:rsid w:val="00E76415"/>
    <w:rPr>
      <w:rFonts w:ascii="Cambria" w:eastAsia="宋体" w:hAnsi="Cambria"/>
    </w:rPr>
  </w:style>
  <w:style w:type="paragraph" w:styleId="a3">
    <w:name w:val="Title"/>
    <w:basedOn w:val="a"/>
    <w:next w:val="a"/>
    <w:link w:val="Char"/>
    <w:uiPriority w:val="10"/>
    <w:qFormat/>
    <w:rsid w:val="00E764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标题 Char"/>
    <w:link w:val="a3"/>
    <w:uiPriority w:val="10"/>
    <w:rsid w:val="00E76415"/>
    <w:rPr>
      <w:rFonts w:ascii="Cambria" w:eastAsia="宋体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76415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副标题 Char"/>
    <w:link w:val="a4"/>
    <w:uiPriority w:val="11"/>
    <w:rsid w:val="00E76415"/>
    <w:rPr>
      <w:rFonts w:ascii="Cambria" w:eastAsia="宋体" w:hAnsi="Cambria"/>
      <w:sz w:val="24"/>
      <w:szCs w:val="24"/>
    </w:rPr>
  </w:style>
  <w:style w:type="character" w:styleId="a5">
    <w:name w:val="Strong"/>
    <w:uiPriority w:val="22"/>
    <w:qFormat/>
    <w:rsid w:val="00E76415"/>
    <w:rPr>
      <w:b/>
      <w:bCs/>
    </w:rPr>
  </w:style>
  <w:style w:type="character" w:styleId="a6">
    <w:name w:val="Emphasis"/>
    <w:uiPriority w:val="20"/>
    <w:qFormat/>
    <w:rsid w:val="00E76415"/>
    <w:rPr>
      <w:rFonts w:ascii="Calibri" w:hAnsi="Calibri"/>
      <w:b/>
      <w:i/>
      <w:iCs/>
    </w:rPr>
  </w:style>
  <w:style w:type="paragraph" w:styleId="a7">
    <w:name w:val="No Spacing"/>
    <w:basedOn w:val="a"/>
    <w:uiPriority w:val="1"/>
    <w:qFormat/>
    <w:rsid w:val="00E76415"/>
    <w:rPr>
      <w:szCs w:val="32"/>
    </w:rPr>
  </w:style>
  <w:style w:type="paragraph" w:styleId="a8">
    <w:name w:val="List Paragraph"/>
    <w:basedOn w:val="a"/>
    <w:uiPriority w:val="34"/>
    <w:qFormat/>
    <w:rsid w:val="00E7641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E76415"/>
    <w:rPr>
      <w:i/>
    </w:rPr>
  </w:style>
  <w:style w:type="character" w:customStyle="1" w:styleId="Char1">
    <w:name w:val="引用 Char"/>
    <w:link w:val="a9"/>
    <w:uiPriority w:val="29"/>
    <w:rsid w:val="00E7641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76415"/>
    <w:pPr>
      <w:ind w:left="720" w:right="720"/>
    </w:pPr>
    <w:rPr>
      <w:b/>
      <w:i/>
      <w:szCs w:val="22"/>
    </w:rPr>
  </w:style>
  <w:style w:type="character" w:customStyle="1" w:styleId="Char2">
    <w:name w:val="明显引用 Char"/>
    <w:link w:val="aa"/>
    <w:uiPriority w:val="30"/>
    <w:rsid w:val="00E76415"/>
    <w:rPr>
      <w:b/>
      <w:i/>
      <w:sz w:val="24"/>
    </w:rPr>
  </w:style>
  <w:style w:type="character" w:styleId="ab">
    <w:name w:val="Subtle Emphasis"/>
    <w:uiPriority w:val="19"/>
    <w:qFormat/>
    <w:rsid w:val="00E76415"/>
    <w:rPr>
      <w:i/>
      <w:color w:val="5A5A5A"/>
    </w:rPr>
  </w:style>
  <w:style w:type="character" w:styleId="ac">
    <w:name w:val="Intense Emphasis"/>
    <w:uiPriority w:val="21"/>
    <w:qFormat/>
    <w:rsid w:val="00E76415"/>
    <w:rPr>
      <w:b/>
      <w:i/>
      <w:sz w:val="24"/>
      <w:szCs w:val="24"/>
      <w:u w:val="single"/>
    </w:rPr>
  </w:style>
  <w:style w:type="character" w:styleId="ad">
    <w:name w:val="Subtle Reference"/>
    <w:uiPriority w:val="31"/>
    <w:qFormat/>
    <w:rsid w:val="00E76415"/>
    <w:rPr>
      <w:sz w:val="24"/>
      <w:szCs w:val="24"/>
      <w:u w:val="single"/>
    </w:rPr>
  </w:style>
  <w:style w:type="character" w:styleId="ae">
    <w:name w:val="Intense Reference"/>
    <w:uiPriority w:val="32"/>
    <w:qFormat/>
    <w:rsid w:val="00E76415"/>
    <w:rPr>
      <w:b/>
      <w:sz w:val="24"/>
      <w:u w:val="single"/>
    </w:rPr>
  </w:style>
  <w:style w:type="character" w:styleId="af">
    <w:name w:val="Book Title"/>
    <w:uiPriority w:val="33"/>
    <w:qFormat/>
    <w:rsid w:val="00E76415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6415"/>
    <w:pPr>
      <w:outlineLvl w:val="9"/>
    </w:pPr>
  </w:style>
  <w:style w:type="paragraph" w:styleId="af0">
    <w:name w:val="Normal Indent"/>
    <w:basedOn w:val="a"/>
    <w:link w:val="Char3"/>
    <w:qFormat/>
    <w:rsid w:val="002E1582"/>
    <w:pPr>
      <w:ind w:firstLine="420"/>
    </w:pPr>
  </w:style>
  <w:style w:type="paragraph" w:customStyle="1" w:styleId="p0">
    <w:name w:val="p0"/>
    <w:basedOn w:val="a"/>
    <w:rsid w:val="002E1582"/>
    <w:pPr>
      <w:widowControl/>
      <w:snapToGrid w:val="0"/>
    </w:pPr>
  </w:style>
  <w:style w:type="paragraph" w:styleId="af1">
    <w:name w:val="header"/>
    <w:basedOn w:val="a"/>
    <w:link w:val="Char4"/>
    <w:uiPriority w:val="99"/>
    <w:unhideWhenUsed/>
    <w:rsid w:val="0043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434DCD"/>
    <w:rPr>
      <w:rFonts w:ascii="Times New Roman" w:eastAsia="宋体" w:hAnsi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43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434DCD"/>
    <w:rPr>
      <w:rFonts w:ascii="Times New Roman" w:eastAsia="宋体" w:hAnsi="Times New Roman"/>
      <w:kern w:val="2"/>
      <w:sz w:val="18"/>
      <w:szCs w:val="18"/>
    </w:rPr>
  </w:style>
  <w:style w:type="character" w:customStyle="1" w:styleId="Char3">
    <w:name w:val="正文缩进 Char"/>
    <w:link w:val="af0"/>
    <w:qFormat/>
    <w:rsid w:val="00434DCD"/>
    <w:rPr>
      <w:rFonts w:ascii="Times New Roman" w:eastAsia="宋体" w:hAnsi="Times New Roman"/>
      <w:kern w:val="2"/>
      <w:sz w:val="21"/>
      <w:szCs w:val="24"/>
    </w:rPr>
  </w:style>
  <w:style w:type="paragraph" w:customStyle="1" w:styleId="CharChar">
    <w:name w:val="Char Char"/>
    <w:basedOn w:val="a"/>
    <w:rsid w:val="00434DCD"/>
    <w:pPr>
      <w:widowControl/>
      <w:adjustRightInd w:val="0"/>
      <w:spacing w:after="160" w:line="240" w:lineRule="exact"/>
      <w:jc w:val="left"/>
      <w:textAlignment w:val="baseline"/>
    </w:pPr>
    <w:rPr>
      <w:kern w:val="0"/>
      <w:sz w:val="20"/>
      <w:szCs w:val="20"/>
    </w:rPr>
  </w:style>
  <w:style w:type="paragraph" w:customStyle="1" w:styleId="xl27">
    <w:name w:val="xl27"/>
    <w:basedOn w:val="a"/>
    <w:qFormat/>
    <w:rsid w:val="00434DCD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郑丹梅</dc:creator>
  <cp:keywords/>
  <dc:description/>
  <cp:lastModifiedBy>郑丹梅</cp:lastModifiedBy>
  <cp:revision>8</cp:revision>
  <dcterms:created xsi:type="dcterms:W3CDTF">2021-07-26T03:30:00Z</dcterms:created>
  <dcterms:modified xsi:type="dcterms:W3CDTF">2021-07-27T02:57:00Z</dcterms:modified>
</cp:coreProperties>
</file>