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sz w:val="20"/>
          <w:lang w:eastAsia="zh-CN"/>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储运装车站流程优化改造项目电气材料采购 </w:t>
      </w:r>
      <w:r>
        <w:rPr>
          <w:rFonts w:hint="eastAsia" w:ascii="微软雅黑" w:eastAsia="微软雅黑"/>
          <w:b/>
          <w:sz w:val="36"/>
          <w:szCs w:val="36"/>
          <w:lang w:eastAsia="zh-CN"/>
        </w:rPr>
        <w:t>项目</w:t>
      </w:r>
    </w:p>
    <w:p>
      <w:pPr>
        <w:pStyle w:val="8"/>
        <w:rPr>
          <w:rFonts w:ascii="微软雅黑"/>
          <w:b/>
          <w:sz w:val="68"/>
          <w:lang w:eastAsia="zh-CN"/>
        </w:rPr>
      </w:pPr>
    </w:p>
    <w:p>
      <w:pPr>
        <w:pStyle w:val="8"/>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FHC-PTCG20210628005 </w:t>
      </w:r>
      <w:r>
        <w:rPr>
          <w:rFonts w:hint="eastAsia"/>
          <w:sz w:val="28"/>
          <w:szCs w:val="28"/>
        </w:rPr>
        <w:t>）</w:t>
      </w:r>
    </w:p>
    <w:p>
      <w:pPr>
        <w:pStyle w:val="8"/>
        <w:rPr>
          <w:rFonts w:ascii="微软雅黑"/>
          <w:b/>
          <w:sz w:val="94"/>
          <w:lang w:eastAsia="zh-CN"/>
        </w:rPr>
      </w:pPr>
    </w:p>
    <w:p>
      <w:pPr>
        <w:pStyle w:val="8"/>
        <w:rPr>
          <w:rFonts w:ascii="微软雅黑"/>
          <w:b/>
          <w:sz w:val="94"/>
          <w:lang w:eastAsia="zh-CN"/>
        </w:rPr>
      </w:pPr>
    </w:p>
    <w:p>
      <w:pPr>
        <w:pStyle w:val="8"/>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二〇二一年七月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8"/>
        <w:rPr>
          <w:rFonts w:ascii="黑体"/>
          <w:sz w:val="20"/>
          <w:lang w:eastAsia="zh-CN"/>
        </w:rPr>
      </w:pPr>
    </w:p>
    <w:p>
      <w:pPr>
        <w:pStyle w:val="8"/>
        <w:rPr>
          <w:rFonts w:ascii="黑体"/>
          <w:sz w:val="20"/>
          <w:lang w:eastAsia="zh-CN"/>
        </w:rPr>
      </w:pPr>
    </w:p>
    <w:p>
      <w:pPr>
        <w:pStyle w:val="8"/>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 xml:space="preserve">告 </w:t>
      </w:r>
    </w:p>
    <w:p>
      <w:pPr>
        <w:tabs>
          <w:tab w:val="left" w:pos="1627"/>
        </w:tabs>
        <w:spacing w:before="15" w:line="408" w:lineRule="auto"/>
        <w:ind w:left="367" w:right="6136"/>
        <w:rPr>
          <w:sz w:val="28"/>
          <w:lang w:eastAsia="zh-CN"/>
        </w:rPr>
      </w:pPr>
      <w:r>
        <w:rPr>
          <w:sz w:val="28"/>
          <w:lang w:eastAsia="zh-CN"/>
        </w:rPr>
        <w:t>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 xml:space="preserve">制 </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8"/>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 xml:space="preserve">求 </w:t>
      </w:r>
    </w:p>
    <w:p>
      <w:pPr>
        <w:tabs>
          <w:tab w:val="left" w:pos="1627"/>
        </w:tabs>
        <w:spacing w:before="1" w:line="408" w:lineRule="auto"/>
        <w:ind w:left="367" w:right="4737"/>
        <w:rPr>
          <w:sz w:val="28"/>
          <w:lang w:eastAsia="zh-CN"/>
        </w:rPr>
      </w:pPr>
      <w:r>
        <w:rPr>
          <w:sz w:val="28"/>
          <w:lang w:eastAsia="zh-CN"/>
        </w:rPr>
        <w:t>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8"/>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附件5：报价单</w:t>
      </w:r>
    </w:p>
    <w:p>
      <w:pPr>
        <w:spacing w:line="360" w:lineRule="auto"/>
        <w:ind w:firstLine="980" w:firstLineChars="350"/>
        <w:rPr>
          <w:sz w:val="28"/>
          <w:szCs w:val="28"/>
          <w:lang w:eastAsia="zh-CN"/>
        </w:rPr>
      </w:pPr>
    </w:p>
    <w:p>
      <w:pPr>
        <w:tabs>
          <w:tab w:val="left" w:pos="1272"/>
        </w:tabs>
        <w:spacing w:line="360" w:lineRule="auto"/>
        <w:ind w:left="9"/>
        <w:jc w:val="center"/>
        <w:rPr>
          <w:b/>
          <w:sz w:val="28"/>
          <w:lang w:eastAsia="zh-CN"/>
        </w:rPr>
      </w:pPr>
    </w:p>
    <w:p>
      <w:pPr>
        <w:pStyle w:val="2"/>
      </w:pPr>
    </w:p>
    <w:p>
      <w:pPr>
        <w:pStyle w:val="2"/>
      </w:pPr>
    </w:p>
    <w:p>
      <w:pPr>
        <w:pStyle w:val="2"/>
      </w:pPr>
    </w:p>
    <w:p>
      <w:pPr>
        <w:pStyle w:val="2"/>
      </w:pPr>
    </w:p>
    <w:p>
      <w:pPr>
        <w:pStyle w:val="2"/>
      </w:pPr>
    </w:p>
    <w:p>
      <w:pPr>
        <w:pStyle w:val="2"/>
      </w:pPr>
    </w:p>
    <w:p>
      <w:pPr>
        <w:pStyle w:val="2"/>
      </w:pPr>
    </w:p>
    <w:p>
      <w:pPr>
        <w:pStyle w:val="25"/>
        <w:numPr>
          <w:ilvl w:val="0"/>
          <w:numId w:val="1"/>
        </w:numPr>
        <w:tabs>
          <w:tab w:val="left" w:pos="1272"/>
        </w:tabs>
        <w:spacing w:line="360" w:lineRule="auto"/>
        <w:jc w:val="center"/>
        <w:rPr>
          <w:b/>
          <w:sz w:val="28"/>
          <w:szCs w:val="28"/>
          <w:lang w:eastAsia="zh-CN"/>
        </w:rPr>
      </w:pPr>
      <w:r>
        <w:rPr>
          <w:b/>
          <w:spacing w:val="-1"/>
          <w:w w:val="95"/>
          <w:sz w:val="28"/>
          <w:szCs w:val="28"/>
          <w:lang w:eastAsia="zh-CN"/>
        </w:rPr>
        <w:t>比选公</w:t>
      </w:r>
      <w:r>
        <w:rPr>
          <w:b/>
          <w:w w:val="95"/>
          <w:sz w:val="28"/>
          <w:szCs w:val="28"/>
          <w:lang w:eastAsia="zh-CN"/>
        </w:rPr>
        <w:t>告</w:t>
      </w:r>
    </w:p>
    <w:p>
      <w:pPr>
        <w:pStyle w:val="8"/>
        <w:spacing w:line="360" w:lineRule="auto"/>
        <w:ind w:left="118" w:right="121" w:firstLine="511"/>
        <w:jc w:val="both"/>
        <w:rPr>
          <w:lang w:eastAsia="zh-CN"/>
        </w:rPr>
      </w:pP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有限公司拟对本公司</w:t>
      </w:r>
      <w:r>
        <w:rPr>
          <w:rFonts w:hint="eastAsia" w:asciiTheme="majorEastAsia" w:hAnsiTheme="majorEastAsia" w:eastAsiaTheme="majorEastAsia"/>
          <w:u w:val="single"/>
          <w:lang w:eastAsia="zh-CN"/>
        </w:rPr>
        <w:t>储运装车站流程优化改造项目电气材料采购项目（项目编号：FHC-PTCG20210628005）</w:t>
      </w:r>
      <w:r>
        <w:rPr>
          <w:lang w:eastAsia="zh-CN"/>
        </w:rPr>
        <w:t>进行</w:t>
      </w:r>
      <w:r>
        <w:rPr>
          <w:rFonts w:hint="eastAsia"/>
          <w:lang w:eastAsia="zh-CN"/>
        </w:rPr>
        <w:t>国内</w:t>
      </w:r>
      <w:r>
        <w:rPr>
          <w:lang w:eastAsia="zh-CN"/>
        </w:rPr>
        <w:t>公开比选。为了“公开、公平、公正、透明”，引导参选人进行正确参选，特制定本规定文件</w:t>
      </w:r>
      <w:r>
        <w:rPr>
          <w:rFonts w:hint="eastAsia"/>
          <w:lang w:eastAsia="zh-CN"/>
        </w:rPr>
        <w:t>，欢迎国内符合条件的供应商积极参选</w:t>
      </w:r>
      <w:r>
        <w:rPr>
          <w:lang w:eastAsia="zh-CN"/>
        </w:rPr>
        <w:t>。</w:t>
      </w:r>
    </w:p>
    <w:p>
      <w:pPr>
        <w:autoSpaceDE/>
        <w:autoSpaceDN/>
        <w:spacing w:line="360" w:lineRule="auto"/>
        <w:ind w:firstLine="440" w:firstLineChars="200"/>
        <w:jc w:val="both"/>
        <w:rPr>
          <w:rFonts w:asciiTheme="majorEastAsia" w:hAnsiTheme="majorEastAsia" w:eastAsiaTheme="majorEastAsia"/>
          <w:b/>
          <w:bCs/>
          <w:sz w:val="24"/>
          <w:szCs w:val="24"/>
          <w:lang w:eastAsia="zh-CN"/>
        </w:rPr>
      </w:pPr>
      <w:r>
        <w:rPr>
          <w:lang w:eastAsia="zh-CN"/>
        </w:rPr>
        <w:t>一、</w:t>
      </w:r>
      <w:r>
        <w:rPr>
          <w:rFonts w:hint="eastAsia" w:asciiTheme="majorEastAsia" w:hAnsiTheme="majorEastAsia" w:eastAsiaTheme="majorEastAsia"/>
          <w:b/>
          <w:bCs/>
          <w:sz w:val="24"/>
          <w:szCs w:val="24"/>
          <w:lang w:eastAsia="zh-CN"/>
        </w:rPr>
        <w:t>项目概况</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电气材料采购 </w:t>
      </w:r>
    </w:p>
    <w:p>
      <w:pPr>
        <w:pStyle w:val="4"/>
        <w:spacing w:line="360" w:lineRule="auto"/>
        <w:ind w:left="0" w:firstLine="475" w:firstLineChars="198"/>
        <w:rPr>
          <w:b w:val="0"/>
          <w:shd w:val="clear" w:color="auto" w:fill="FFFFFF"/>
          <w:lang w:eastAsia="zh-CN"/>
        </w:rPr>
      </w:pPr>
      <w:r>
        <w:rPr>
          <w:rFonts w:hint="eastAsia" w:asciiTheme="majorEastAsia" w:hAnsiTheme="majorEastAsia" w:eastAsiaTheme="majorEastAsia"/>
          <w:b w:val="0"/>
          <w:lang w:eastAsia="zh-CN"/>
        </w:rPr>
        <w:t>2. 比选项目简要说明：储运装车站流程优化改造项目电气材料采购</w:t>
      </w:r>
      <w:r>
        <w:rPr>
          <w:rFonts w:hint="eastAsia"/>
          <w:b w:val="0"/>
          <w:shd w:val="clear" w:color="auto" w:fill="FFFFFF"/>
          <w:lang w:eastAsia="zh-CN"/>
        </w:rPr>
        <w:t>。</w:t>
      </w:r>
    </w:p>
    <w:p>
      <w:pPr>
        <w:spacing w:line="360" w:lineRule="auto"/>
        <w:rPr>
          <w:sz w:val="24"/>
          <w:szCs w:val="24"/>
          <w:lang w:eastAsia="zh-CN"/>
        </w:rPr>
      </w:pPr>
      <w:r>
        <w:rPr>
          <w:rFonts w:hint="eastAsia"/>
          <w:lang w:eastAsia="zh-CN"/>
        </w:rPr>
        <w:t xml:space="preserve">     </w:t>
      </w:r>
      <w:r>
        <w:rPr>
          <w:rFonts w:hint="eastAsia"/>
          <w:sz w:val="24"/>
          <w:szCs w:val="24"/>
          <w:lang w:eastAsia="zh-CN"/>
        </w:rPr>
        <w:t>3. 项目控制价格：517400.00元</w:t>
      </w:r>
    </w:p>
    <w:p>
      <w:pPr>
        <w:pStyle w:val="4"/>
        <w:spacing w:line="360" w:lineRule="auto"/>
        <w:ind w:left="0" w:firstLine="472" w:firstLineChars="196"/>
        <w:rPr>
          <w:lang w:eastAsia="zh-CN"/>
        </w:rPr>
      </w:pPr>
      <w:r>
        <w:rPr>
          <w:rFonts w:hint="eastAsia"/>
          <w:lang w:eastAsia="zh-CN"/>
        </w:rPr>
        <w:t>二、</w:t>
      </w:r>
      <w:r>
        <w:rPr>
          <w:lang w:eastAsia="zh-CN"/>
        </w:rPr>
        <w:t>参选人资格要求：</w:t>
      </w:r>
    </w:p>
    <w:p>
      <w:pPr>
        <w:widowControl/>
        <w:autoSpaceDE/>
        <w:autoSpaceDN/>
        <w:spacing w:line="360" w:lineRule="auto"/>
        <w:ind w:left="565" w:leftChars="257"/>
        <w:jc w:val="both"/>
        <w:rPr>
          <w:rFonts w:asciiTheme="majorEastAsia" w:hAnsiTheme="majorEastAsia" w:eastAsiaTheme="majorEastAsia"/>
          <w:sz w:val="24"/>
          <w:szCs w:val="24"/>
          <w:lang w:eastAsia="zh-CN"/>
        </w:rPr>
      </w:pPr>
      <w:r>
        <w:rPr>
          <w:rFonts w:hint="eastAsia"/>
          <w:sz w:val="24"/>
          <w:szCs w:val="24"/>
          <w:lang w:eastAsia="zh-CN"/>
        </w:rPr>
        <w:t>1. 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25"/>
        <w:widowControl/>
        <w:numPr>
          <w:ilvl w:val="0"/>
          <w:numId w:val="2"/>
        </w:numPr>
        <w:autoSpaceDE/>
        <w:autoSpaceDN/>
        <w:spacing w:before="0" w:line="360" w:lineRule="auto"/>
        <w:jc w:val="both"/>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没有失信黑名单记录（以最高院失信被执行人系统发布信息为准）；</w:t>
      </w:r>
    </w:p>
    <w:p>
      <w:pPr>
        <w:autoSpaceDE/>
        <w:autoSpaceDN/>
        <w:spacing w:line="360" w:lineRule="auto"/>
        <w:ind w:left="565" w:leftChars="257"/>
        <w:jc w:val="both"/>
        <w:rPr>
          <w:sz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5"/>
        <w:autoSpaceDE/>
        <w:autoSpaceDN/>
        <w:spacing w:before="0" w:line="360" w:lineRule="auto"/>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2021年7月</w:t>
      </w:r>
      <w:r>
        <w:rPr>
          <w:rFonts w:hint="eastAsia" w:asciiTheme="majorEastAsia" w:hAnsiTheme="majorEastAsia" w:eastAsiaTheme="majorEastAsia"/>
          <w:sz w:val="24"/>
          <w:szCs w:val="24"/>
          <w:lang w:val="en-US" w:eastAsia="zh-CN"/>
        </w:rPr>
        <w:t>8</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17</w:t>
      </w:r>
      <w:bookmarkStart w:id="10" w:name="_GoBack"/>
      <w:bookmarkEnd w:id="10"/>
      <w:r>
        <w:rPr>
          <w:rFonts w:hint="eastAsia" w:asciiTheme="majorEastAsia" w:hAnsiTheme="majorEastAsia" w:eastAsiaTheme="majorEastAsia"/>
          <w:sz w:val="24"/>
          <w:szCs w:val="24"/>
          <w:lang w:eastAsia="zh-CN"/>
        </w:rPr>
        <w:t>日（共10天）</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报名方式：邮件报名（须同时提交盖公章的法定代表人授权书及营业执照扫描件），邮件发至：</w:t>
      </w:r>
      <w:r>
        <w:fldChar w:fldCharType="begin"/>
      </w:r>
      <w:r>
        <w:instrText xml:space="preserve"> HYPERLINK "mailto:hzji@fhcpec.com.cn" </w:instrText>
      </w:r>
      <w:r>
        <w:fldChar w:fldCharType="separate"/>
      </w:r>
      <w:r>
        <w:rPr>
          <w:rStyle w:val="23"/>
          <w:rFonts w:hint="eastAsia" w:asciiTheme="majorEastAsia" w:hAnsiTheme="majorEastAsia" w:eastAsiaTheme="majorEastAsia"/>
          <w:sz w:val="24"/>
          <w:szCs w:val="24"/>
          <w:lang w:eastAsia="zh-CN"/>
        </w:rPr>
        <w:t>hzji@fhcpec.com.cn</w:t>
      </w:r>
      <w:r>
        <w:rPr>
          <w:rStyle w:val="23"/>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pStyle w:val="2"/>
        <w:spacing w:line="360" w:lineRule="auto"/>
        <w:rPr>
          <w:sz w:val="24"/>
          <w:szCs w:val="24"/>
        </w:rPr>
      </w:pPr>
      <w:r>
        <w:rPr>
          <w:rFonts w:hint="eastAsia"/>
          <w:sz w:val="24"/>
          <w:szCs w:val="24"/>
        </w:rPr>
        <w:t xml:space="preserve">       3. 动力箱和防爆灯具需技术确认。</w:t>
      </w:r>
    </w:p>
    <w:p>
      <w:pPr>
        <w:pStyle w:val="3"/>
        <w:spacing w:line="360" w:lineRule="auto"/>
        <w:rPr>
          <w:rFonts w:asciiTheme="majorEastAsia" w:hAnsiTheme="majorEastAsia" w:eastAsiaTheme="majorEastAsia"/>
          <w:b w:val="0"/>
          <w:bCs w:val="0"/>
          <w:sz w:val="24"/>
          <w:szCs w:val="24"/>
          <w:lang w:eastAsia="zh-CN"/>
        </w:rPr>
      </w:pPr>
      <w:r>
        <w:rPr>
          <w:rFonts w:hint="eastAsia" w:asciiTheme="majorEastAsia" w:hAnsiTheme="majorEastAsia" w:eastAsiaTheme="majorEastAsia"/>
          <w:w w:val="95"/>
          <w:sz w:val="24"/>
          <w:szCs w:val="24"/>
          <w:lang w:eastAsia="zh-CN"/>
        </w:rPr>
        <w:t>四、</w:t>
      </w:r>
      <w:r>
        <w:rPr>
          <w:rFonts w:hint="eastAsia" w:asciiTheme="majorEastAsia" w:hAnsiTheme="majorEastAsia" w:eastAsiaTheme="majorEastAsia"/>
          <w:sz w:val="24"/>
          <w:szCs w:val="24"/>
          <w:lang w:eastAsia="zh-CN"/>
        </w:rPr>
        <w:t>参选文件递交要求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递交截止时间：报名截止时间延后2个工作日</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五、联系方式</w:t>
      </w:r>
    </w:p>
    <w:p>
      <w:pPr>
        <w:pStyle w:val="6"/>
        <w:snapToGrid w:val="0"/>
        <w:spacing w:line="360" w:lineRule="auto"/>
        <w:ind w:left="412"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商务联系人：纪先生  电话：0596-6311823  邮箱：hzji@fhcpec.com.cn</w:t>
      </w:r>
    </w:p>
    <w:p>
      <w:pPr>
        <w:pStyle w:val="6"/>
        <w:snapToGrid w:val="0"/>
        <w:spacing w:line="360" w:lineRule="auto"/>
        <w:ind w:left="412"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纪检监察室电话：0596-6311774  邮箱：</w:t>
      </w:r>
      <w:r>
        <w:fldChar w:fldCharType="begin"/>
      </w:r>
      <w:r>
        <w:instrText xml:space="preserve"> HYPERLINK "mailto:fhcjc@fhcpec.com.cn" </w:instrText>
      </w:r>
      <w:r>
        <w:fldChar w:fldCharType="separate"/>
      </w:r>
      <w:r>
        <w:rPr>
          <w:rStyle w:val="23"/>
          <w:rFonts w:hint="eastAsia" w:asciiTheme="majorEastAsia" w:hAnsiTheme="majorEastAsia" w:eastAsiaTheme="majorEastAsia"/>
          <w:bCs/>
          <w:szCs w:val="24"/>
        </w:rPr>
        <w:t>fhcjc</w:t>
      </w:r>
      <w:r>
        <w:rPr>
          <w:rStyle w:val="23"/>
          <w:rFonts w:asciiTheme="majorEastAsia" w:hAnsiTheme="majorEastAsia" w:eastAsiaTheme="majorEastAsia"/>
          <w:bCs/>
          <w:szCs w:val="24"/>
        </w:rPr>
        <w:t>@fhcpec.com.cn</w:t>
      </w:r>
      <w:r>
        <w:rPr>
          <w:rStyle w:val="23"/>
          <w:rFonts w:asciiTheme="majorEastAsia" w:hAnsiTheme="majorEastAsia" w:eastAsiaTheme="majorEastAsia"/>
          <w:bCs/>
          <w:szCs w:val="24"/>
        </w:rPr>
        <w:fldChar w:fldCharType="end"/>
      </w:r>
    </w:p>
    <w:p>
      <w:pPr>
        <w:pStyle w:val="6"/>
        <w:snapToGrid w:val="0"/>
        <w:spacing w:line="360" w:lineRule="auto"/>
        <w:ind w:left="412" w:firstLine="480" w:firstLineChars="200"/>
        <w:rPr>
          <w:rFonts w:cs="宋体" w:asciiTheme="majorEastAsia" w:hAnsiTheme="majorEastAsia" w:eastAsiaTheme="majorEastAsia"/>
          <w:b/>
          <w:bCs/>
          <w:szCs w:val="24"/>
        </w:rPr>
      </w:pPr>
      <w:r>
        <w:rPr>
          <w:rFonts w:hint="eastAsia" w:cs="宋体" w:asciiTheme="majorEastAsia" w:hAnsiTheme="majorEastAsia" w:eastAsiaTheme="majorEastAsia"/>
          <w:bCs/>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spacing w:line="360" w:lineRule="auto"/>
        <w:ind w:firstLine="5040" w:firstLineChars="2100"/>
        <w:rPr>
          <w:sz w:val="24"/>
          <w:szCs w:val="24"/>
          <w:lang w:eastAsia="zh-CN"/>
        </w:rPr>
      </w:pPr>
      <w:r>
        <w:rPr>
          <w:rFonts w:hint="eastAsia"/>
          <w:sz w:val="24"/>
          <w:szCs w:val="24"/>
          <w:lang w:eastAsia="zh-CN"/>
        </w:rPr>
        <w:t>2021.07.06</w:t>
      </w:r>
    </w:p>
    <w:p>
      <w:pPr>
        <w:pStyle w:val="3"/>
        <w:tabs>
          <w:tab w:val="left" w:pos="1262"/>
        </w:tabs>
        <w:spacing w:line="355" w:lineRule="exact"/>
        <w:ind w:left="0" w:right="108"/>
        <w:jc w:val="center"/>
        <w:rPr>
          <w:lang w:eastAsia="zh-CN"/>
        </w:rPr>
        <w:sectPr>
          <w:footerReference r:id="rId3" w:type="default"/>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ind w:firstLine="458" w:firstLineChars="200"/>
        <w:rPr>
          <w:rFonts w:asciiTheme="majorEastAsia" w:hAnsiTheme="majorEastAsia" w:eastAsiaTheme="majorEastAsia"/>
          <w:b/>
          <w:sz w:val="24"/>
          <w:szCs w:val="24"/>
          <w:lang w:eastAsia="zh-CN"/>
        </w:rPr>
      </w:pPr>
      <w:r>
        <w:rPr>
          <w:rFonts w:asciiTheme="majorEastAsia" w:hAnsiTheme="majorEastAsia" w:eastAsiaTheme="majorEastAsia"/>
          <w:b/>
          <w:w w:val="95"/>
          <w:sz w:val="24"/>
          <w:szCs w:val="24"/>
          <w:lang w:eastAsia="zh-CN"/>
        </w:rPr>
        <w:t>一、比选内容</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(一)</w:t>
      </w:r>
      <w:r>
        <w:rPr>
          <w:rFonts w:hint="eastAsia" w:asciiTheme="majorEastAsia" w:hAnsiTheme="majorEastAsia" w:eastAsiaTheme="majorEastAsia"/>
          <w:lang w:eastAsia="zh-CN"/>
        </w:rPr>
        <w:t>项目</w:t>
      </w:r>
      <w:r>
        <w:rPr>
          <w:rFonts w:asciiTheme="majorEastAsia" w:hAnsiTheme="majorEastAsia" w:eastAsiaTheme="majorEastAsia"/>
          <w:lang w:eastAsia="zh-CN"/>
        </w:rPr>
        <w:t>名称：</w:t>
      </w:r>
      <w:r>
        <w:rPr>
          <w:rFonts w:hint="eastAsia" w:asciiTheme="majorEastAsia" w:hAnsiTheme="majorEastAsia" w:eastAsiaTheme="majorEastAsia"/>
          <w:u w:val="single"/>
          <w:lang w:eastAsia="zh-CN"/>
        </w:rPr>
        <w:t xml:space="preserve">  储运装车站流程优化改造项目电气材料采购项目  </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(二)</w:t>
      </w:r>
      <w:r>
        <w:rPr>
          <w:rFonts w:hint="eastAsia" w:asciiTheme="majorEastAsia" w:hAnsiTheme="majorEastAsia" w:eastAsiaTheme="majorEastAsia"/>
          <w:lang w:eastAsia="zh-CN"/>
        </w:rPr>
        <w:t>项目</w:t>
      </w:r>
      <w:r>
        <w:rPr>
          <w:rFonts w:asciiTheme="majorEastAsia" w:hAnsiTheme="majorEastAsia" w:eastAsiaTheme="majorEastAsia"/>
          <w:lang w:eastAsia="zh-CN"/>
        </w:rPr>
        <w:t>地点：</w:t>
      </w:r>
      <w:r>
        <w:rPr>
          <w:rFonts w:hint="eastAsia" w:asciiTheme="majorEastAsia" w:hAnsiTheme="majorEastAsia" w:eastAsiaTheme="majorEastAsia"/>
          <w:lang w:eastAsia="zh-CN"/>
        </w:rPr>
        <w:t>漳州市漳浦县古雷开发区腾龙路84号</w:t>
      </w:r>
    </w:p>
    <w:p>
      <w:pPr>
        <w:pStyle w:val="8"/>
        <w:spacing w:line="360" w:lineRule="auto"/>
        <w:ind w:left="2164" w:leftChars="220" w:hanging="1680" w:hangingChars="700"/>
        <w:rPr>
          <w:rFonts w:asciiTheme="majorEastAsia" w:hAnsiTheme="majorEastAsia" w:eastAsiaTheme="majorEastAsia"/>
          <w:lang w:eastAsia="zh-CN"/>
        </w:rPr>
      </w:pPr>
      <w:r>
        <w:rPr>
          <w:rFonts w:asciiTheme="majorEastAsia" w:hAnsiTheme="majorEastAsia" w:eastAsiaTheme="majorEastAsia"/>
          <w:lang w:eastAsia="zh-CN"/>
        </w:rPr>
        <w:t>(三)</w:t>
      </w:r>
      <w:r>
        <w:rPr>
          <w:rFonts w:hint="eastAsia" w:asciiTheme="majorEastAsia" w:hAnsiTheme="majorEastAsia" w:eastAsiaTheme="majorEastAsia"/>
          <w:lang w:eastAsia="zh-CN"/>
        </w:rPr>
        <w:t>承包方式：</w:t>
      </w:r>
      <w:r>
        <w:rPr>
          <w:rFonts w:hint="eastAsia" w:asciiTheme="majorEastAsia" w:hAnsiTheme="majorEastAsia" w:eastAsiaTheme="majorEastAsia"/>
          <w:bCs/>
          <w:snapToGrid w:val="0"/>
          <w:spacing w:val="8"/>
          <w:lang w:eastAsia="zh-CN"/>
        </w:rPr>
        <w:t>采用总包干的</w:t>
      </w:r>
      <w:r>
        <w:rPr>
          <w:rFonts w:hint="eastAsia" w:asciiTheme="majorEastAsia" w:hAnsiTheme="majorEastAsia" w:eastAsiaTheme="majorEastAsia"/>
          <w:lang w:eastAsia="zh-CN"/>
        </w:rPr>
        <w:t>方式。</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四</w:t>
      </w:r>
      <w:r>
        <w:rPr>
          <w:rFonts w:asciiTheme="majorEastAsia" w:hAnsiTheme="majorEastAsia" w:eastAsiaTheme="majorEastAsia"/>
          <w:lang w:eastAsia="zh-CN"/>
        </w:rPr>
        <w:t>)比选范围：</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1.项目概况：</w:t>
      </w:r>
      <w:r>
        <w:rPr>
          <w:rFonts w:hint="eastAsia" w:asciiTheme="majorEastAsia" w:hAnsiTheme="majorEastAsia" w:eastAsiaTheme="majorEastAsia"/>
          <w:snapToGrid w:val="0"/>
          <w:spacing w:val="8"/>
          <w:sz w:val="24"/>
          <w:szCs w:val="24"/>
          <w:u w:val="single"/>
          <w:lang w:eastAsia="zh-CN"/>
        </w:rPr>
        <w:t xml:space="preserve">  电气材料采购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2.项目范围及内容：</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napToGrid w:val="0"/>
          <w:spacing w:val="8"/>
          <w:sz w:val="24"/>
          <w:szCs w:val="24"/>
          <w:u w:val="single"/>
          <w:lang w:eastAsia="zh-CN"/>
        </w:rPr>
        <w:t xml:space="preserve">见附件5“报价单” </w:t>
      </w:r>
      <w:r>
        <w:rPr>
          <w:rFonts w:hint="eastAsia" w:asciiTheme="majorEastAsia" w:hAnsiTheme="majorEastAsia" w:eastAsiaTheme="majorEastAsia"/>
          <w:kern w:val="59"/>
          <w:sz w:val="24"/>
          <w:szCs w:val="24"/>
          <w:u w:val="single"/>
          <w:lang w:eastAsia="zh-CN"/>
        </w:rPr>
        <w:t xml:space="preserve">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3.相关要求标准、规范及规定：本项目采用的技术标准按现行国家标准（GB）、行业标准要求的规范、规程等执行。</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(五)产品质量：</w:t>
      </w:r>
      <w:r>
        <w:rPr>
          <w:rFonts w:hint="eastAsia" w:asciiTheme="majorEastAsia" w:hAnsiTheme="majorEastAsia" w:eastAsiaTheme="majorEastAsia" w:cstheme="minorEastAsia"/>
          <w:kern w:val="59"/>
          <w:sz w:val="24"/>
          <w:szCs w:val="24"/>
          <w:lang w:eastAsia="zh-CN"/>
        </w:rPr>
        <w:t>全优</w:t>
      </w:r>
    </w:p>
    <w:p>
      <w:pPr>
        <w:pStyle w:val="8"/>
        <w:spacing w:line="360" w:lineRule="auto"/>
        <w:ind w:right="222" w:firstLine="482" w:firstLineChars="200"/>
        <w:rPr>
          <w:rFonts w:asciiTheme="majorEastAsia" w:hAnsiTheme="majorEastAsia" w:eastAsiaTheme="majorEastAsia"/>
          <w:lang w:eastAsia="zh-CN"/>
        </w:rPr>
      </w:pPr>
      <w:r>
        <w:rPr>
          <w:rFonts w:hint="eastAsia" w:asciiTheme="majorEastAsia" w:hAnsiTheme="majorEastAsia" w:eastAsiaTheme="majorEastAsia"/>
          <w:b/>
          <w:bCs/>
          <w:lang w:eastAsia="zh-CN"/>
        </w:rPr>
        <w:t>备注：参选人必须对同一个合同包中的全部货物与服务进行投标，不得仅对合同包中的部分货物或服务进行投标，否则其投标文件将被拒绝。</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二、定义和解释</w:t>
      </w:r>
    </w:p>
    <w:p>
      <w:pPr>
        <w:pStyle w:val="8"/>
        <w:spacing w:line="360" w:lineRule="auto"/>
        <w:ind w:left="426"/>
        <w:rPr>
          <w:rFonts w:asciiTheme="majorEastAsia" w:hAnsiTheme="majorEastAsia" w:eastAsiaTheme="majorEastAsia"/>
          <w:lang w:eastAsia="zh-CN"/>
        </w:rPr>
      </w:pPr>
      <w:r>
        <w:rPr>
          <w:rFonts w:asciiTheme="majorEastAsia" w:hAnsiTheme="majorEastAsia" w:eastAsiaTheme="majorEastAsia"/>
          <w:lang w:eastAsia="zh-CN"/>
        </w:rPr>
        <w:t>1.“比选人”系</w:t>
      </w: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有限公司，即业主方。</w:t>
      </w:r>
    </w:p>
    <w:p>
      <w:pPr>
        <w:pStyle w:val="8"/>
        <w:spacing w:line="360" w:lineRule="auto"/>
        <w:ind w:right="222" w:firstLine="480"/>
        <w:rPr>
          <w:rFonts w:asciiTheme="majorEastAsia" w:hAnsiTheme="majorEastAsia" w:eastAsiaTheme="majorEastAsia"/>
          <w:lang w:eastAsia="zh-CN"/>
        </w:rPr>
      </w:pPr>
      <w:r>
        <w:rPr>
          <w:rFonts w:asciiTheme="majorEastAsia" w:hAnsiTheme="majorEastAsia" w:eastAsiaTheme="majorEastAsia"/>
          <w:spacing w:val="-11"/>
          <w:lang w:eastAsia="zh-CN"/>
        </w:rPr>
        <w:t>2</w:t>
      </w:r>
      <w:r>
        <w:rPr>
          <w:rFonts w:asciiTheme="majorEastAsia" w:hAnsiTheme="majorEastAsia" w:eastAsiaTheme="majorEastAsia"/>
          <w:spacing w:val="-10"/>
          <w:lang w:eastAsia="zh-CN"/>
        </w:rPr>
        <w:t>.“参选人”系指向比选人报名并接受邀请，领取比选文件，且已经提交或准备提交本次参选文件的法人。</w:t>
      </w:r>
    </w:p>
    <w:p>
      <w:pPr>
        <w:pStyle w:val="8"/>
        <w:spacing w:line="360" w:lineRule="auto"/>
        <w:ind w:right="222" w:firstLine="480"/>
        <w:rPr>
          <w:rFonts w:asciiTheme="majorEastAsia" w:hAnsiTheme="majorEastAsia" w:eastAsiaTheme="majorEastAsia"/>
          <w:lang w:eastAsia="zh-CN"/>
        </w:rPr>
      </w:pPr>
      <w:r>
        <w:rPr>
          <w:rFonts w:asciiTheme="majorEastAsia" w:hAnsiTheme="majorEastAsia" w:eastAsiaTheme="majorEastAsia"/>
          <w:spacing w:val="-14"/>
          <w:lang w:eastAsia="zh-CN"/>
        </w:rPr>
        <w:t>3</w:t>
      </w:r>
      <w:r>
        <w:rPr>
          <w:rFonts w:asciiTheme="majorEastAsia" w:hAnsiTheme="majorEastAsia" w:eastAsiaTheme="majorEastAsia"/>
          <w:spacing w:val="-10"/>
          <w:lang w:eastAsia="zh-CN"/>
        </w:rPr>
        <w:t>.“参选人代表”系指全权代表参选人参加本次比选活动并签署参选文件的人，如果参选人代表不是参选人的法定代表人，须持有《法定代表人授权委托书》详见附件</w:t>
      </w:r>
      <w:r>
        <w:rPr>
          <w:rFonts w:hint="eastAsia" w:asciiTheme="majorEastAsia" w:hAnsiTheme="majorEastAsia" w:eastAsiaTheme="majorEastAsia"/>
          <w:spacing w:val="-10"/>
          <w:lang w:eastAsia="zh-CN"/>
        </w:rPr>
        <w:t>二</w:t>
      </w:r>
      <w:r>
        <w:rPr>
          <w:rFonts w:asciiTheme="majorEastAsia" w:hAnsiTheme="majorEastAsia" w:eastAsiaTheme="majorEastAsia"/>
          <w:spacing w:val="-10"/>
          <w:lang w:eastAsia="zh-CN"/>
        </w:rPr>
        <w:t>。</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8"/>
        <w:spacing w:line="360" w:lineRule="auto"/>
        <w:ind w:left="426"/>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8"/>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8"/>
        <w:spacing w:line="360" w:lineRule="auto"/>
        <w:ind w:right="212" w:firstLine="48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r>
        <w:rPr>
          <w:rFonts w:asciiTheme="majorEastAsia" w:hAnsiTheme="majorEastAsia" w:eastAsiaTheme="majorEastAsia"/>
          <w:lang w:eastAsia="zh-CN"/>
        </w:rPr>
        <w:t>重要事项、格式、条款和技术规范、参数及要求等）。参选人没有按照比选文件要求提交</w:t>
      </w: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pStyle w:val="3"/>
        <w:spacing w:line="360" w:lineRule="auto"/>
        <w:ind w:left="68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pPr>
        <w:pStyle w:val="8"/>
        <w:spacing w:line="360" w:lineRule="auto"/>
        <w:ind w:right="91" w:firstLine="482"/>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pPr>
        <w:pStyle w:val="3"/>
        <w:spacing w:line="360" w:lineRule="auto"/>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pPr>
        <w:pStyle w:val="8"/>
        <w:spacing w:line="360" w:lineRule="auto"/>
        <w:ind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8"/>
        <w:spacing w:line="360" w:lineRule="auto"/>
        <w:ind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8"/>
        <w:spacing w:line="360" w:lineRule="auto"/>
        <w:ind w:firstLine="480" w:firstLineChars="200"/>
        <w:rPr>
          <w:rFonts w:asciiTheme="majorEastAsia" w:hAnsiTheme="majorEastAsia" w:eastAsiaTheme="majorEastAsia"/>
          <w:lang w:eastAsia="zh-CN"/>
        </w:rPr>
      </w:pPr>
      <w:r>
        <w:rPr>
          <w:rFonts w:hint="eastAsia" w:asciiTheme="majorEastAsia" w:hAnsiTheme="majorEastAsia" w:eastAsiaTheme="majorEastAsia"/>
          <w:lang w:eastAsia="zh-CN"/>
        </w:rPr>
        <w:t>4.比选人所作的一切有效补充、修改文件，均被视为比选文件不可分割部分。</w:t>
      </w:r>
    </w:p>
    <w:p>
      <w:pPr>
        <w:pStyle w:val="3"/>
        <w:spacing w:line="360" w:lineRule="auto"/>
        <w:ind w:left="539"/>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pPr>
        <w:widowControl/>
        <w:autoSpaceDE/>
        <w:autoSpaceDN/>
        <w:spacing w:line="360" w:lineRule="auto"/>
        <w:ind w:left="565" w:leftChars="257"/>
        <w:jc w:val="both"/>
        <w:rPr>
          <w:rFonts w:asciiTheme="majorEastAsia" w:hAnsiTheme="majorEastAsia" w:eastAsiaTheme="majorEastAsia"/>
          <w:sz w:val="24"/>
          <w:szCs w:val="24"/>
          <w:lang w:eastAsia="zh-CN"/>
        </w:rPr>
      </w:pPr>
      <w:r>
        <w:rPr>
          <w:rFonts w:hint="eastAsia"/>
          <w:sz w:val="24"/>
          <w:szCs w:val="24"/>
          <w:lang w:eastAsia="zh-CN"/>
        </w:rPr>
        <w:t>1. 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widowControl/>
        <w:autoSpaceDE/>
        <w:autoSpaceDN/>
        <w:spacing w:line="360" w:lineRule="auto"/>
        <w:ind w:firstLine="600" w:firstLineChars="25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没有失信黑名单记录（以最高院失信被执行人系统发布信息为准）；</w:t>
      </w:r>
    </w:p>
    <w:p>
      <w:pPr>
        <w:spacing w:line="360" w:lineRule="auto"/>
        <w:ind w:right="191" w:rightChars="87" w:firstLine="600" w:firstLineChars="250"/>
        <w:rPr>
          <w:rFonts w:asciiTheme="majorEastAsia" w:hAnsiTheme="majorEastAsia" w:eastAsiaTheme="majorEastAsia"/>
          <w:b/>
          <w:w w:val="95"/>
          <w:sz w:val="24"/>
          <w:szCs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1、参选保证金的金额为：人民币壹万元整（10000.00元）；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sz w:val="24"/>
          <w:szCs w:val="24"/>
          <w:lang w:eastAsia="zh-CN"/>
        </w:rPr>
        <w:t>中国银行股份有限公司漳州古雷经济开发区支行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406574816628</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电气材料采购项目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5.对于未能按要求提交保证金的参选文件，比选单位可以视为不符合上面比选要求而予以拒绝；</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6.</w:t>
      </w:r>
      <w:r>
        <w:rPr>
          <w:rFonts w:hint="eastAsia" w:asciiTheme="majorEastAsia" w:hAnsiTheme="majorEastAsia" w:eastAsiaTheme="majorEastAsia"/>
          <w:spacing w:val="8"/>
          <w:lang w:eastAsia="zh-CN"/>
        </w:rPr>
        <w:t xml:space="preserve"> 本项目比选结束后，未中选的参选人其所递交的参选保证金将于本项目合同签订后退回至参选人</w:t>
      </w:r>
      <w:r>
        <w:rPr>
          <w:rFonts w:hint="eastAsia" w:asciiTheme="majorEastAsia" w:hAnsiTheme="majorEastAsia" w:eastAsiaTheme="majorEastAsia"/>
          <w:lang w:eastAsia="zh-CN"/>
        </w:rPr>
        <w:t>基本账户</w:t>
      </w:r>
      <w:r>
        <w:rPr>
          <w:rFonts w:hint="eastAsia" w:asciiTheme="majorEastAsia" w:hAnsiTheme="majorEastAsia" w:eastAsiaTheme="majorEastAsia"/>
          <w:spacing w:val="8"/>
          <w:lang w:eastAsia="zh-CN"/>
        </w:rPr>
        <w:t>（无息）</w:t>
      </w:r>
      <w:r>
        <w:rPr>
          <w:rFonts w:hint="eastAsia" w:asciiTheme="majorEastAsia" w:hAnsiTheme="majorEastAsia" w:eastAsiaTheme="majorEastAsia"/>
          <w:lang w:eastAsia="zh-CN"/>
        </w:rPr>
        <w:t>，最迟不超过规定的比选有效期满后的20天；</w:t>
      </w:r>
    </w:p>
    <w:p>
      <w:pPr>
        <w:pStyle w:val="8"/>
        <w:spacing w:line="360" w:lineRule="auto"/>
        <w:ind w:right="121" w:firstLine="480" w:firstLineChars="200"/>
        <w:jc w:val="both"/>
        <w:rPr>
          <w:rFonts w:asciiTheme="majorEastAsia" w:hAnsiTheme="majorEastAsia" w:eastAsiaTheme="majorEastAsia"/>
          <w:color w:val="000000" w:themeColor="text1"/>
          <w:lang w:eastAsia="zh-CN"/>
        </w:rPr>
      </w:pPr>
      <w:r>
        <w:rPr>
          <w:rFonts w:hint="eastAsia" w:asciiTheme="majorEastAsia" w:hAnsiTheme="majorEastAsia" w:eastAsiaTheme="majorEastAsia"/>
          <w:lang w:eastAsia="zh-CN"/>
        </w:rPr>
        <w:t>7.中选者的参选保证金（无息），将在合同签订后自动转为履约保证金，将于合同周期完成后1</w:t>
      </w:r>
      <w:r>
        <w:rPr>
          <w:rFonts w:asciiTheme="majorEastAsia" w:hAnsiTheme="majorEastAsia" w:eastAsiaTheme="majorEastAsia"/>
          <w:lang w:eastAsia="zh-CN"/>
        </w:rPr>
        <w:t>5</w:t>
      </w:r>
      <w:r>
        <w:rPr>
          <w:rFonts w:hint="eastAsia" w:asciiTheme="majorEastAsia" w:hAnsiTheme="majorEastAsia" w:eastAsiaTheme="majorEastAsia"/>
          <w:lang w:eastAsia="zh-CN"/>
        </w:rPr>
        <w:t>个工作日内，甲方无息退还履约保证金；</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8.如有下列情况发生，将被没收参选保证金：</w:t>
      </w:r>
    </w:p>
    <w:p>
      <w:pPr>
        <w:pStyle w:val="8"/>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（1）参选单位在参选有效期内撤回参选文件；</w:t>
      </w:r>
    </w:p>
    <w:p>
      <w:pPr>
        <w:widowControl/>
        <w:autoSpaceDE/>
        <w:autoSpaceDN/>
        <w:spacing w:line="360" w:lineRule="auto"/>
        <w:ind w:firstLine="360" w:firstLineChars="150"/>
        <w:jc w:val="both"/>
        <w:rPr>
          <w:rFonts w:cs="Arial" w:asciiTheme="majorEastAsia" w:hAnsiTheme="majorEastAsia" w:eastAsiaTheme="majorEastAsia"/>
          <w:color w:val="333333"/>
          <w:sz w:val="24"/>
          <w:szCs w:val="24"/>
          <w:lang w:eastAsia="zh-CN"/>
        </w:rPr>
      </w:pPr>
      <w:r>
        <w:rPr>
          <w:rFonts w:hint="eastAsia" w:asciiTheme="majorEastAsia" w:hAnsiTheme="majorEastAsia" w:eastAsiaTheme="majorEastAsia"/>
          <w:sz w:val="24"/>
          <w:szCs w:val="24"/>
          <w:lang w:eastAsia="zh-CN"/>
        </w:rPr>
        <w:t>（2）参选单位未能按接到中标通知书后规定的时间内签定合同。</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八、参选文件的递交</w:t>
      </w:r>
    </w:p>
    <w:p>
      <w:pPr>
        <w:pStyle w:val="4"/>
        <w:tabs>
          <w:tab w:val="left" w:pos="6879"/>
        </w:tabs>
        <w:spacing w:line="360" w:lineRule="auto"/>
        <w:ind w:left="0" w:right="106" w:firstLine="472" w:firstLineChars="196"/>
        <w:rPr>
          <w:rFonts w:asciiTheme="majorEastAsia" w:hAnsiTheme="majorEastAsia" w:eastAsiaTheme="majorEastAsia"/>
          <w:lang w:eastAsia="zh-CN"/>
        </w:rPr>
      </w:pPr>
      <w:r>
        <w:rPr>
          <w:rFonts w:asciiTheme="majorEastAsia" w:hAnsiTheme="majorEastAsia" w:eastAsiaTheme="majorEastAsia"/>
          <w:lang w:eastAsia="zh-CN"/>
        </w:rPr>
        <w:t>1.参选文件递交的截止时间：</w:t>
      </w:r>
      <w:r>
        <w:rPr>
          <w:rFonts w:hint="eastAsia" w:asciiTheme="majorEastAsia" w:hAnsiTheme="majorEastAsia" w:eastAsiaTheme="majorEastAsia"/>
          <w:lang w:eastAsia="zh-CN"/>
        </w:rPr>
        <w:t>见比选公告</w:t>
      </w:r>
    </w:p>
    <w:p>
      <w:pPr>
        <w:pStyle w:val="4"/>
        <w:tabs>
          <w:tab w:val="left" w:pos="6879"/>
        </w:tabs>
        <w:spacing w:line="360" w:lineRule="auto"/>
        <w:ind w:left="0" w:right="106" w:firstLine="472" w:firstLineChars="196"/>
        <w:rPr>
          <w:rFonts w:asciiTheme="majorEastAsia" w:hAnsiTheme="majorEastAsia" w:eastAsiaTheme="majorEastAsia"/>
          <w:spacing w:val="-57"/>
          <w:lang w:eastAsia="zh-CN"/>
        </w:rPr>
      </w:pPr>
      <w:r>
        <w:rPr>
          <w:rFonts w:asciiTheme="majorEastAsia" w:hAnsiTheme="majorEastAsia" w:eastAsiaTheme="majorEastAsia"/>
          <w:lang w:eastAsia="zh-CN"/>
        </w:rPr>
        <w:t>2.</w:t>
      </w:r>
      <w:r>
        <w:rPr>
          <w:rFonts w:asciiTheme="majorEastAsia" w:hAnsiTheme="majorEastAsia" w:eastAsiaTheme="majorEastAsia"/>
          <w:spacing w:val="4"/>
          <w:lang w:eastAsia="zh-CN"/>
        </w:rPr>
        <w:t>递交</w:t>
      </w:r>
      <w:r>
        <w:rPr>
          <w:rFonts w:asciiTheme="majorEastAsia" w:hAnsiTheme="majorEastAsia" w:eastAsiaTheme="majorEastAsia"/>
          <w:lang w:eastAsia="zh-CN"/>
        </w:rPr>
        <w:t>参</w:t>
      </w:r>
      <w:r>
        <w:rPr>
          <w:rFonts w:asciiTheme="majorEastAsia" w:hAnsiTheme="majorEastAsia" w:eastAsiaTheme="majorEastAsia"/>
          <w:spacing w:val="4"/>
          <w:lang w:eastAsia="zh-CN"/>
        </w:rPr>
        <w:t>选文件的地</w:t>
      </w:r>
      <w:r>
        <w:rPr>
          <w:rFonts w:asciiTheme="majorEastAsia" w:hAnsiTheme="majorEastAsia" w:eastAsiaTheme="majorEastAsia"/>
          <w:lang w:eastAsia="zh-CN"/>
        </w:rPr>
        <w:t>点</w:t>
      </w:r>
      <w:r>
        <w:rPr>
          <w:rFonts w:asciiTheme="majorEastAsia" w:hAnsiTheme="majorEastAsia" w:eastAsiaTheme="majorEastAsia"/>
          <w:spacing w:val="4"/>
          <w:lang w:eastAsia="zh-CN"/>
        </w:rPr>
        <w:t>为：</w:t>
      </w:r>
      <w:r>
        <w:rPr>
          <w:rFonts w:hint="eastAsia" w:asciiTheme="majorEastAsia" w:hAnsiTheme="majorEastAsia" w:eastAsiaTheme="majorEastAsia"/>
          <w:spacing w:val="4"/>
          <w:lang w:eastAsia="zh-CN"/>
        </w:rPr>
        <w:t>漳州市漳浦县杜浔镇杜昌路9号</w:t>
      </w:r>
    </w:p>
    <w:p>
      <w:pPr>
        <w:pStyle w:val="4"/>
        <w:tabs>
          <w:tab w:val="left" w:pos="6879"/>
        </w:tabs>
        <w:spacing w:line="360" w:lineRule="auto"/>
        <w:ind w:left="119" w:leftChars="54" w:right="106" w:firstLine="834" w:firstLineChars="346"/>
        <w:rPr>
          <w:rFonts w:asciiTheme="majorEastAsia" w:hAnsiTheme="majorEastAsia" w:eastAsiaTheme="majorEastAsia"/>
          <w:spacing w:val="-4"/>
          <w:lang w:eastAsia="zh-CN"/>
        </w:rPr>
      </w:pPr>
      <w:r>
        <w:rPr>
          <w:rFonts w:hint="eastAsia" w:asciiTheme="majorEastAsia" w:hAnsiTheme="majorEastAsia" w:eastAsiaTheme="majorEastAsia"/>
          <w:lang w:eastAsia="zh-CN"/>
        </w:rPr>
        <w:t>商务</w:t>
      </w:r>
      <w:r>
        <w:rPr>
          <w:rFonts w:asciiTheme="majorEastAsia" w:hAnsiTheme="majorEastAsia" w:eastAsiaTheme="majorEastAsia"/>
          <w:lang w:eastAsia="zh-CN"/>
        </w:rPr>
        <w:t>联系人</w:t>
      </w:r>
      <w:r>
        <w:rPr>
          <w:rFonts w:asciiTheme="majorEastAsia" w:hAnsiTheme="majorEastAsia" w:eastAsiaTheme="majorEastAsia"/>
          <w:spacing w:val="-56"/>
          <w:lang w:eastAsia="zh-CN"/>
        </w:rPr>
        <w:t>：</w:t>
      </w:r>
      <w:r>
        <w:rPr>
          <w:rFonts w:hint="eastAsia" w:asciiTheme="majorEastAsia" w:hAnsiTheme="majorEastAsia" w:eastAsiaTheme="majorEastAsia"/>
          <w:lang w:eastAsia="zh-CN"/>
        </w:rPr>
        <w:t xml:space="preserve">纪捍政    </w:t>
      </w:r>
      <w:r>
        <w:rPr>
          <w:rFonts w:asciiTheme="majorEastAsia" w:hAnsiTheme="majorEastAsia" w:eastAsiaTheme="majorEastAsia"/>
          <w:spacing w:val="-6"/>
          <w:lang w:eastAsia="zh-CN"/>
        </w:rPr>
        <w:t xml:space="preserve"> </w:t>
      </w:r>
      <w:r>
        <w:rPr>
          <w:rFonts w:asciiTheme="majorEastAsia" w:hAnsiTheme="majorEastAsia" w:eastAsiaTheme="majorEastAsia"/>
          <w:lang w:eastAsia="zh-CN"/>
        </w:rPr>
        <w:t>电话</w:t>
      </w:r>
      <w:r>
        <w:rPr>
          <w:rFonts w:asciiTheme="majorEastAsia" w:hAnsiTheme="majorEastAsia" w:eastAsiaTheme="majorEastAsia"/>
          <w:spacing w:val="-4"/>
          <w:lang w:eastAsia="zh-CN"/>
        </w:rPr>
        <w:t>：</w:t>
      </w:r>
      <w:r>
        <w:rPr>
          <w:rFonts w:hint="eastAsia" w:asciiTheme="majorEastAsia" w:hAnsiTheme="majorEastAsia" w:eastAsiaTheme="majorEastAsia"/>
          <w:spacing w:val="-4"/>
          <w:lang w:eastAsia="zh-CN"/>
        </w:rPr>
        <w:t>0596-6311823</w:t>
      </w:r>
    </w:p>
    <w:p>
      <w:pPr>
        <w:pStyle w:val="4"/>
        <w:tabs>
          <w:tab w:val="left" w:pos="6879"/>
        </w:tabs>
        <w:spacing w:line="360" w:lineRule="auto"/>
        <w:ind w:left="119" w:leftChars="54" w:right="106" w:firstLine="806" w:firstLineChars="346"/>
        <w:rPr>
          <w:rFonts w:asciiTheme="majorEastAsia" w:hAnsiTheme="majorEastAsia" w:eastAsiaTheme="majorEastAsia"/>
          <w:spacing w:val="-6"/>
          <w:lang w:eastAsia="zh-CN"/>
        </w:rPr>
      </w:pPr>
      <w:r>
        <w:rPr>
          <w:rFonts w:hint="eastAsia" w:asciiTheme="majorEastAsia" w:hAnsiTheme="majorEastAsia" w:eastAsiaTheme="majorEastAsia"/>
          <w:spacing w:val="-4"/>
          <w:lang w:eastAsia="zh-CN"/>
        </w:rPr>
        <w:t xml:space="preserve">技术联系人：黄江城     电话：18006959202 </w:t>
      </w:r>
    </w:p>
    <w:p>
      <w:pPr>
        <w:spacing w:line="360" w:lineRule="auto"/>
        <w:rPr>
          <w:rFonts w:asciiTheme="majorEastAsia" w:hAnsiTheme="majorEastAsia" w:eastAsiaTheme="majorEastAsia"/>
          <w:b/>
          <w:sz w:val="24"/>
          <w:szCs w:val="24"/>
          <w:lang w:eastAsia="zh-CN"/>
        </w:rPr>
      </w:pPr>
      <w:r>
        <w:rPr>
          <w:rFonts w:asciiTheme="majorEastAsia" w:hAnsiTheme="majorEastAsia" w:eastAsiaTheme="majorEastAsia"/>
          <w:b/>
          <w:sz w:val="24"/>
          <w:szCs w:val="24"/>
          <w:lang w:eastAsia="zh-CN"/>
        </w:rPr>
        <w:t>注：请使用顺丰快递或中国邮政</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EMS</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快递，其他快递不能保证送达目的地。</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 xml:space="preserve">3. </w:t>
      </w:r>
      <w:r>
        <w:rPr>
          <w:rFonts w:asciiTheme="majorEastAsia" w:hAnsiTheme="majorEastAsia" w:eastAsiaTheme="majorEastAsia"/>
          <w:spacing w:val="-9"/>
          <w:lang w:eastAsia="zh-CN"/>
        </w:rPr>
        <w:t>参选人收到比选文件后，如有疑问要澄清，请以书面形式在规定时间内报比选人汇总。</w:t>
      </w:r>
    </w:p>
    <w:p>
      <w:pPr>
        <w:pStyle w:val="8"/>
        <w:spacing w:line="360" w:lineRule="auto"/>
        <w:ind w:right="106" w:firstLine="480" w:firstLineChars="200"/>
        <w:jc w:val="both"/>
        <w:rPr>
          <w:rFonts w:asciiTheme="majorEastAsia" w:hAnsiTheme="majorEastAsia" w:eastAsiaTheme="majorEastAsia"/>
          <w:lang w:eastAsia="zh-CN"/>
        </w:rPr>
      </w:pPr>
      <w:r>
        <w:rPr>
          <w:rFonts w:asciiTheme="majorEastAsia" w:hAnsiTheme="majorEastAsia" w:eastAsiaTheme="majorEastAsia"/>
          <w:lang w:eastAsia="zh-CN"/>
        </w:rPr>
        <w:t xml:space="preserve">4. </w:t>
      </w:r>
      <w:r>
        <w:rPr>
          <w:rFonts w:asciiTheme="majorEastAsia" w:hAnsiTheme="majorEastAsia" w:eastAsiaTheme="majorEastAsia"/>
          <w:spacing w:val="-6"/>
          <w:lang w:eastAsia="zh-CN"/>
        </w:rPr>
        <w:t>参选人对比选人提供的比选文件所做出的推论、解释和结论，比选人概不负责。参</w:t>
      </w:r>
      <w:r>
        <w:rPr>
          <w:rFonts w:asciiTheme="majorEastAsia" w:hAnsiTheme="majorEastAsia" w:eastAsiaTheme="majorEastAsia"/>
          <w:spacing w:val="-9"/>
          <w:lang w:eastAsia="zh-CN"/>
        </w:rPr>
        <w:t>选人由于对比选文件的任何推论和误解以及比选对有关问题的口头解释所造成的后果，均由参选人负责。</w:t>
      </w:r>
    </w:p>
    <w:p>
      <w:pPr>
        <w:pStyle w:val="3"/>
        <w:spacing w:line="360" w:lineRule="auto"/>
        <w:ind w:left="0" w:firstLine="458" w:firstLineChars="20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对比选结果有异议的异议人不是本项目的参与者，或者与本项目无任何利害关系；</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rFonts w:asciiTheme="majorEastAsia" w:hAnsiTheme="majorEastAsia" w:eastAsiaTheme="majorEastAsia"/>
          <w:sz w:val="24"/>
          <w:szCs w:val="24"/>
          <w:lang w:eastAsia="zh-CN"/>
        </w:rPr>
      </w:pPr>
      <w:r>
        <w:rPr>
          <w:rFonts w:hint="eastAsia" w:asciiTheme="majorEastAsia" w:hAnsiTheme="majorEastAsia" w:eastAsiaTheme="majorEastAsia"/>
          <w:bCs/>
          <w:color w:val="000000"/>
          <w:sz w:val="24"/>
          <w:szCs w:val="24"/>
          <w:lang w:eastAsia="zh-CN"/>
        </w:rPr>
        <w:t>（4）</w:t>
      </w:r>
      <w:r>
        <w:rPr>
          <w:rFonts w:hint="eastAsia" w:asciiTheme="majorEastAsia" w:hAnsiTheme="majorEastAsia" w:eastAsiaTheme="majorEastAsia"/>
          <w:bCs/>
          <w:sz w:val="24"/>
          <w:szCs w:val="24"/>
          <w:lang w:eastAsia="zh-CN"/>
        </w:rPr>
        <w:t>超过异议时效的。</w:t>
      </w:r>
    </w:p>
    <w:p>
      <w:pPr>
        <w:pStyle w:val="3"/>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十</w:t>
      </w:r>
      <w:r>
        <w:rPr>
          <w:rFonts w:asciiTheme="majorEastAsia" w:hAnsiTheme="majorEastAsia" w:eastAsiaTheme="majorEastAsia"/>
          <w:w w:val="95"/>
          <w:sz w:val="24"/>
          <w:szCs w:val="24"/>
          <w:lang w:eastAsia="zh-CN"/>
        </w:rPr>
        <w:t>、</w:t>
      </w:r>
      <w:r>
        <w:rPr>
          <w:rFonts w:hint="eastAsia" w:asciiTheme="majorEastAsia" w:hAnsiTheme="majorEastAsia" w:eastAsiaTheme="majorEastAsia"/>
          <w:sz w:val="24"/>
          <w:szCs w:val="24"/>
          <w:lang w:eastAsia="zh-CN"/>
        </w:rPr>
        <w:t>最高控制价及投标报价要求</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w:t>
      </w:r>
      <w:r>
        <w:rPr>
          <w:rFonts w:hint="eastAsia" w:asciiTheme="majorEastAsia" w:hAnsiTheme="majorEastAsia" w:eastAsiaTheme="majorEastAsia"/>
          <w:b/>
          <w:bCs/>
          <w:sz w:val="24"/>
          <w:szCs w:val="24"/>
          <w:lang w:eastAsia="zh-CN"/>
        </w:rPr>
        <w:t>517400.00元</w:t>
      </w:r>
      <w:r>
        <w:rPr>
          <w:rFonts w:hint="eastAsia" w:asciiTheme="majorEastAsia" w:hAnsiTheme="majorEastAsia" w:eastAsiaTheme="majorEastAsia"/>
          <w:bCs/>
          <w:sz w:val="24"/>
          <w:szCs w:val="24"/>
          <w:lang w:eastAsia="zh-CN"/>
        </w:rPr>
        <w:t>。参选人所填报的参选总价高于本项目最高限价的，其参选将被评标委员会予以否决</w:t>
      </w:r>
      <w:r>
        <w:rPr>
          <w:rFonts w:hint="eastAsia" w:asciiTheme="majorEastAsia" w:hAnsiTheme="majorEastAsia" w:eastAsiaTheme="majorEastAsia"/>
          <w:sz w:val="24"/>
          <w:szCs w:val="24"/>
          <w:lang w:eastAsia="zh-CN"/>
        </w:rPr>
        <w:t>。</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2、本比选项目采用总价包干方式执行。</w:t>
      </w:r>
    </w:p>
    <w:p>
      <w:pPr>
        <w:tabs>
          <w:tab w:val="left" w:pos="0"/>
          <w:tab w:val="left" w:pos="993"/>
          <w:tab w:val="left" w:pos="1134"/>
        </w:tabs>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人应以完成本比选文件所述的内容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w:t>
      </w:r>
    </w:p>
    <w:p>
      <w:pPr>
        <w:pStyle w:val="2"/>
        <w:spacing w:line="360" w:lineRule="auto"/>
        <w:ind w:firstLine="472" w:firstLineChars="200"/>
        <w:rPr>
          <w:rFonts w:asciiTheme="majorEastAsia" w:hAnsiTheme="majorEastAsia" w:eastAsiaTheme="majorEastAsia"/>
          <w:sz w:val="24"/>
          <w:szCs w:val="24"/>
        </w:rPr>
      </w:pPr>
      <w:r>
        <w:rPr>
          <w:rFonts w:hint="eastAsia" w:asciiTheme="majorEastAsia" w:hAnsiTheme="majorEastAsia" w:eastAsiaTheme="majorEastAsia"/>
          <w:bCs/>
          <w:spacing w:val="-2"/>
          <w:sz w:val="24"/>
          <w:szCs w:val="24"/>
        </w:rPr>
        <w:t>备注：如依据我国法律法规及税收政策，本合同项下服务所涉及的增值税税率发生调整，双方一致同意按照调整后的增值税税率相应调整合同价款。</w:t>
      </w:r>
    </w:p>
    <w:p>
      <w:pPr>
        <w:pStyle w:val="2"/>
        <w:rPr>
          <w:b/>
          <w:sz w:val="28"/>
          <w:szCs w:val="28"/>
        </w:rPr>
      </w:pPr>
    </w:p>
    <w:p>
      <w:pPr>
        <w:pStyle w:val="3"/>
        <w:tabs>
          <w:tab w:val="left" w:pos="4627"/>
        </w:tabs>
        <w:spacing w:line="360" w:lineRule="auto"/>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8"/>
        <w:spacing w:line="360" w:lineRule="auto"/>
        <w:ind w:firstLine="480" w:firstLineChars="200"/>
        <w:rPr>
          <w:b/>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25"/>
        <w:numPr>
          <w:ilvl w:val="0"/>
          <w:numId w:val="3"/>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书及附录；</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2）</w:t>
      </w:r>
      <w:r>
        <w:rPr>
          <w:rFonts w:hint="eastAsia" w:asciiTheme="majorEastAsia" w:hAnsiTheme="majorEastAsia" w:eastAsiaTheme="majorEastAsia"/>
          <w:kern w:val="59"/>
          <w:sz w:val="24"/>
          <w:szCs w:val="24"/>
          <w:lang w:eastAsia="zh-CN"/>
        </w:rPr>
        <w:t>参选承诺</w:t>
      </w:r>
      <w:r>
        <w:rPr>
          <w:rFonts w:asciiTheme="majorEastAsia" w:hAnsiTheme="majorEastAsia" w:eastAsiaTheme="majorEastAsia"/>
          <w:kern w:val="59"/>
          <w:sz w:val="24"/>
          <w:szCs w:val="24"/>
          <w:lang w:eastAsia="zh-CN"/>
        </w:rPr>
        <w:t>书；</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3）法定代表人</w:t>
      </w:r>
      <w:r>
        <w:rPr>
          <w:rFonts w:hint="eastAsia" w:asciiTheme="majorEastAsia" w:hAnsiTheme="majorEastAsia" w:eastAsiaTheme="majorEastAsia"/>
          <w:kern w:val="59"/>
          <w:sz w:val="24"/>
          <w:szCs w:val="24"/>
          <w:lang w:eastAsia="zh-CN"/>
        </w:rPr>
        <w:t>及企业</w:t>
      </w:r>
      <w:r>
        <w:rPr>
          <w:rFonts w:asciiTheme="majorEastAsia" w:hAnsiTheme="majorEastAsia" w:eastAsiaTheme="majorEastAsia"/>
          <w:kern w:val="59"/>
          <w:sz w:val="24"/>
          <w:szCs w:val="24"/>
          <w:lang w:eastAsia="zh-CN"/>
        </w:rPr>
        <w:t>资格证明书；</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4）授权委托书；</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5）企业简况；</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6）按本须知规定提供的其它资料</w:t>
      </w:r>
      <w:r>
        <w:rPr>
          <w:rFonts w:hint="eastAsia" w:asciiTheme="majorEastAsia" w:hAnsiTheme="majorEastAsia" w:eastAsiaTheme="majorEastAsia"/>
          <w:kern w:val="59"/>
          <w:sz w:val="24"/>
          <w:szCs w:val="24"/>
          <w:lang w:eastAsia="zh-CN"/>
        </w:rPr>
        <w:t>。</w:t>
      </w:r>
    </w:p>
    <w:p>
      <w:pPr>
        <w:pStyle w:val="8"/>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装订成册</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8"/>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8"/>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8"/>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8"/>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8"/>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8"/>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8"/>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9"/>
        <w:spacing w:after="0" w:line="360" w:lineRule="auto"/>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8"/>
        <w:spacing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8"/>
        <w:spacing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15567504"/>
      <w:bookmarkStart w:id="1" w:name="_Toc430422420"/>
      <w:bookmarkStart w:id="2" w:name="_Toc430488858"/>
      <w:bookmarkStart w:id="3" w:name="_Toc430490619"/>
      <w:bookmarkStart w:id="4" w:name="_Toc430489126"/>
      <w:bookmarkStart w:id="5" w:name="_Toc430492133"/>
      <w:bookmarkStart w:id="6" w:name="_Toc304357904"/>
      <w:bookmarkStart w:id="7" w:name="_Toc430488651"/>
      <w:bookmarkStart w:id="8" w:name="_Toc177186249"/>
    </w:p>
    <w:p>
      <w:pPr>
        <w:pStyle w:val="8"/>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szCs w:val="24"/>
          <w:lang w:eastAsia="zh-CN"/>
        </w:rPr>
      </w:pPr>
      <w:r>
        <w:rPr>
          <w:rFonts w:hint="eastAsia"/>
          <w:sz w:val="24"/>
          <w:szCs w:val="24"/>
          <w:lang w:eastAsia="zh-CN"/>
        </w:rPr>
        <w:t>7.1 参选人应在参选文件所附的参选报价表上写明参选</w:t>
      </w:r>
      <w:r>
        <w:rPr>
          <w:rFonts w:hint="eastAsia"/>
          <w:b/>
          <w:sz w:val="24"/>
          <w:szCs w:val="24"/>
          <w:lang w:eastAsia="zh-CN"/>
        </w:rPr>
        <w:t>的分项价格和总价</w:t>
      </w:r>
      <w:r>
        <w:rPr>
          <w:rFonts w:hint="eastAsia"/>
          <w:sz w:val="24"/>
          <w:szCs w:val="24"/>
          <w:lang w:eastAsia="zh-CN"/>
        </w:rPr>
        <w:t>。</w:t>
      </w:r>
    </w:p>
    <w:p>
      <w:pPr>
        <w:spacing w:line="360" w:lineRule="auto"/>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8"/>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8"/>
        <w:spacing w:line="360" w:lineRule="auto"/>
        <w:ind w:right="226" w:firstLine="480"/>
        <w:jc w:val="both"/>
        <w:rPr>
          <w:lang w:eastAsia="zh-CN"/>
        </w:rPr>
      </w:pPr>
      <w:r>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pPr>
        <w:spacing w:line="360" w:lineRule="auto"/>
        <w:ind w:firstLine="480" w:firstLineChars="200"/>
        <w:rPr>
          <w:sz w:val="24"/>
          <w:szCs w:val="24"/>
          <w:lang w:eastAsia="zh-CN"/>
        </w:rPr>
      </w:pPr>
      <w:r>
        <w:rPr>
          <w:rFonts w:hint="eastAsia"/>
          <w:sz w:val="24"/>
          <w:szCs w:val="24"/>
          <w:lang w:eastAsia="zh-CN"/>
        </w:rPr>
        <w:t>9.</w:t>
      </w:r>
      <w:r>
        <w:rPr>
          <w:sz w:val="24"/>
          <w:szCs w:val="24"/>
          <w:lang w:eastAsia="zh-CN"/>
        </w:rPr>
        <w:t xml:space="preserve"> </w:t>
      </w:r>
      <w:r>
        <w:rPr>
          <w:rFonts w:hint="eastAsia"/>
          <w:lang w:eastAsia="zh-CN"/>
        </w:rPr>
        <w:t>参选文件正本应按要求由经正式授权的参选人代表签字并加盖参选人公章。副本可以用复印件。</w:t>
      </w:r>
    </w:p>
    <w:p>
      <w:pPr>
        <w:pStyle w:val="2"/>
        <w:rPr>
          <w:b/>
          <w:sz w:val="28"/>
          <w:szCs w:val="28"/>
        </w:rPr>
      </w:pPr>
    </w:p>
    <w:p>
      <w:pPr>
        <w:pStyle w:val="3"/>
        <w:tabs>
          <w:tab w:val="left" w:pos="1488"/>
        </w:tabs>
        <w:spacing w:line="355" w:lineRule="exact"/>
        <w:ind w:left="365"/>
        <w:jc w:val="center"/>
        <w:rPr>
          <w:w w:val="95"/>
          <w:lang w:eastAsia="zh-CN"/>
        </w:rPr>
      </w:pPr>
      <w:r>
        <w:rPr>
          <w:lang w:eastAsia="zh-CN"/>
        </w:rPr>
        <w:t>第</w:t>
      </w:r>
      <w:r>
        <w:rPr>
          <w:rFonts w:hint="eastAsia"/>
          <w:lang w:eastAsia="zh-CN"/>
        </w:rPr>
        <w:t>四</w:t>
      </w:r>
      <w:r>
        <w:rPr>
          <w:lang w:eastAsia="zh-CN"/>
        </w:rPr>
        <w:t>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8"/>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8"/>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8"/>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8"/>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8"/>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517400.00元（含税价）</w:t>
      </w:r>
      <w:r>
        <w:rPr>
          <w:rFonts w:hint="eastAsia"/>
          <w:lang w:eastAsia="zh-CN"/>
        </w:rPr>
        <w:t>。参选人所填报的报价高于本项目最高限价的，其参选将被比选小组予以否决。</w:t>
      </w:r>
    </w:p>
    <w:p>
      <w:pPr>
        <w:pStyle w:val="8"/>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评选委员会将对通过资格的各合格参选人，</w:t>
      </w:r>
      <w:r>
        <w:rPr>
          <w:rFonts w:hint="eastAsia"/>
          <w:lang w:eastAsia="zh-CN"/>
        </w:rPr>
        <w:t>进行商务报价的评选，未税总价最低者作为中选单位</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8"/>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8"/>
        <w:spacing w:line="360" w:lineRule="auto"/>
        <w:ind w:right="121" w:firstLine="480" w:firstLineChars="200"/>
        <w:jc w:val="both"/>
        <w:rPr>
          <w:lang w:eastAsia="zh-CN"/>
        </w:rPr>
      </w:pPr>
      <w:r>
        <w:rPr>
          <w:lang w:eastAsia="zh-CN"/>
        </w:rPr>
        <w:t>2.参选文件存在重大偏差的。</w:t>
      </w:r>
    </w:p>
    <w:p>
      <w:pPr>
        <w:pStyle w:val="8"/>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8"/>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8"/>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8"/>
        <w:spacing w:line="360" w:lineRule="auto"/>
        <w:ind w:right="121" w:firstLine="480" w:firstLineChars="200"/>
        <w:jc w:val="both"/>
        <w:rPr>
          <w:lang w:eastAsia="zh-CN"/>
        </w:rPr>
      </w:pPr>
      <w:r>
        <w:rPr>
          <w:lang w:eastAsia="zh-CN"/>
        </w:rPr>
        <w:t>2.在开选时没有启封和读出的参选文件，在评选时将不予考虑。</w:t>
      </w:r>
    </w:p>
    <w:p>
      <w:pPr>
        <w:pStyle w:val="8"/>
        <w:spacing w:line="360" w:lineRule="auto"/>
        <w:ind w:right="121" w:firstLine="480" w:firstLineChars="200"/>
        <w:jc w:val="both"/>
        <w:rPr>
          <w:lang w:eastAsia="zh-CN"/>
        </w:rPr>
      </w:pPr>
      <w:r>
        <w:rPr>
          <w:lang w:eastAsia="zh-CN"/>
        </w:rPr>
        <w:t>3.比选人将做开选记录。</w:t>
      </w:r>
    </w:p>
    <w:p>
      <w:pPr>
        <w:pStyle w:val="2"/>
        <w:spacing w:line="360" w:lineRule="auto"/>
        <w:ind w:firstLine="480" w:firstLineChars="200"/>
        <w:rPr>
          <w:b/>
          <w:sz w:val="24"/>
          <w:szCs w:val="24"/>
        </w:rPr>
      </w:pPr>
      <w:r>
        <w:rPr>
          <w:rFonts w:hint="eastAsia"/>
          <w:sz w:val="24"/>
          <w:szCs w:val="24"/>
        </w:rPr>
        <w:t>4.业主将根据评选结果与中选人签订合同。</w:t>
      </w:r>
    </w:p>
    <w:p>
      <w:pPr>
        <w:pStyle w:val="2"/>
        <w:spacing w:line="360" w:lineRule="auto"/>
        <w:rPr>
          <w:b/>
          <w:sz w:val="28"/>
          <w:szCs w:val="28"/>
        </w:r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8"/>
        <w:spacing w:before="12"/>
        <w:rPr>
          <w:b/>
          <w:sz w:val="33"/>
          <w:lang w:eastAsia="zh-CN"/>
        </w:rPr>
      </w:pPr>
    </w:p>
    <w:p>
      <w:pPr>
        <w:pStyle w:val="8"/>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8"/>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8"/>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8"/>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8"/>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8"/>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22"/>
          <w:rFonts w:hint="eastAsia"/>
          <w:sz w:val="24"/>
          <w:szCs w:val="24"/>
        </w:rPr>
        <w:t>福建福海创石油化工有限公司的权属子公司“腾龙芳烃（漳州）有限公司”作为合同执行主体，将于中选通知书发出之日起20日内与中选人完成合同签订事宜。</w:t>
      </w:r>
    </w:p>
    <w:p>
      <w:pPr>
        <w:pStyle w:val="3"/>
        <w:tabs>
          <w:tab w:val="left" w:pos="4344"/>
        </w:tabs>
        <w:spacing w:line="355" w:lineRule="exact"/>
        <w:ind w:left="3082"/>
        <w:rPr>
          <w:lang w:eastAsia="zh-CN"/>
        </w:rPr>
      </w:pPr>
    </w:p>
    <w:p>
      <w:pPr>
        <w:rPr>
          <w:lang w:eastAsia="zh-CN"/>
        </w:r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8"/>
        <w:spacing w:line="360" w:lineRule="auto"/>
        <w:ind w:right="108" w:firstLine="480" w:firstLineChars="200"/>
        <w:jc w:val="both"/>
        <w:rPr>
          <w:lang w:eastAsia="zh-CN"/>
        </w:rPr>
      </w:pPr>
      <w:r>
        <w:rPr>
          <w:lang w:eastAsia="zh-CN"/>
        </w:rPr>
        <w:t>1.</w:t>
      </w:r>
      <w:r>
        <w:rPr>
          <w:spacing w:val="-7"/>
          <w:lang w:eastAsia="zh-CN"/>
        </w:rPr>
        <w:t>中选单位要服从比选人的管理规定，如有违反，取消</w:t>
      </w:r>
      <w:r>
        <w:rPr>
          <w:spacing w:val="-13"/>
          <w:lang w:eastAsia="zh-CN"/>
        </w:rPr>
        <w:t>中选单位的继续履行合同的资格，同时，由此给比选人造成的损失，比选人有权追究中选单位的全部责任。</w:t>
      </w:r>
    </w:p>
    <w:p>
      <w:pPr>
        <w:pStyle w:val="8"/>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asciiTheme="majorEastAsia" w:hAnsiTheme="majorEastAsia" w:eastAsiaTheme="majorEastAsia"/>
          <w:kern w:val="59"/>
          <w:u w:val="single"/>
          <w:lang w:eastAsia="zh-CN"/>
        </w:rPr>
        <w:t>电气材料采购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8"/>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8"/>
        <w:rPr>
          <w:b/>
          <w:sz w:val="28"/>
          <w:lang w:eastAsia="zh-CN"/>
        </w:rPr>
      </w:pPr>
    </w:p>
    <w:p>
      <w:pPr>
        <w:pStyle w:val="8"/>
        <w:spacing w:line="360" w:lineRule="auto"/>
        <w:ind w:firstLine="480" w:firstLineChars="200"/>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8"/>
        <w:spacing w:before="108" w:line="360" w:lineRule="auto"/>
        <w:ind w:firstLine="480" w:firstLineChars="200"/>
        <w:rPr>
          <w:lang w:eastAsia="zh-CN"/>
        </w:rPr>
      </w:pPr>
      <w:r>
        <w:rPr>
          <w:lang w:eastAsia="zh-CN"/>
        </w:rPr>
        <w:t>2.比选人郑重承诺：参选人所提交的参选文件及相关资料不向第三方泄露。</w:t>
      </w:r>
    </w:p>
    <w:p>
      <w:pPr>
        <w:pStyle w:val="8"/>
        <w:spacing w:before="106" w:line="360" w:lineRule="auto"/>
        <w:ind w:firstLine="480" w:firstLineChars="200"/>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8"/>
        <w:spacing w:before="106" w:line="360" w:lineRule="auto"/>
        <w:ind w:left="567"/>
        <w:rPr>
          <w:lang w:eastAsia="zh-CN"/>
        </w:rPr>
      </w:pPr>
      <w:r>
        <w:rPr>
          <w:lang w:eastAsia="zh-CN"/>
        </w:rPr>
        <w:br w:type="page"/>
      </w:r>
    </w:p>
    <w:p>
      <w:pPr>
        <w:pStyle w:val="8"/>
        <w:rPr>
          <w:rFonts w:ascii="Times New Roman"/>
          <w:b/>
          <w:bCs/>
          <w:lang w:eastAsia="zh-CN"/>
        </w:rPr>
      </w:pPr>
      <w:r>
        <w:rPr>
          <w:rFonts w:hint="eastAsia" w:ascii="Times New Roman"/>
          <w:b/>
          <w:bCs/>
          <w:lang w:eastAsia="zh-CN"/>
        </w:rPr>
        <w:t>附件一、</w:t>
      </w:r>
    </w:p>
    <w:p>
      <w:pPr>
        <w:spacing w:line="480" w:lineRule="atLeast"/>
        <w:jc w:val="center"/>
        <w:rPr>
          <w:b/>
          <w:sz w:val="30"/>
          <w:szCs w:val="30"/>
          <w:lang w:eastAsia="zh-CN"/>
        </w:rPr>
      </w:pPr>
      <w:bookmarkStart w:id="9" w:name="_Toc251742852"/>
      <w:r>
        <w:rPr>
          <w:rFonts w:hint="eastAsia"/>
          <w:b/>
          <w:sz w:val="30"/>
          <w:szCs w:val="30"/>
          <w:lang w:eastAsia="zh-CN"/>
        </w:rPr>
        <w:t>腾龙芳烃（漳州）有限公司</w:t>
      </w:r>
    </w:p>
    <w:p>
      <w:pPr>
        <w:pStyle w:val="2"/>
        <w:spacing w:line="480" w:lineRule="atLeast"/>
        <w:jc w:val="center"/>
        <w:rPr>
          <w:b/>
          <w:sz w:val="28"/>
          <w:szCs w:val="28"/>
        </w:rPr>
      </w:pPr>
      <w:r>
        <w:rPr>
          <w:rFonts w:hint="eastAsia" w:hAnsi="宋体" w:cs="宋体"/>
          <w:b/>
          <w:sz w:val="30"/>
          <w:szCs w:val="30"/>
        </w:rPr>
        <w:t>储运装车站流程优化改造项目电气材料采购</w:t>
      </w:r>
      <w:r>
        <w:rPr>
          <w:rFonts w:hint="eastAsia"/>
          <w:b/>
          <w:sz w:val="28"/>
          <w:szCs w:val="28"/>
        </w:rPr>
        <w:t>合同</w:t>
      </w:r>
    </w:p>
    <w:tbl>
      <w:tblPr>
        <w:tblStyle w:val="20"/>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1"/>
        <w:gridCol w:w="567"/>
        <w:gridCol w:w="1418"/>
        <w:gridCol w:w="3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pPr>
              <w:spacing w:line="360" w:lineRule="auto"/>
              <w:jc w:val="both"/>
              <w:rPr>
                <w:sz w:val="24"/>
                <w:lang w:eastAsia="zh-CN"/>
              </w:rPr>
            </w:pPr>
            <w:r>
              <w:rPr>
                <w:rFonts w:hint="eastAsia"/>
                <w:sz w:val="24"/>
                <w:lang w:eastAsia="zh-CN"/>
              </w:rPr>
              <w:t xml:space="preserve">                                                                                      </w:t>
            </w:r>
          </w:p>
        </w:tc>
        <w:tc>
          <w:tcPr>
            <w:tcW w:w="567" w:type="dxa"/>
          </w:tcPr>
          <w:p>
            <w:pPr>
              <w:spacing w:line="360" w:lineRule="auto"/>
              <w:jc w:val="both"/>
              <w:rPr>
                <w:sz w:val="24"/>
                <w:lang w:eastAsia="zh-CN"/>
              </w:rPr>
            </w:pPr>
          </w:p>
        </w:tc>
        <w:tc>
          <w:tcPr>
            <w:tcW w:w="1418" w:type="dxa"/>
          </w:tcPr>
          <w:p>
            <w:pPr>
              <w:spacing w:line="360" w:lineRule="auto"/>
              <w:jc w:val="both"/>
              <w:rPr>
                <w:szCs w:val="21"/>
              </w:rPr>
            </w:pPr>
            <w:r>
              <w:rPr>
                <w:rFonts w:hint="eastAsia"/>
                <w:szCs w:val="21"/>
              </w:rPr>
              <w:t>合同编号：</w:t>
            </w:r>
          </w:p>
        </w:tc>
        <w:tc>
          <w:tcPr>
            <w:tcW w:w="3649" w:type="dxa"/>
          </w:tcPr>
          <w:p>
            <w:pPr>
              <w:spacing w:line="360" w:lineRule="auto"/>
              <w:jc w:val="both"/>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pPr>
              <w:spacing w:line="360" w:lineRule="auto"/>
              <w:jc w:val="both"/>
              <w:rPr>
                <w:sz w:val="24"/>
                <w:lang w:eastAsia="zh-CN"/>
              </w:rPr>
            </w:pPr>
            <w:r>
              <w:rPr>
                <w:rFonts w:hint="eastAsia"/>
                <w:sz w:val="24"/>
                <w:lang w:eastAsia="zh-CN"/>
              </w:rPr>
              <w:t>甲方：腾龙芳烃（漳州）有限公司</w:t>
            </w:r>
          </w:p>
        </w:tc>
        <w:tc>
          <w:tcPr>
            <w:tcW w:w="567" w:type="dxa"/>
          </w:tcPr>
          <w:p>
            <w:pPr>
              <w:spacing w:line="360" w:lineRule="auto"/>
              <w:jc w:val="both"/>
              <w:rPr>
                <w:sz w:val="24"/>
                <w:lang w:eastAsia="zh-CN"/>
              </w:rPr>
            </w:pPr>
            <w:r>
              <w:rPr>
                <w:rFonts w:hint="eastAsia"/>
                <w:sz w:val="24"/>
                <w:lang w:eastAsia="zh-CN"/>
              </w:rPr>
              <w:t xml:space="preserve">                                     </w:t>
            </w:r>
          </w:p>
        </w:tc>
        <w:tc>
          <w:tcPr>
            <w:tcW w:w="1418" w:type="dxa"/>
          </w:tcPr>
          <w:p>
            <w:pPr>
              <w:spacing w:line="360" w:lineRule="auto"/>
              <w:jc w:val="both"/>
              <w:rPr>
                <w:szCs w:val="21"/>
              </w:rPr>
            </w:pPr>
            <w:r>
              <w:rPr>
                <w:rFonts w:hint="eastAsia"/>
                <w:szCs w:val="21"/>
              </w:rPr>
              <w:t>签订地点：</w:t>
            </w:r>
          </w:p>
        </w:tc>
        <w:tc>
          <w:tcPr>
            <w:tcW w:w="3649" w:type="dxa"/>
          </w:tcPr>
          <w:p>
            <w:pPr>
              <w:spacing w:line="360" w:lineRule="auto"/>
              <w:jc w:val="both"/>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pPr>
              <w:spacing w:line="360" w:lineRule="auto"/>
              <w:jc w:val="both"/>
              <w:rPr>
                <w:sz w:val="24"/>
                <w:lang w:eastAsia="zh-CN"/>
              </w:rPr>
            </w:pPr>
            <w:r>
              <w:rPr>
                <w:rFonts w:hint="eastAsia"/>
                <w:sz w:val="24"/>
                <w:lang w:eastAsia="zh-CN"/>
              </w:rPr>
              <w:t>乙方：</w:t>
            </w:r>
            <w:r>
              <w:rPr>
                <w:sz w:val="24"/>
                <w:lang w:eastAsia="zh-CN"/>
              </w:rPr>
              <w:t xml:space="preserve"> </w:t>
            </w:r>
          </w:p>
        </w:tc>
        <w:tc>
          <w:tcPr>
            <w:tcW w:w="567" w:type="dxa"/>
          </w:tcPr>
          <w:p>
            <w:pPr>
              <w:spacing w:line="360" w:lineRule="auto"/>
              <w:jc w:val="both"/>
              <w:rPr>
                <w:sz w:val="24"/>
                <w:lang w:eastAsia="zh-CN"/>
              </w:rPr>
            </w:pPr>
          </w:p>
        </w:tc>
        <w:tc>
          <w:tcPr>
            <w:tcW w:w="1418" w:type="dxa"/>
          </w:tcPr>
          <w:p>
            <w:pPr>
              <w:spacing w:line="360" w:lineRule="auto"/>
              <w:jc w:val="both"/>
              <w:rPr>
                <w:szCs w:val="21"/>
              </w:rPr>
            </w:pPr>
            <w:r>
              <w:rPr>
                <w:rFonts w:hint="eastAsia"/>
                <w:szCs w:val="21"/>
              </w:rPr>
              <w:t>签订日期：</w:t>
            </w:r>
          </w:p>
        </w:tc>
        <w:tc>
          <w:tcPr>
            <w:tcW w:w="3649" w:type="dxa"/>
          </w:tcPr>
          <w:p>
            <w:pPr>
              <w:spacing w:line="360" w:lineRule="auto"/>
              <w:jc w:val="both"/>
              <w:rPr>
                <w:sz w:val="24"/>
              </w:rPr>
            </w:pPr>
          </w:p>
        </w:tc>
      </w:tr>
    </w:tbl>
    <w:p>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根据甲方采购项目需求，经双方友好协商，就甲方向乙方采购本合同第1条所列产品相关事宜，依据《中华人民共和国民法典》及其他相关法律法规规定，双方签订如下协议：</w:t>
      </w:r>
    </w:p>
    <w:tbl>
      <w:tblPr>
        <w:tblStyle w:val="19"/>
        <w:tblpPr w:leftFromText="180" w:rightFromText="180" w:vertAnchor="text" w:horzAnchor="margin" w:tblpXSpec="center" w:tblpY="377"/>
        <w:tblW w:w="9781" w:type="dxa"/>
        <w:tblInd w:w="0" w:type="dxa"/>
        <w:tblLayout w:type="autofit"/>
        <w:tblCellMar>
          <w:top w:w="0" w:type="dxa"/>
          <w:left w:w="108" w:type="dxa"/>
          <w:bottom w:w="0" w:type="dxa"/>
          <w:right w:w="108" w:type="dxa"/>
        </w:tblCellMar>
      </w:tblPr>
      <w:tblGrid>
        <w:gridCol w:w="426"/>
        <w:gridCol w:w="1417"/>
        <w:gridCol w:w="3227"/>
        <w:gridCol w:w="742"/>
        <w:gridCol w:w="851"/>
        <w:gridCol w:w="850"/>
        <w:gridCol w:w="2268"/>
      </w:tblGrid>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序号</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名称</w:t>
            </w:r>
          </w:p>
        </w:tc>
        <w:tc>
          <w:tcPr>
            <w:tcW w:w="322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型号规格</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单价</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合计</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备注</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电力电缆</w:t>
            </w:r>
          </w:p>
        </w:tc>
        <w:tc>
          <w:tcPr>
            <w:tcW w:w="322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ZA-YJV22-0.6/1kV 3x185+2x95mm2</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650m</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阻燃级别：A级，铠装，整条电缆</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防爆动力箱（工程塑料）</w:t>
            </w:r>
          </w:p>
        </w:tc>
        <w:tc>
          <w:tcPr>
            <w:tcW w:w="322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总开关电流160A，1个下进线，3个下出线。</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1套</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需技术澄清</w:t>
            </w:r>
          </w:p>
        </w:tc>
      </w:tr>
      <w:tr>
        <w:tblPrEx>
          <w:tblCellMar>
            <w:top w:w="0" w:type="dxa"/>
            <w:left w:w="108" w:type="dxa"/>
            <w:bottom w:w="0" w:type="dxa"/>
            <w:right w:w="108" w:type="dxa"/>
          </w:tblCellMar>
        </w:tblPrEx>
        <w:trPr>
          <w:trHeight w:val="362"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镀锌圆钢</w:t>
            </w:r>
          </w:p>
        </w:tc>
        <w:tc>
          <w:tcPr>
            <w:tcW w:w="322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hAnsi="MS Mincho" w:eastAsia="MS Mincho" w:cs="MS Mincho" w:asciiTheme="majorEastAsia"/>
                <w:sz w:val="21"/>
                <w:szCs w:val="21"/>
                <w:lang w:eastAsia="zh-CN"/>
              </w:rPr>
              <w:t>∅</w:t>
            </w:r>
            <w:r>
              <w:rPr>
                <w:rFonts w:asciiTheme="majorEastAsia" w:hAnsiTheme="majorEastAsia" w:eastAsiaTheme="majorEastAsia"/>
                <w:sz w:val="21"/>
                <w:szCs w:val="21"/>
                <w:lang w:eastAsia="zh-CN"/>
              </w:rPr>
              <w:t>12mm</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150m</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防爆灯具</w:t>
            </w:r>
          </w:p>
        </w:tc>
        <w:tc>
          <w:tcPr>
            <w:tcW w:w="322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100W，LED灯，ExdⅡBT4，Gb；IP65；吊杆灯</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6套</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需技术澄清</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电力电缆</w:t>
            </w:r>
          </w:p>
        </w:tc>
        <w:tc>
          <w:tcPr>
            <w:tcW w:w="322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ZA-YJV22-0.6/1kV  5x4mm2</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200m</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阻燃级别：A级，铠装，整条电缆</w:t>
            </w:r>
          </w:p>
        </w:tc>
      </w:tr>
      <w:tr>
        <w:tblPrEx>
          <w:tblCellMar>
            <w:top w:w="0" w:type="dxa"/>
            <w:left w:w="108" w:type="dxa"/>
            <w:bottom w:w="0" w:type="dxa"/>
            <w:right w:w="108" w:type="dxa"/>
          </w:tblCellMar>
        </w:tblPrEx>
        <w:trPr>
          <w:trHeight w:val="549"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铜接线鼻子</w:t>
            </w:r>
          </w:p>
        </w:tc>
        <w:tc>
          <w:tcPr>
            <w:tcW w:w="322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DT185</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15个</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557"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热镀锌槽钢</w:t>
            </w:r>
          </w:p>
        </w:tc>
        <w:tc>
          <w:tcPr>
            <w:tcW w:w="322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10#槽钢</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1根</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6米/根</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不锈花纹钢板</w:t>
            </w:r>
          </w:p>
        </w:tc>
        <w:tc>
          <w:tcPr>
            <w:tcW w:w="322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δ=6\304</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8块</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每块尺寸100x100x6mm；四角打孔，孔径10mm，需技术澄清</w:t>
            </w:r>
          </w:p>
        </w:tc>
      </w:tr>
      <w:tr>
        <w:tblPrEx>
          <w:tblCellMar>
            <w:top w:w="0" w:type="dxa"/>
            <w:left w:w="108" w:type="dxa"/>
            <w:bottom w:w="0" w:type="dxa"/>
            <w:right w:w="108" w:type="dxa"/>
          </w:tblCellMar>
        </w:tblPrEx>
        <w:trPr>
          <w:trHeight w:val="766"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w:t>
            </w:r>
          </w:p>
        </w:tc>
        <w:tc>
          <w:tcPr>
            <w:tcW w:w="1417"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防火堵泥</w:t>
            </w:r>
          </w:p>
        </w:tc>
        <w:tc>
          <w:tcPr>
            <w:tcW w:w="3227"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 xml:space="preserve">耐水性≥3d,无溶涨 耐油性≥7d，无锈蚀 耐火性≥180分钟 </w:t>
            </w:r>
          </w:p>
        </w:tc>
        <w:tc>
          <w:tcPr>
            <w:tcW w:w="742"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50包</w:t>
            </w: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1kg/包</w:t>
            </w:r>
          </w:p>
        </w:tc>
      </w:tr>
      <w:tr>
        <w:tblPrEx>
          <w:tblCellMar>
            <w:top w:w="0" w:type="dxa"/>
            <w:left w:w="108" w:type="dxa"/>
            <w:bottom w:w="0" w:type="dxa"/>
            <w:right w:w="108" w:type="dxa"/>
          </w:tblCellMar>
        </w:tblPrEx>
        <w:trPr>
          <w:trHeight w:val="1009"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w:t>
            </w:r>
          </w:p>
        </w:tc>
        <w:tc>
          <w:tcPr>
            <w:tcW w:w="1417"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防爆电动阀动力箱(工程塑料)</w:t>
            </w:r>
          </w:p>
        </w:tc>
        <w:tc>
          <w:tcPr>
            <w:tcW w:w="3227"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支路数12，支路电流6A回路8个，10A回路4个，总开关电流50A，1个下进线，12个下出线</w:t>
            </w:r>
          </w:p>
        </w:tc>
        <w:tc>
          <w:tcPr>
            <w:tcW w:w="742"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1套</w:t>
            </w: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需技术澄清</w:t>
            </w:r>
          </w:p>
        </w:tc>
      </w:tr>
      <w:tr>
        <w:tblPrEx>
          <w:tblCellMar>
            <w:top w:w="0" w:type="dxa"/>
            <w:left w:w="108" w:type="dxa"/>
            <w:bottom w:w="0" w:type="dxa"/>
            <w:right w:w="108" w:type="dxa"/>
          </w:tblCellMar>
        </w:tblPrEx>
        <w:trPr>
          <w:trHeight w:val="678"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w:t>
            </w:r>
          </w:p>
        </w:tc>
        <w:tc>
          <w:tcPr>
            <w:tcW w:w="1417"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rPr>
            </w:pPr>
            <w:r>
              <w:rPr>
                <w:rFonts w:hint="eastAsia" w:asciiTheme="majorEastAsia" w:hAnsiTheme="majorEastAsia" w:eastAsiaTheme="majorEastAsia"/>
                <w:sz w:val="21"/>
                <w:szCs w:val="21"/>
                <w:shd w:val="clear" w:color="auto" w:fill="FFFFFF"/>
              </w:rPr>
              <w:t>电力电缆</w:t>
            </w:r>
          </w:p>
        </w:tc>
        <w:tc>
          <w:tcPr>
            <w:tcW w:w="3227"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rPr>
              <w:t>ZA-YJV22-0.6/1kV  5x16mm2</w:t>
            </w:r>
          </w:p>
        </w:tc>
        <w:tc>
          <w:tcPr>
            <w:tcW w:w="742"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550m</w:t>
            </w: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阻燃级别：A级，铠装，整条电缆</w:t>
            </w:r>
          </w:p>
        </w:tc>
      </w:tr>
      <w:tr>
        <w:tblPrEx>
          <w:tblCellMar>
            <w:top w:w="0" w:type="dxa"/>
            <w:left w:w="108" w:type="dxa"/>
            <w:bottom w:w="0" w:type="dxa"/>
            <w:right w:w="108" w:type="dxa"/>
          </w:tblCellMar>
        </w:tblPrEx>
        <w:trPr>
          <w:trHeight w:val="720" w:hRule="atLeast"/>
        </w:trPr>
        <w:tc>
          <w:tcPr>
            <w:tcW w:w="666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合计：</w:t>
            </w:r>
          </w:p>
        </w:tc>
        <w:tc>
          <w:tcPr>
            <w:tcW w:w="311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ind w:right="420"/>
              <w:rPr>
                <w:rFonts w:asciiTheme="majorEastAsia" w:hAnsiTheme="majorEastAsia" w:eastAsiaTheme="majorEastAsia"/>
                <w:b/>
                <w:bCs/>
                <w:sz w:val="21"/>
                <w:szCs w:val="21"/>
                <w:lang w:eastAsia="zh-CN"/>
              </w:rPr>
            </w:pPr>
          </w:p>
        </w:tc>
      </w:tr>
    </w:tbl>
    <w:p>
      <w:pPr>
        <w:pStyle w:val="25"/>
        <w:numPr>
          <w:ilvl w:val="0"/>
          <w:numId w:val="4"/>
        </w:numPr>
        <w:spacing w:before="0"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合同标的和合同价格</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合同价格为</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元整，含税价，税率</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上述金额包含了乙方提供本合同约定的产品及相应服务（如有）的全部价格，除非另有约定，甲方不再承担其他费用。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2、交货：</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2.1交货方式：</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送货到现场</w:t>
      </w:r>
      <w:r>
        <w:rPr>
          <w:rFonts w:asciiTheme="majorEastAsia" w:hAnsiTheme="majorEastAsia" w:eastAsiaTheme="majorEastAsia"/>
          <w:sz w:val="24"/>
          <w:u w:val="single"/>
          <w:lang w:eastAsia="zh-CN"/>
        </w:rPr>
        <w:t xml:space="preserve">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2.2交货地点：运送到</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腾龙芳烃（漳州）有限公司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2.3交货时间：</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2.4乙方提供产品并承担运输过程中发生的一切费用。在产品交付给甲方之前，相关的毁损、灭失等风险均由乙方自行承担。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3、付款方式与条件</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3.1 预付款：无</w:t>
      </w:r>
    </w:p>
    <w:p>
      <w:pPr>
        <w:pStyle w:val="2"/>
        <w:spacing w:line="360" w:lineRule="auto"/>
        <w:rPr>
          <w:rFonts w:asciiTheme="majorEastAsia" w:hAnsiTheme="majorEastAsia" w:eastAsiaTheme="majorEastAsia"/>
          <w:sz w:val="24"/>
        </w:rPr>
      </w:pPr>
      <w:r>
        <w:rPr>
          <w:rFonts w:hint="eastAsia"/>
          <w:sz w:val="24"/>
          <w:szCs w:val="24"/>
        </w:rPr>
        <w:t xml:space="preserve">  3.2 到货</w:t>
      </w:r>
      <w:r>
        <w:rPr>
          <w:rFonts w:hint="eastAsia" w:asciiTheme="majorEastAsia" w:hAnsiTheme="majorEastAsia" w:eastAsiaTheme="majorEastAsia"/>
          <w:sz w:val="24"/>
        </w:rPr>
        <w:t>验收款：货到现场，按合同约定标准经甲方验收合格，且收到乙方全额增值税专用发票后，甲方支付合同总价的</w:t>
      </w:r>
      <w:r>
        <w:rPr>
          <w:rFonts w:hint="eastAsia" w:asciiTheme="majorEastAsia" w:hAnsiTheme="majorEastAsia" w:eastAsiaTheme="majorEastAsia"/>
          <w:sz w:val="24"/>
          <w:u w:val="single"/>
        </w:rPr>
        <w:t>90%</w:t>
      </w:r>
      <w:r>
        <w:rPr>
          <w:rFonts w:hint="eastAsia" w:asciiTheme="majorEastAsia" w:hAnsiTheme="majorEastAsia" w:eastAsiaTheme="majorEastAsia"/>
          <w:sz w:val="24"/>
        </w:rPr>
        <w:t>作为到货验收款，即￥</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元；</w:t>
      </w:r>
    </w:p>
    <w:p>
      <w:pPr>
        <w:spacing w:line="360" w:lineRule="auto"/>
        <w:ind w:firstLine="240" w:firstLineChars="100"/>
        <w:rPr>
          <w:sz w:val="24"/>
          <w:szCs w:val="24"/>
          <w:lang w:eastAsia="zh-CN"/>
        </w:rPr>
      </w:pPr>
      <w:r>
        <w:rPr>
          <w:rFonts w:hint="eastAsia" w:asciiTheme="majorEastAsia" w:hAnsiTheme="majorEastAsia" w:eastAsiaTheme="majorEastAsia"/>
          <w:sz w:val="24"/>
          <w:lang w:eastAsia="zh-CN"/>
        </w:rPr>
        <w:t xml:space="preserve">3.3 </w:t>
      </w:r>
      <w:r>
        <w:rPr>
          <w:rFonts w:hint="eastAsia"/>
          <w:sz w:val="24"/>
          <w:szCs w:val="24"/>
          <w:lang w:eastAsia="zh-CN"/>
        </w:rPr>
        <w:t>质保款：合同总价10%作为质保款，质保期为12个月，期满后无任何质量问题，甲方20个工作日内无息返还。</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说明：如未来国家税率变动，应在不含税金额的基础上以新税率调整含税金额后进行付款。</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4、质量要求和技术标准</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4.1 乙方所提供的货物必须是原包装（含货物质量合格证书）产品，质量必须符合国家标准或行业标准以及原厂出厂标准（以说明书为准），如产品不符合本合同中约定的要求，甲方有权拒绝接受。</w:t>
      </w:r>
    </w:p>
    <w:p>
      <w:pPr>
        <w:pStyle w:val="2"/>
        <w:spacing w:line="360" w:lineRule="auto"/>
        <w:ind w:firstLine="240" w:firstLineChars="100"/>
        <w:rPr>
          <w:sz w:val="24"/>
          <w:szCs w:val="24"/>
        </w:rPr>
      </w:pPr>
      <w:r>
        <w:rPr>
          <w:rFonts w:hint="eastAsia"/>
          <w:sz w:val="24"/>
          <w:szCs w:val="24"/>
        </w:rPr>
        <w:t>4.2</w:t>
      </w:r>
      <w:r>
        <w:rPr>
          <w:rFonts w:hint="eastAsia" w:asciiTheme="majorEastAsia" w:hAnsiTheme="majorEastAsia" w:eastAsiaTheme="majorEastAsia"/>
          <w:sz w:val="24"/>
        </w:rPr>
        <w:t>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hint="eastAsia" w:asciiTheme="majorEastAsia" w:hAnsiTheme="majorEastAsia" w:eastAsiaTheme="majorEastAsia"/>
          <w:sz w:val="24"/>
          <w:u w:val="single"/>
        </w:rPr>
        <w:t>12个月</w:t>
      </w:r>
      <w:r>
        <w:rPr>
          <w:rFonts w:hint="eastAsia" w:asciiTheme="majorEastAsia" w:hAnsiTheme="majorEastAsia" w:eastAsiaTheme="majorEastAsia"/>
          <w:sz w:val="24"/>
        </w:rPr>
        <w:t>）内，乙方应当对其交付的产品承担质量保证责任，所需费用由乙方承担。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4.3 除合同另有规定外，乙方提供的全部货物均应按甲方要求的标准采取保护措施进行包装。该包装应适应于远距离运输、防潮、防震、防锈和防野蛮装卸，以确保货物安全无损运抵指定地点。由于包装不善所引起货物损失均由乙方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4.4乙方不按本合同约定交付产品所产生的任何费用由乙方自己承担。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5、安装调试、技术服务、人员培训及技术资料</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5.1乙方为甲方提供下列服务（具体以在□内打“√”为准）</w:t>
      </w:r>
    </w:p>
    <w:p>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22404436"/>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安装调试：</w:t>
      </w:r>
      <w:r>
        <w:rPr>
          <w:rFonts w:hint="eastAsia" w:asciiTheme="majorEastAsia" w:hAnsiTheme="majorEastAsia" w:eastAsiaTheme="majorEastAsia"/>
          <w:sz w:val="24"/>
          <w:u w:val="single"/>
          <w:lang w:eastAsia="zh-CN"/>
        </w:rPr>
        <w:t xml:space="preserve">    /   </w:t>
      </w:r>
    </w:p>
    <w:p>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019545688"/>
        </w:sdtPr>
        <w:sdtEndPr>
          <w:rPr>
            <w:rFonts w:hint="eastAsia" w:asciiTheme="majorEastAsia" w:hAnsiTheme="majorEastAsia" w:eastAsiaTheme="majorEastAsia"/>
            <w:sz w:val="24"/>
          </w:rPr>
        </w:sdtEndPr>
        <w:sdtContent>
          <w:sdt>
            <w:sdtPr>
              <w:rPr>
                <w:rFonts w:hint="eastAsia" w:asciiTheme="majorEastAsia" w:hAnsiTheme="majorEastAsia" w:eastAsiaTheme="majorEastAsia"/>
                <w:sz w:val="24"/>
              </w:rPr>
              <w:id w:val="22900620"/>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sdtContent>
      </w:sdt>
      <w:r>
        <w:rPr>
          <w:rFonts w:hint="eastAsia" w:asciiTheme="majorEastAsia" w:hAnsiTheme="majorEastAsia" w:eastAsiaTheme="majorEastAsia"/>
          <w:sz w:val="24"/>
          <w:lang w:eastAsia="zh-CN"/>
        </w:rPr>
        <w:t>技术服务：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w:t>
      </w:r>
      <w:r>
        <w:rPr>
          <w:rFonts w:asciiTheme="majorEastAsia" w:hAnsiTheme="majorEastAsia" w:eastAsiaTheme="majorEastAsia"/>
          <w:sz w:val="24"/>
          <w:u w:val="single"/>
          <w:lang w:eastAsia="zh-CN"/>
        </w:rPr>
        <w:t xml:space="preserve">    </w:t>
      </w:r>
    </w:p>
    <w:p>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1427537698"/>
        </w:sdtPr>
        <w:sdtEndPr>
          <w:rPr>
            <w:rFonts w:hint="eastAsia" w:asciiTheme="majorEastAsia" w:hAnsiTheme="majorEastAsia" w:eastAsiaTheme="majorEastAsia"/>
            <w:sz w:val="24"/>
          </w:rPr>
        </w:sdtEndPr>
        <w:sdtContent>
          <w:sdt>
            <w:sdtPr>
              <w:rPr>
                <w:rFonts w:hint="eastAsia" w:asciiTheme="majorEastAsia" w:hAnsiTheme="majorEastAsia" w:eastAsiaTheme="majorEastAsia"/>
                <w:sz w:val="24"/>
              </w:rPr>
              <w:id w:val="22900621"/>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sdtContent>
      </w:sdt>
      <w:r>
        <w:rPr>
          <w:rFonts w:hint="eastAsia" w:asciiTheme="majorEastAsia" w:hAnsiTheme="majorEastAsia" w:eastAsiaTheme="majorEastAsia"/>
          <w:sz w:val="24"/>
          <w:lang w:eastAsia="zh-CN"/>
        </w:rPr>
        <w:t>人员培训：</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w:t>
      </w:r>
      <w:r>
        <w:rPr>
          <w:rFonts w:asciiTheme="majorEastAsia" w:hAnsiTheme="majorEastAsia" w:eastAsiaTheme="majorEastAsia"/>
          <w:sz w:val="24"/>
          <w:u w:val="single"/>
          <w:lang w:eastAsia="zh-CN"/>
        </w:rPr>
        <w:t xml:space="preserve">   </w:t>
      </w:r>
    </w:p>
    <w:p>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252738078"/>
        </w:sdtPr>
        <w:sdtEndPr>
          <w:rPr>
            <w:rFonts w:hint="eastAsia" w:asciiTheme="majorEastAsia" w:hAnsiTheme="majorEastAsia" w:eastAsiaTheme="majorEastAsia"/>
            <w:sz w:val="24"/>
          </w:rPr>
        </w:sdtEndPr>
        <w:sdtContent>
          <w:sdt>
            <w:sdtPr>
              <w:rPr>
                <w:rFonts w:hint="eastAsia" w:asciiTheme="majorEastAsia" w:hAnsiTheme="majorEastAsia" w:eastAsiaTheme="majorEastAsia"/>
                <w:sz w:val="24"/>
              </w:rPr>
              <w:id w:val="22900622"/>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sdtContent>
      </w:sdt>
      <w:r>
        <w:rPr>
          <w:rFonts w:hint="eastAsia" w:asciiTheme="majorEastAsia" w:hAnsiTheme="majorEastAsia" w:eastAsiaTheme="majorEastAsia"/>
          <w:sz w:val="24"/>
          <w:lang w:eastAsia="zh-CN"/>
        </w:rPr>
        <w:t>技术资料：</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w:t>
      </w:r>
      <w:r>
        <w:rPr>
          <w:rFonts w:asciiTheme="majorEastAsia" w:hAnsiTheme="majorEastAsia" w:eastAsiaTheme="majorEastAsia"/>
          <w:sz w:val="24"/>
          <w:u w:val="single"/>
          <w:lang w:eastAsia="zh-CN"/>
        </w:rPr>
        <w:t xml:space="preserve">   </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6、验收</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6.1 货物的货到验收包括：型号、规格、数量、外观质量、及货物包装是否完好。</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6.2 乙方对一次开箱不合格（产品有质量故障）的产品予以换新，承担一切与之有关的费用。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6.3 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6.4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7、质量保证</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8、违约责任</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8.1 乙方逾期交货的，每日按照合同总额的</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0.1</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%向甲方支付违约金，逾期超过</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日的，甲方还有权解除合同，并要求乙方一次性支付合同总额</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%的违约金。乙方部分交货不合格的，均按照逾期交货处理。</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8.2 乙方交付的产品经甲方验收不合格的，应根据甲方要求进行更换或采取其他补救措施。累计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3</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次验收不合格的，甲方还有权解除合同、拒绝支付任何费用。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8.3 </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8.4 一方的违约行为给对方造成的损失超过本合同约定的违约金数额的，超出部分，违约方应予以赔偿。</w:t>
      </w:r>
    </w:p>
    <w:p>
      <w:pPr>
        <w:spacing w:line="360" w:lineRule="auto"/>
        <w:ind w:firstLine="120" w:firstLineChars="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9、法律的适用及争议解决方式</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9.1、本合同的效力、解释及履行均适用中华人民共和国法律。</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9.2、因本合同履行过程中引起的任何争议，双方应及时友好协商解决。协商不成的，向甲方所在地的人民法院提起诉讼。</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10、 合同变更与解除： </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除本合同另有约定或法律规定外，非经双方协商一致，任何一方均不得擅自变更或解除合同。合同变更或解除须采取书面形式。</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11、通知</w:t>
      </w:r>
    </w:p>
    <w:p>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12、本合同一式陆份，经双方盖章后生效，甲方执肆份、乙方执贰份，合同与附件具有同等效力。</w:t>
      </w:r>
    </w:p>
    <w:p>
      <w:pPr>
        <w:pStyle w:val="2"/>
        <w:spacing w:line="360" w:lineRule="auto"/>
        <w:rPr>
          <w:sz w:val="24"/>
          <w:szCs w:val="24"/>
        </w:rPr>
      </w:pPr>
      <w:r>
        <w:rPr>
          <w:rFonts w:hint="eastAsia"/>
          <w:sz w:val="24"/>
          <w:szCs w:val="24"/>
        </w:rPr>
        <w:t>13、附件：1）动力箱系统图及原理图</w:t>
      </w:r>
    </w:p>
    <w:p>
      <w:pPr>
        <w:pStyle w:val="2"/>
        <w:spacing w:line="360" w:lineRule="auto"/>
        <w:rPr>
          <w:sz w:val="24"/>
          <w:szCs w:val="24"/>
        </w:rPr>
      </w:pPr>
      <w:r>
        <w:rPr>
          <w:rFonts w:hint="eastAsia"/>
          <w:sz w:val="24"/>
          <w:szCs w:val="24"/>
        </w:rPr>
        <w:t xml:space="preserve">          2）电动阀动力箱系统图</w:t>
      </w:r>
    </w:p>
    <w:tbl>
      <w:tblPr>
        <w:tblStyle w:val="20"/>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甲方：</w:t>
            </w:r>
          </w:p>
          <w:p>
            <w:pPr>
              <w:spacing w:line="360" w:lineRule="auto"/>
              <w:ind w:firstLine="723" w:firstLineChars="300"/>
              <w:jc w:val="both"/>
              <w:rPr>
                <w:rFonts w:asciiTheme="majorEastAsia" w:hAnsiTheme="majorEastAsia" w:eastAsiaTheme="majorEastAsia"/>
                <w:sz w:val="24"/>
                <w:lang w:eastAsia="zh-CN"/>
              </w:rPr>
            </w:pPr>
            <w:r>
              <w:rPr>
                <w:rFonts w:hint="eastAsia" w:asciiTheme="majorEastAsia" w:hAnsiTheme="majorEastAsia" w:eastAsiaTheme="majorEastAsia"/>
                <w:b/>
                <w:sz w:val="24"/>
                <w:lang w:eastAsia="zh-CN"/>
              </w:rPr>
              <w:t>腾龙芳烃（漳州）有限公司</w:t>
            </w:r>
          </w:p>
        </w:tc>
        <w:tc>
          <w:tcPr>
            <w:tcW w:w="4821"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乙方：</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4960" w:type="dxa"/>
            <w:vAlign w:val="center"/>
          </w:tcPr>
          <w:p>
            <w:pPr>
              <w:spacing w:line="360" w:lineRule="auto"/>
              <w:ind w:left="720" w:hanging="720" w:hangingChars="3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地址：福建省漳州市古雷港经济开发区腾龙路84号</w:t>
            </w:r>
          </w:p>
        </w:tc>
        <w:tc>
          <w:tcPr>
            <w:tcW w:w="4821" w:type="dxa"/>
            <w:vAlign w:val="center"/>
          </w:tcPr>
          <w:p>
            <w:pPr>
              <w:spacing w:line="360" w:lineRule="auto"/>
              <w:ind w:left="720" w:hanging="720" w:hangingChars="3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电话：0596-6311083</w:t>
            </w:r>
          </w:p>
        </w:tc>
        <w:tc>
          <w:tcPr>
            <w:tcW w:w="4821"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ind w:left="1200" w:hanging="1200" w:hangingChars="5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开户银行：兴业银行漳州古雷支行</w:t>
            </w:r>
          </w:p>
        </w:tc>
        <w:tc>
          <w:tcPr>
            <w:tcW w:w="4821"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账号：</w:t>
            </w:r>
            <w:r>
              <w:rPr>
                <w:rFonts w:asciiTheme="majorEastAsia" w:hAnsiTheme="majorEastAsia" w:eastAsiaTheme="majorEastAsia"/>
                <w:sz w:val="24"/>
              </w:rPr>
              <w:t>1620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7010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0100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0210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71</w:t>
            </w:r>
          </w:p>
        </w:tc>
        <w:tc>
          <w:tcPr>
            <w:tcW w:w="4821"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税号：9135 0600 7178 6670 9A</w:t>
            </w:r>
          </w:p>
        </w:tc>
        <w:tc>
          <w:tcPr>
            <w:tcW w:w="4821"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lang w:eastAsia="zh-CN"/>
              </w:rPr>
              <w:t>税号：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rPr>
            </w:pPr>
          </w:p>
        </w:tc>
        <w:tc>
          <w:tcPr>
            <w:tcW w:w="4821" w:type="dxa"/>
            <w:vAlign w:val="center"/>
          </w:tcPr>
          <w:p>
            <w:pPr>
              <w:spacing w:line="360" w:lineRule="auto"/>
              <w:jc w:val="both"/>
              <w:rPr>
                <w:rFonts w:asciiTheme="majorEastAsia" w:hAnsiTheme="majorEastAsia" w:eastAsiaTheme="majorEastAsia"/>
                <w:sz w:val="24"/>
              </w:rPr>
            </w:pPr>
          </w:p>
        </w:tc>
      </w:tr>
      <w:bookmarkEnd w:id="9"/>
    </w:tbl>
    <w:p>
      <w:pPr>
        <w:rPr>
          <w:rFonts w:hAnsi="Calibri" w:cs="Times New Roman"/>
          <w:b/>
          <w:bCs/>
          <w:sz w:val="32"/>
          <w:szCs w:val="32"/>
          <w:lang w:eastAsia="zh-CN"/>
        </w:rPr>
      </w:pPr>
    </w:p>
    <w:p>
      <w:pPr>
        <w:pStyle w:val="2"/>
        <w:rPr>
          <w:b/>
          <w:sz w:val="28"/>
          <w:szCs w:val="28"/>
        </w:rPr>
      </w:pPr>
    </w:p>
    <w:p>
      <w:pPr>
        <w:tabs>
          <w:tab w:val="left" w:pos="1260"/>
          <w:tab w:val="left" w:pos="1800"/>
        </w:tabs>
        <w:spacing w:line="360" w:lineRule="auto"/>
        <w:ind w:firstLine="723" w:firstLineChars="225"/>
        <w:rPr>
          <w:b/>
          <w:color w:val="000000"/>
          <w:sz w:val="32"/>
          <w:szCs w:val="32"/>
          <w:lang w:eastAsia="zh-CN"/>
        </w:rPr>
      </w:pPr>
      <w:r>
        <w:rPr>
          <w:rFonts w:hint="eastAsia"/>
          <w:b/>
          <w:color w:val="000000"/>
          <w:sz w:val="32"/>
          <w:szCs w:val="32"/>
          <w:lang w:eastAsia="zh-CN"/>
        </w:rPr>
        <w:t>附件二：参选文件格式</w:t>
      </w:r>
    </w:p>
    <w:p>
      <w:pPr>
        <w:pStyle w:val="2"/>
        <w:rPr>
          <w:b/>
          <w:sz w:val="28"/>
          <w:szCs w:val="28"/>
        </w:rPr>
      </w:pPr>
    </w:p>
    <w:p>
      <w:pPr>
        <w:pStyle w:val="2"/>
        <w:rPr>
          <w:b/>
          <w:sz w:val="28"/>
          <w:szCs w:val="28"/>
        </w:rPr>
      </w:pPr>
    </w:p>
    <w:p>
      <w:pPr>
        <w:pStyle w:val="2"/>
        <w:rPr>
          <w:b/>
          <w:sz w:val="28"/>
          <w:szCs w:val="28"/>
        </w:rPr>
      </w:pPr>
    </w:p>
    <w:p>
      <w:pPr>
        <w:pStyle w:val="2"/>
        <w:rPr>
          <w:b/>
          <w:sz w:val="28"/>
          <w:szCs w:val="28"/>
        </w:rPr>
      </w:pPr>
      <w:r>
        <w:rPr>
          <w:rFonts w:hint="eastAsia"/>
          <w:b/>
          <w:sz w:val="28"/>
          <w:szCs w:val="28"/>
        </w:rPr>
        <w:t>一、</w:t>
      </w:r>
    </w:p>
    <w:p>
      <w:pPr>
        <w:pStyle w:val="10"/>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参选单位企业概况（包含但不限于企业简介、营业执照、开户许可证、经营状况等其他可以证明参选人的相关材料，凡弄虚作假的，一经查实，比选人有权取消其中选资格）。</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sz w:val="28"/>
          <w:szCs w:val="28"/>
        </w:rPr>
      </w:pPr>
      <w:r>
        <w:rPr>
          <w:rFonts w:hint="eastAsia"/>
          <w:b/>
          <w:sz w:val="28"/>
          <w:szCs w:val="28"/>
        </w:rPr>
        <w:t>二、</w:t>
      </w: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spacing w:line="500" w:lineRule="exact"/>
        <w:jc w:val="both"/>
        <w:rPr>
          <w:b/>
          <w:sz w:val="28"/>
          <w:szCs w:val="28"/>
          <w:lang w:eastAsia="zh-CN"/>
        </w:rPr>
      </w:pPr>
    </w:p>
    <w:p>
      <w:pPr>
        <w:pStyle w:val="2"/>
      </w:pPr>
    </w:p>
    <w:p>
      <w:pPr>
        <w:spacing w:line="500" w:lineRule="exact"/>
        <w:jc w:val="both"/>
        <w:rPr>
          <w:b/>
          <w:bCs/>
          <w:sz w:val="28"/>
          <w:szCs w:val="28"/>
          <w:lang w:eastAsia="zh-CN"/>
        </w:rPr>
      </w:pPr>
      <w:r>
        <w:rPr>
          <w:rFonts w:hint="eastAsia"/>
          <w:b/>
          <w:sz w:val="28"/>
          <w:szCs w:val="28"/>
          <w:lang w:eastAsia="zh-CN"/>
        </w:rPr>
        <w:t>三、</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电气材料采购</w:t>
      </w:r>
      <w:r>
        <w:rPr>
          <w:rFonts w:hint="eastAsia"/>
          <w:sz w:val="24"/>
          <w:lang w:eastAsia="zh-CN"/>
        </w:rPr>
        <w:t>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b/>
          <w:sz w:val="28"/>
          <w:szCs w:val="28"/>
          <w:lang w:eastAsia="zh-CN"/>
        </w:rPr>
      </w:pPr>
      <w:r>
        <w:rPr>
          <w:rFonts w:hint="eastAsia"/>
          <w:b/>
          <w:sz w:val="28"/>
          <w:szCs w:val="28"/>
          <w:lang w:eastAsia="zh-CN"/>
        </w:rPr>
        <w:t>四、</w:t>
      </w:r>
    </w:p>
    <w:p>
      <w:pPr>
        <w:pStyle w:val="2"/>
      </w:pPr>
    </w:p>
    <w:p>
      <w:pPr>
        <w:pStyle w:val="2"/>
      </w:pPr>
    </w:p>
    <w:p>
      <w:pPr>
        <w:pStyle w:val="2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inorEastAsia" w:hAnsiTheme="minorEastAsia" w:eastAsiaTheme="minorEastAsia"/>
          <w:sz w:val="24"/>
          <w:szCs w:val="24"/>
          <w:u w:val="single"/>
          <w:lang w:eastAsia="zh-CN"/>
        </w:rPr>
        <w:t>电气材料采购</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7"/>
        <w:spacing w:beforeLines="0" w:afterLines="0" w:line="240" w:lineRule="auto"/>
        <w:ind w:firstLine="562"/>
        <w:rPr>
          <w:rFonts w:cs="Times New Roman"/>
          <w:b/>
          <w:bCs w:val="0"/>
          <w:lang w:eastAsia="zh-CN"/>
        </w:rPr>
      </w:pPr>
      <w:r>
        <w:rPr>
          <w:rFonts w:hint="eastAsia" w:cs="Times New Roman"/>
          <w:b/>
          <w:bCs w:val="0"/>
          <w:lang w:eastAsia="zh-CN"/>
        </w:rPr>
        <w:t>五、</w:t>
      </w:r>
    </w:p>
    <w:p>
      <w:pPr>
        <w:pStyle w:val="2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参选报价单</w:t>
      </w:r>
    </w:p>
    <w:p>
      <w:pPr>
        <w:pStyle w:val="27"/>
        <w:spacing w:beforeLines="0" w:afterLines="0"/>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27"/>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inorEastAsia" w:hAnsiTheme="minorEastAsia" w:eastAsiaTheme="minorEastAsia"/>
          <w:sz w:val="24"/>
          <w:szCs w:val="24"/>
          <w:u w:val="single"/>
          <w:lang w:eastAsia="zh-CN"/>
        </w:rPr>
        <w:t>电气材料</w:t>
      </w:r>
      <w:r>
        <w:rPr>
          <w:rFonts w:hint="eastAsia" w:asciiTheme="majorEastAsia" w:hAnsiTheme="majorEastAsia" w:eastAsiaTheme="majorEastAsia"/>
          <w:sz w:val="24"/>
          <w:szCs w:val="24"/>
          <w:u w:val="single"/>
          <w:lang w:eastAsia="zh-CN"/>
        </w:rPr>
        <w:t xml:space="preserve">采购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 xml:space="preserve">元 </w:t>
      </w:r>
    </w:p>
    <w:p>
      <w:pPr>
        <w:pStyle w:val="2"/>
        <w:spacing w:line="360" w:lineRule="auto"/>
        <w:rPr>
          <w:sz w:val="24"/>
          <w:szCs w:val="24"/>
        </w:rPr>
      </w:pPr>
      <w:r>
        <w:rPr>
          <w:rFonts w:hint="eastAsia"/>
        </w:rPr>
        <w:t xml:space="preserve">       </w:t>
      </w:r>
      <w:r>
        <w:rPr>
          <w:rFonts w:hint="eastAsia"/>
          <w:sz w:val="24"/>
          <w:szCs w:val="24"/>
        </w:rPr>
        <w:t>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2、付款方式：1）无预付款 ；</w:t>
      </w:r>
    </w:p>
    <w:p>
      <w:pPr>
        <w:pStyle w:val="2"/>
        <w:spacing w:line="360" w:lineRule="auto"/>
        <w:rPr>
          <w:sz w:val="24"/>
          <w:szCs w:val="24"/>
        </w:rPr>
      </w:pPr>
      <w:r>
        <w:rPr>
          <w:rFonts w:hint="eastAsia"/>
          <w:sz w:val="24"/>
          <w:szCs w:val="24"/>
        </w:rPr>
        <w:t xml:space="preserve">                        2）货到现场，验收合格后支付合同款的90%；</w:t>
      </w:r>
    </w:p>
    <w:p>
      <w:pPr>
        <w:pStyle w:val="2"/>
        <w:spacing w:line="360" w:lineRule="auto"/>
        <w:ind w:left="3240" w:hanging="3240" w:hangingChars="1350"/>
        <w:rPr>
          <w:sz w:val="24"/>
          <w:szCs w:val="24"/>
        </w:rPr>
      </w:pPr>
      <w:r>
        <w:rPr>
          <w:rFonts w:hint="eastAsia"/>
          <w:sz w:val="24"/>
          <w:szCs w:val="24"/>
        </w:rPr>
        <w:t xml:space="preserve">                        3）合同款的10%为质保金，质保期为12个月。</w:t>
      </w:r>
    </w:p>
    <w:p>
      <w:pPr>
        <w:pStyle w:val="2"/>
        <w:spacing w:line="360" w:lineRule="auto"/>
        <w:rPr>
          <w:sz w:val="24"/>
          <w:szCs w:val="24"/>
          <w:u w:val="single"/>
        </w:rPr>
      </w:pPr>
      <w:r>
        <w:rPr>
          <w:rFonts w:hint="eastAsia"/>
          <w:sz w:val="24"/>
          <w:szCs w:val="24"/>
        </w:rPr>
        <w:t xml:space="preserve">           3、供货期限：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7"/>
        <w:spacing w:beforeLines="0" w:afterLines="0"/>
        <w:ind w:firstLine="0" w:firstLineChars="0"/>
        <w:rPr>
          <w:lang w:eastAsia="zh-CN"/>
        </w:rPr>
      </w:pPr>
    </w:p>
    <w:p>
      <w:pPr>
        <w:pStyle w:val="27"/>
        <w:spacing w:beforeLines="0" w:afterLines="0"/>
        <w:ind w:firstLine="0" w:firstLineChars="0"/>
        <w:rPr>
          <w:lang w:eastAsia="zh-CN"/>
        </w:rPr>
      </w:pPr>
    </w:p>
    <w:p>
      <w:pPr>
        <w:pStyle w:val="27"/>
        <w:spacing w:beforeLines="0" w:afterLines="0"/>
        <w:ind w:firstLine="0" w:firstLineChars="0"/>
        <w:rPr>
          <w:lang w:eastAsia="zh-CN"/>
        </w:rPr>
      </w:pPr>
    </w:p>
    <w:p>
      <w:pPr>
        <w:pStyle w:val="27"/>
        <w:spacing w:beforeLines="0" w:afterLines="0"/>
        <w:ind w:firstLine="0" w:firstLineChars="0"/>
        <w:rPr>
          <w:lang w:eastAsia="zh-CN"/>
        </w:rPr>
      </w:pPr>
    </w:p>
    <w:p>
      <w:pPr>
        <w:pStyle w:val="27"/>
        <w:spacing w:beforeLines="0" w:afterLines="0"/>
        <w:ind w:firstLine="0" w:firstLineChars="0"/>
        <w:rPr>
          <w:lang w:eastAsia="zh-CN"/>
        </w:rPr>
      </w:pPr>
    </w:p>
    <w:p>
      <w:pPr>
        <w:pStyle w:val="27"/>
        <w:spacing w:beforeLines="0" w:afterLines="0"/>
        <w:ind w:firstLine="0" w:firstLineChars="0"/>
        <w:rPr>
          <w:lang w:eastAsia="zh-CN"/>
        </w:rPr>
      </w:pPr>
    </w:p>
    <w:p>
      <w:pPr>
        <w:pStyle w:val="27"/>
        <w:spacing w:beforeLines="0" w:afterLines="0"/>
        <w:ind w:firstLine="0" w:firstLineChars="0"/>
        <w:rPr>
          <w:lang w:eastAsia="zh-CN"/>
        </w:rPr>
      </w:pPr>
    </w:p>
    <w:p>
      <w:pPr>
        <w:pStyle w:val="27"/>
        <w:spacing w:beforeLines="0" w:afterLines="0"/>
        <w:ind w:firstLine="0" w:firstLineChars="0"/>
        <w:rPr>
          <w:lang w:eastAsia="zh-CN"/>
        </w:rPr>
      </w:pPr>
    </w:p>
    <w:p>
      <w:pPr>
        <w:pStyle w:val="27"/>
        <w:spacing w:beforeLines="0" w:afterLines="0"/>
        <w:ind w:firstLine="0" w:firstLineChars="0"/>
        <w:rPr>
          <w:lang w:eastAsia="zh-CN"/>
        </w:rPr>
      </w:pPr>
    </w:p>
    <w:p>
      <w:pPr>
        <w:pStyle w:val="27"/>
        <w:spacing w:beforeLines="0" w:afterLines="0"/>
        <w:ind w:firstLine="0" w:firstLineChars="0"/>
        <w:rPr>
          <w:lang w:eastAsia="zh-CN"/>
        </w:rPr>
      </w:pPr>
    </w:p>
    <w:p>
      <w:pPr>
        <w:pStyle w:val="27"/>
        <w:spacing w:beforeLines="0" w:afterLines="0"/>
        <w:ind w:firstLine="0" w:firstLineChars="0"/>
        <w:rPr>
          <w:lang w:eastAsia="zh-CN"/>
        </w:rPr>
      </w:pPr>
    </w:p>
    <w:p>
      <w:pPr>
        <w:pStyle w:val="27"/>
        <w:spacing w:beforeLines="0" w:afterLines="0"/>
        <w:ind w:firstLine="0" w:firstLineChars="0"/>
        <w:rPr>
          <w:rFonts w:asciiTheme="majorEastAsia" w:hAnsiTheme="majorEastAsia" w:eastAsiaTheme="majorEastAsia"/>
          <w:sz w:val="24"/>
          <w:lang w:eastAsia="zh-CN"/>
        </w:rPr>
      </w:pPr>
      <w:r>
        <w:rPr>
          <w:rFonts w:hint="eastAsia"/>
          <w:lang w:eastAsia="zh-CN"/>
        </w:rPr>
        <w:t>附表：</w:t>
      </w:r>
    </w:p>
    <w:tbl>
      <w:tblPr>
        <w:tblStyle w:val="19"/>
        <w:tblpPr w:leftFromText="180" w:rightFromText="180" w:vertAnchor="text" w:horzAnchor="margin" w:tblpXSpec="center" w:tblpY="377"/>
        <w:tblW w:w="9781" w:type="dxa"/>
        <w:tblInd w:w="0" w:type="dxa"/>
        <w:tblLayout w:type="autofit"/>
        <w:tblCellMar>
          <w:top w:w="0" w:type="dxa"/>
          <w:left w:w="108" w:type="dxa"/>
          <w:bottom w:w="0" w:type="dxa"/>
          <w:right w:w="108" w:type="dxa"/>
        </w:tblCellMar>
      </w:tblPr>
      <w:tblGrid>
        <w:gridCol w:w="426"/>
        <w:gridCol w:w="1525"/>
        <w:gridCol w:w="3119"/>
        <w:gridCol w:w="742"/>
        <w:gridCol w:w="851"/>
        <w:gridCol w:w="850"/>
        <w:gridCol w:w="2268"/>
      </w:tblGrid>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序号</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名称</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型号规格</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单价</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合计</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备注</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电力电缆</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ZA-YJV22-0.6/1kV 3x185+2x95mm2</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650m</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1.阻燃级别：A级，铠装，整条电缆。</w:t>
            </w:r>
          </w:p>
          <w:p>
            <w:pPr>
              <w:pStyle w:val="2"/>
              <w:rPr>
                <w:sz w:val="21"/>
                <w:szCs w:val="21"/>
              </w:rPr>
            </w:pPr>
            <w:r>
              <w:rPr>
                <w:rFonts w:hint="eastAsia"/>
                <w:sz w:val="21"/>
                <w:szCs w:val="21"/>
              </w:rPr>
              <w:t>2.品牌：江苏上上电缆、宝胜、福建南平太阳、远东电缆</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防爆动力箱（工程塑料）</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总开关电流160A，1个下进线，3个下出线。</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1套</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需技术澄清</w:t>
            </w:r>
          </w:p>
        </w:tc>
      </w:tr>
      <w:tr>
        <w:tblPrEx>
          <w:tblCellMar>
            <w:top w:w="0" w:type="dxa"/>
            <w:left w:w="108" w:type="dxa"/>
            <w:bottom w:w="0" w:type="dxa"/>
            <w:right w:w="108" w:type="dxa"/>
          </w:tblCellMar>
        </w:tblPrEx>
        <w:trPr>
          <w:trHeight w:val="362"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镀锌圆钢</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hAnsi="MS Mincho" w:eastAsia="MS Mincho" w:cs="MS Mincho" w:asciiTheme="majorEastAsia"/>
                <w:sz w:val="21"/>
                <w:szCs w:val="21"/>
                <w:lang w:eastAsia="zh-CN"/>
              </w:rPr>
              <w:t>∅</w:t>
            </w:r>
            <w:r>
              <w:rPr>
                <w:rFonts w:asciiTheme="majorEastAsia" w:hAnsiTheme="majorEastAsia" w:eastAsiaTheme="majorEastAsia"/>
                <w:sz w:val="21"/>
                <w:szCs w:val="21"/>
                <w:lang w:eastAsia="zh-CN"/>
              </w:rPr>
              <w:t>12mm</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150m</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防爆灯具</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100W，LED灯，ExdⅡBT4，Gb；IP65；吊杆灯</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6套</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需技术澄清</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电力电缆</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ZA-YJV22-0.6/1kV  5x4mm2</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200m</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1.阻燃级别：A级，铠装，整条电缆。</w:t>
            </w:r>
          </w:p>
          <w:p>
            <w:pPr>
              <w:widowControl/>
              <w:autoSpaceDE/>
              <w:autoSpaceDN/>
              <w:rPr>
                <w:rFonts w:asciiTheme="majorEastAsia" w:hAnsiTheme="majorEastAsia" w:eastAsiaTheme="majorEastAsia"/>
                <w:sz w:val="21"/>
                <w:szCs w:val="21"/>
                <w:lang w:eastAsia="zh-CN"/>
              </w:rPr>
            </w:pPr>
            <w:r>
              <w:rPr>
                <w:rFonts w:hint="eastAsia"/>
                <w:sz w:val="21"/>
                <w:szCs w:val="21"/>
                <w:lang w:eastAsia="zh-CN"/>
              </w:rPr>
              <w:t>2.品牌：江苏上上电缆、宝胜、福建南平太阳、远东电缆</w:t>
            </w:r>
          </w:p>
        </w:tc>
      </w:tr>
      <w:tr>
        <w:tblPrEx>
          <w:tblCellMar>
            <w:top w:w="0" w:type="dxa"/>
            <w:left w:w="108" w:type="dxa"/>
            <w:bottom w:w="0" w:type="dxa"/>
            <w:right w:w="108" w:type="dxa"/>
          </w:tblCellMar>
        </w:tblPrEx>
        <w:trPr>
          <w:trHeight w:val="489"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铜接线鼻子</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DT185</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15个</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397"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热镀锌槽钢</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10#槽钢</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1根</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6米/根</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不锈花纹钢板</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δ=6\304</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8块</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每块尺寸100x100x6mm；四角打孔，孔径10mm，需技术澄清</w:t>
            </w:r>
          </w:p>
        </w:tc>
      </w:tr>
      <w:tr>
        <w:tblPrEx>
          <w:tblCellMar>
            <w:top w:w="0" w:type="dxa"/>
            <w:left w:w="108" w:type="dxa"/>
            <w:bottom w:w="0" w:type="dxa"/>
            <w:right w:w="108" w:type="dxa"/>
          </w:tblCellMar>
        </w:tblPrEx>
        <w:trPr>
          <w:trHeight w:val="603"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w:t>
            </w:r>
          </w:p>
        </w:tc>
        <w:tc>
          <w:tcPr>
            <w:tcW w:w="1525"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防火堵泥</w:t>
            </w:r>
          </w:p>
        </w:tc>
        <w:tc>
          <w:tcPr>
            <w:tcW w:w="3119"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 xml:space="preserve">耐水性≥3d,无溶涨 耐油性≥7d，无锈蚀 耐火性≥180分钟 </w:t>
            </w:r>
          </w:p>
        </w:tc>
        <w:tc>
          <w:tcPr>
            <w:tcW w:w="742"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50包</w:t>
            </w: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1kg/包</w:t>
            </w:r>
          </w:p>
        </w:tc>
      </w:tr>
      <w:tr>
        <w:tblPrEx>
          <w:tblCellMar>
            <w:top w:w="0" w:type="dxa"/>
            <w:left w:w="108" w:type="dxa"/>
            <w:bottom w:w="0" w:type="dxa"/>
            <w:right w:w="108" w:type="dxa"/>
          </w:tblCellMar>
        </w:tblPrEx>
        <w:trPr>
          <w:trHeight w:val="1009"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w:t>
            </w:r>
          </w:p>
        </w:tc>
        <w:tc>
          <w:tcPr>
            <w:tcW w:w="1525"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防爆电动阀动力箱(工程塑料)</w:t>
            </w:r>
          </w:p>
        </w:tc>
        <w:tc>
          <w:tcPr>
            <w:tcW w:w="3119"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支路数12，支路电流6A回路8个，10A回路4个，总开关电流50A，1个下进线，12个下出线</w:t>
            </w:r>
          </w:p>
        </w:tc>
        <w:tc>
          <w:tcPr>
            <w:tcW w:w="742"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1套</w:t>
            </w: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right w:val="single" w:color="auto" w:sz="4" w:space="0"/>
            </w:tcBorders>
            <w:shd w:val="clear" w:color="auto" w:fill="auto"/>
            <w:vAlign w:val="center"/>
          </w:tcPr>
          <w:p>
            <w:pPr>
              <w:widowControl/>
              <w:autoSpaceDE/>
              <w:autoSpaceDN/>
              <w:rPr>
                <w:rFonts w:hint="eastAsia"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1.需技术澄清</w:t>
            </w:r>
          </w:p>
          <w:p>
            <w:pPr>
              <w:pStyle w:val="2"/>
              <w:jc w:val="left"/>
              <w:rPr>
                <w:sz w:val="21"/>
                <w:szCs w:val="21"/>
              </w:rPr>
            </w:pPr>
            <w:r>
              <w:rPr>
                <w:rFonts w:hint="eastAsia"/>
                <w:sz w:val="21"/>
                <w:szCs w:val="21"/>
              </w:rPr>
              <w:t>2.品牌：华荣科技、创正电气、库柏电气</w:t>
            </w:r>
          </w:p>
        </w:tc>
      </w:tr>
      <w:tr>
        <w:tblPrEx>
          <w:tblCellMar>
            <w:top w:w="0" w:type="dxa"/>
            <w:left w:w="108" w:type="dxa"/>
            <w:bottom w:w="0" w:type="dxa"/>
            <w:right w:w="108" w:type="dxa"/>
          </w:tblCellMar>
        </w:tblPrEx>
        <w:trPr>
          <w:trHeight w:val="678"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w:t>
            </w:r>
          </w:p>
        </w:tc>
        <w:tc>
          <w:tcPr>
            <w:tcW w:w="1525"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rPr>
            </w:pPr>
            <w:r>
              <w:rPr>
                <w:rFonts w:hint="eastAsia" w:asciiTheme="majorEastAsia" w:hAnsiTheme="majorEastAsia" w:eastAsiaTheme="majorEastAsia"/>
                <w:sz w:val="21"/>
                <w:szCs w:val="21"/>
                <w:shd w:val="clear" w:color="auto" w:fill="FFFFFF"/>
              </w:rPr>
              <w:t>电力电缆</w:t>
            </w:r>
          </w:p>
        </w:tc>
        <w:tc>
          <w:tcPr>
            <w:tcW w:w="3119"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rPr>
              <w:t>ZA-YJV22-0.6/1kV  5x16mm2</w:t>
            </w:r>
          </w:p>
        </w:tc>
        <w:tc>
          <w:tcPr>
            <w:tcW w:w="742"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550m</w:t>
            </w: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1.阻燃级别：A级，铠装，整条电缆。</w:t>
            </w:r>
          </w:p>
          <w:p>
            <w:pPr>
              <w:widowControl/>
              <w:autoSpaceDE/>
              <w:autoSpaceDN/>
              <w:rPr>
                <w:rFonts w:asciiTheme="majorEastAsia" w:hAnsiTheme="majorEastAsia" w:eastAsiaTheme="majorEastAsia"/>
                <w:sz w:val="21"/>
                <w:szCs w:val="21"/>
                <w:shd w:val="clear" w:color="auto" w:fill="FFFFFF"/>
                <w:lang w:eastAsia="zh-CN"/>
              </w:rPr>
            </w:pPr>
            <w:r>
              <w:rPr>
                <w:rFonts w:hint="eastAsia"/>
                <w:sz w:val="21"/>
                <w:szCs w:val="21"/>
                <w:lang w:eastAsia="zh-CN"/>
              </w:rPr>
              <w:t>2.品牌：江苏上上电缆、宝胜、福建南平太阳、远东电缆</w:t>
            </w:r>
          </w:p>
        </w:tc>
      </w:tr>
      <w:tr>
        <w:tblPrEx>
          <w:tblCellMar>
            <w:top w:w="0" w:type="dxa"/>
            <w:left w:w="108" w:type="dxa"/>
            <w:bottom w:w="0" w:type="dxa"/>
            <w:right w:w="108" w:type="dxa"/>
          </w:tblCellMar>
        </w:tblPrEx>
        <w:trPr>
          <w:trHeight w:val="720" w:hRule="atLeast"/>
        </w:trPr>
        <w:tc>
          <w:tcPr>
            <w:tcW w:w="666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合计：</w:t>
            </w:r>
          </w:p>
        </w:tc>
        <w:tc>
          <w:tcPr>
            <w:tcW w:w="311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ind w:right="420"/>
              <w:rPr>
                <w:rFonts w:asciiTheme="majorEastAsia" w:hAnsiTheme="majorEastAsia" w:eastAsiaTheme="majorEastAsia"/>
                <w:b/>
                <w:bCs/>
                <w:sz w:val="21"/>
                <w:szCs w:val="21"/>
                <w:lang w:eastAsia="zh-CN"/>
              </w:rPr>
            </w:pPr>
          </w:p>
        </w:tc>
      </w:tr>
    </w:tbl>
    <w:p>
      <w:pPr>
        <w:pStyle w:val="8"/>
        <w:rPr>
          <w:rFonts w:ascii="Times New Roman"/>
          <w:b/>
          <w:bCs/>
          <w:lang w:eastAsia="zh-CN"/>
        </w:rPr>
      </w:pPr>
    </w:p>
    <w:p>
      <w:pPr>
        <w:pStyle w:val="8"/>
        <w:rPr>
          <w:rFonts w:ascii="Times New Roman"/>
          <w:b/>
          <w:bCs/>
          <w:lang w:eastAsia="zh-CN"/>
        </w:rPr>
      </w:pPr>
    </w:p>
    <w:p>
      <w:pPr>
        <w:pStyle w:val="8"/>
        <w:rPr>
          <w:rFonts w:ascii="Times New Roman"/>
          <w:b/>
          <w:bCs/>
          <w:lang w:eastAsia="zh-CN"/>
        </w:rPr>
      </w:pPr>
    </w:p>
    <w:sectPr>
      <w:footerReference r:id="rId4"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Mincho">
    <w:panose1 w:val="02020609040205080304"/>
    <w:charset w:val="80"/>
    <w:family w:val="modern"/>
    <w:pitch w:val="default"/>
    <w:sig w:usb0="A00002BF" w:usb1="68C7FCFB" w:usb2="00000010" w:usb3="00000000" w:csb0="4002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61038"/>
      <w:docPartObj>
        <w:docPartGallery w:val="AutoText"/>
      </w:docPartObj>
    </w:sdtPr>
    <w:sdtContent>
      <w:p>
        <w:pPr>
          <w:pStyle w:val="14"/>
          <w:jc w:val="center"/>
        </w:pPr>
        <w:r>
          <w:fldChar w:fldCharType="begin"/>
        </w:r>
        <w:r>
          <w:instrText xml:space="preserve"> PAGE   \* MERGEFORMAT </w:instrText>
        </w:r>
        <w:r>
          <w:fldChar w:fldCharType="separate"/>
        </w:r>
        <w:r>
          <w:rPr>
            <w:lang w:val="zh-CN"/>
          </w:rPr>
          <w:t>22</w:t>
        </w:r>
        <w:r>
          <w:rPr>
            <w:lang w:val="zh-CN"/>
          </w:rPr>
          <w:fldChar w:fldCharType="end"/>
        </w:r>
      </w:p>
    </w:sdtContent>
  </w:sdt>
  <w:p>
    <w:pPr>
      <w:pStyle w:val="8"/>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
    <w:nsid w:val="147456EB"/>
    <w:multiLevelType w:val="multilevel"/>
    <w:tmpl w:val="147456EB"/>
    <w:lvl w:ilvl="0" w:tentative="0">
      <w:start w:val="2"/>
      <w:numFmt w:val="decimal"/>
      <w:lvlText w:val="%1."/>
      <w:lvlJc w:val="left"/>
      <w:pPr>
        <w:ind w:left="925" w:hanging="360"/>
      </w:pPr>
      <w:rPr>
        <w:rFonts w:hint="default"/>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2">
    <w:nsid w:val="1D7A01EE"/>
    <w:multiLevelType w:val="multilevel"/>
    <w:tmpl w:val="1D7A01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F83F01"/>
    <w:multiLevelType w:val="multilevel"/>
    <w:tmpl w:val="4AF83F01"/>
    <w:lvl w:ilvl="0" w:tentative="0">
      <w:start w:val="1"/>
      <w:numFmt w:val="japaneseCounting"/>
      <w:lvlText w:val="第%1章"/>
      <w:lvlJc w:val="left"/>
      <w:pPr>
        <w:ind w:left="1089" w:hanging="1080"/>
      </w:pPr>
      <w:rPr>
        <w:rFonts w:hint="default"/>
        <w:w w:val="95"/>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6300"/>
    <w:rsid w:val="000202CA"/>
    <w:rsid w:val="00023EC0"/>
    <w:rsid w:val="000324A5"/>
    <w:rsid w:val="00046CE9"/>
    <w:rsid w:val="000507D3"/>
    <w:rsid w:val="000566C1"/>
    <w:rsid w:val="000574D8"/>
    <w:rsid w:val="00057B80"/>
    <w:rsid w:val="00061920"/>
    <w:rsid w:val="00083E6F"/>
    <w:rsid w:val="000A3EC0"/>
    <w:rsid w:val="000B32D4"/>
    <w:rsid w:val="000C5F12"/>
    <w:rsid w:val="000D11B0"/>
    <w:rsid w:val="000D3E61"/>
    <w:rsid w:val="000E01DA"/>
    <w:rsid w:val="000E3D99"/>
    <w:rsid w:val="000E3DF0"/>
    <w:rsid w:val="000E76E8"/>
    <w:rsid w:val="000F1F09"/>
    <w:rsid w:val="000F58B5"/>
    <w:rsid w:val="00102DE0"/>
    <w:rsid w:val="00127930"/>
    <w:rsid w:val="00127CFD"/>
    <w:rsid w:val="00134B8B"/>
    <w:rsid w:val="00136C7D"/>
    <w:rsid w:val="0014265B"/>
    <w:rsid w:val="00144E45"/>
    <w:rsid w:val="0016313A"/>
    <w:rsid w:val="00170AA6"/>
    <w:rsid w:val="00177533"/>
    <w:rsid w:val="00193817"/>
    <w:rsid w:val="001A7CAD"/>
    <w:rsid w:val="001B698B"/>
    <w:rsid w:val="001D129E"/>
    <w:rsid w:val="001E7BAD"/>
    <w:rsid w:val="001F29F9"/>
    <w:rsid w:val="00206E34"/>
    <w:rsid w:val="00223815"/>
    <w:rsid w:val="00226C0B"/>
    <w:rsid w:val="00227556"/>
    <w:rsid w:val="00240817"/>
    <w:rsid w:val="002432A4"/>
    <w:rsid w:val="00255354"/>
    <w:rsid w:val="00261F6C"/>
    <w:rsid w:val="00272C67"/>
    <w:rsid w:val="0028289E"/>
    <w:rsid w:val="002A0C8B"/>
    <w:rsid w:val="002B0A06"/>
    <w:rsid w:val="002C18CA"/>
    <w:rsid w:val="002D2646"/>
    <w:rsid w:val="002E1E41"/>
    <w:rsid w:val="002E210C"/>
    <w:rsid w:val="002F0FE0"/>
    <w:rsid w:val="0030036E"/>
    <w:rsid w:val="00301C87"/>
    <w:rsid w:val="003218EF"/>
    <w:rsid w:val="00322549"/>
    <w:rsid w:val="003352AA"/>
    <w:rsid w:val="00361ABB"/>
    <w:rsid w:val="00365AFE"/>
    <w:rsid w:val="00371CA0"/>
    <w:rsid w:val="00372FA5"/>
    <w:rsid w:val="00395E2D"/>
    <w:rsid w:val="00395E35"/>
    <w:rsid w:val="003A1FDF"/>
    <w:rsid w:val="003A327F"/>
    <w:rsid w:val="003A6BB9"/>
    <w:rsid w:val="003B2D77"/>
    <w:rsid w:val="003B4363"/>
    <w:rsid w:val="003B6081"/>
    <w:rsid w:val="003C6898"/>
    <w:rsid w:val="003D3B50"/>
    <w:rsid w:val="003F1FAC"/>
    <w:rsid w:val="0040417A"/>
    <w:rsid w:val="0040778F"/>
    <w:rsid w:val="004109E6"/>
    <w:rsid w:val="00456A83"/>
    <w:rsid w:val="004624AD"/>
    <w:rsid w:val="0047282D"/>
    <w:rsid w:val="004761E7"/>
    <w:rsid w:val="00480447"/>
    <w:rsid w:val="004835AF"/>
    <w:rsid w:val="0048745A"/>
    <w:rsid w:val="004919EE"/>
    <w:rsid w:val="004D0BAC"/>
    <w:rsid w:val="004D16FD"/>
    <w:rsid w:val="004E0E75"/>
    <w:rsid w:val="00517DCA"/>
    <w:rsid w:val="005247A9"/>
    <w:rsid w:val="005257EA"/>
    <w:rsid w:val="0053306B"/>
    <w:rsid w:val="00540F71"/>
    <w:rsid w:val="0054734D"/>
    <w:rsid w:val="00551549"/>
    <w:rsid w:val="005722E9"/>
    <w:rsid w:val="00595F8F"/>
    <w:rsid w:val="005A7BB0"/>
    <w:rsid w:val="005B4BA0"/>
    <w:rsid w:val="005B66C2"/>
    <w:rsid w:val="005B6DD8"/>
    <w:rsid w:val="005C4060"/>
    <w:rsid w:val="005C43E3"/>
    <w:rsid w:val="005D12E3"/>
    <w:rsid w:val="005E0672"/>
    <w:rsid w:val="005F2E5C"/>
    <w:rsid w:val="0060334B"/>
    <w:rsid w:val="006127B7"/>
    <w:rsid w:val="00614725"/>
    <w:rsid w:val="00645F1C"/>
    <w:rsid w:val="006565A2"/>
    <w:rsid w:val="006607C3"/>
    <w:rsid w:val="00662FD3"/>
    <w:rsid w:val="00667E90"/>
    <w:rsid w:val="00671E1A"/>
    <w:rsid w:val="00680835"/>
    <w:rsid w:val="00683267"/>
    <w:rsid w:val="00687836"/>
    <w:rsid w:val="00692262"/>
    <w:rsid w:val="00693209"/>
    <w:rsid w:val="00693F3C"/>
    <w:rsid w:val="0069733E"/>
    <w:rsid w:val="006A61A9"/>
    <w:rsid w:val="006C66F6"/>
    <w:rsid w:val="006E572C"/>
    <w:rsid w:val="006E61B5"/>
    <w:rsid w:val="006E62DE"/>
    <w:rsid w:val="00701934"/>
    <w:rsid w:val="00703FAF"/>
    <w:rsid w:val="00720216"/>
    <w:rsid w:val="00737EB4"/>
    <w:rsid w:val="00741EB7"/>
    <w:rsid w:val="007425A4"/>
    <w:rsid w:val="00751740"/>
    <w:rsid w:val="007563C8"/>
    <w:rsid w:val="00756B28"/>
    <w:rsid w:val="0076254E"/>
    <w:rsid w:val="0077094C"/>
    <w:rsid w:val="007A3950"/>
    <w:rsid w:val="007A5F7C"/>
    <w:rsid w:val="007A7888"/>
    <w:rsid w:val="007C43CE"/>
    <w:rsid w:val="007D7C61"/>
    <w:rsid w:val="007F1ECE"/>
    <w:rsid w:val="007F5584"/>
    <w:rsid w:val="00805348"/>
    <w:rsid w:val="008179BE"/>
    <w:rsid w:val="00820E36"/>
    <w:rsid w:val="0083261C"/>
    <w:rsid w:val="008427A4"/>
    <w:rsid w:val="00851E64"/>
    <w:rsid w:val="008671DB"/>
    <w:rsid w:val="008736F1"/>
    <w:rsid w:val="008769E8"/>
    <w:rsid w:val="00884873"/>
    <w:rsid w:val="00886356"/>
    <w:rsid w:val="00892302"/>
    <w:rsid w:val="00896532"/>
    <w:rsid w:val="00896A02"/>
    <w:rsid w:val="008A4205"/>
    <w:rsid w:val="008A5545"/>
    <w:rsid w:val="008B177E"/>
    <w:rsid w:val="008C0A12"/>
    <w:rsid w:val="008C21B5"/>
    <w:rsid w:val="008D42F6"/>
    <w:rsid w:val="008D7465"/>
    <w:rsid w:val="00902CEE"/>
    <w:rsid w:val="0090301E"/>
    <w:rsid w:val="009312CA"/>
    <w:rsid w:val="0093351A"/>
    <w:rsid w:val="00943426"/>
    <w:rsid w:val="009621FE"/>
    <w:rsid w:val="00963073"/>
    <w:rsid w:val="00967702"/>
    <w:rsid w:val="00973032"/>
    <w:rsid w:val="00980519"/>
    <w:rsid w:val="0098443A"/>
    <w:rsid w:val="009912D9"/>
    <w:rsid w:val="009A0766"/>
    <w:rsid w:val="009A106C"/>
    <w:rsid w:val="009B3333"/>
    <w:rsid w:val="009B34E7"/>
    <w:rsid w:val="009F1737"/>
    <w:rsid w:val="00A00F4B"/>
    <w:rsid w:val="00A12DF4"/>
    <w:rsid w:val="00A22B2E"/>
    <w:rsid w:val="00A26BD6"/>
    <w:rsid w:val="00A374CB"/>
    <w:rsid w:val="00A414CA"/>
    <w:rsid w:val="00A549D1"/>
    <w:rsid w:val="00A573C6"/>
    <w:rsid w:val="00A7173D"/>
    <w:rsid w:val="00A77229"/>
    <w:rsid w:val="00A84167"/>
    <w:rsid w:val="00A9710D"/>
    <w:rsid w:val="00A97D0E"/>
    <w:rsid w:val="00AA062F"/>
    <w:rsid w:val="00AD20FA"/>
    <w:rsid w:val="00AD4259"/>
    <w:rsid w:val="00AE058E"/>
    <w:rsid w:val="00AE08F0"/>
    <w:rsid w:val="00AE5AF2"/>
    <w:rsid w:val="00AF4539"/>
    <w:rsid w:val="00B065F7"/>
    <w:rsid w:val="00B225BB"/>
    <w:rsid w:val="00B26192"/>
    <w:rsid w:val="00B27085"/>
    <w:rsid w:val="00B44FC3"/>
    <w:rsid w:val="00B705AE"/>
    <w:rsid w:val="00B71ECE"/>
    <w:rsid w:val="00B727BC"/>
    <w:rsid w:val="00B73A92"/>
    <w:rsid w:val="00B75E16"/>
    <w:rsid w:val="00B75EC9"/>
    <w:rsid w:val="00B777E1"/>
    <w:rsid w:val="00B826B4"/>
    <w:rsid w:val="00B841C5"/>
    <w:rsid w:val="00B92675"/>
    <w:rsid w:val="00B93FAE"/>
    <w:rsid w:val="00B966DA"/>
    <w:rsid w:val="00BA29FE"/>
    <w:rsid w:val="00BB01F8"/>
    <w:rsid w:val="00BB500B"/>
    <w:rsid w:val="00BD15B7"/>
    <w:rsid w:val="00BD3682"/>
    <w:rsid w:val="00BD562D"/>
    <w:rsid w:val="00BF41E6"/>
    <w:rsid w:val="00BF5ECE"/>
    <w:rsid w:val="00BF68B8"/>
    <w:rsid w:val="00C0167E"/>
    <w:rsid w:val="00C03A00"/>
    <w:rsid w:val="00C10120"/>
    <w:rsid w:val="00C13BCC"/>
    <w:rsid w:val="00C14D43"/>
    <w:rsid w:val="00C236A4"/>
    <w:rsid w:val="00C31793"/>
    <w:rsid w:val="00C3555D"/>
    <w:rsid w:val="00C5640F"/>
    <w:rsid w:val="00C56E43"/>
    <w:rsid w:val="00C73BF4"/>
    <w:rsid w:val="00C74C62"/>
    <w:rsid w:val="00C845B7"/>
    <w:rsid w:val="00CB2E01"/>
    <w:rsid w:val="00CB41BE"/>
    <w:rsid w:val="00CE3409"/>
    <w:rsid w:val="00CF2260"/>
    <w:rsid w:val="00CF4859"/>
    <w:rsid w:val="00D35684"/>
    <w:rsid w:val="00D43086"/>
    <w:rsid w:val="00D461AC"/>
    <w:rsid w:val="00D56426"/>
    <w:rsid w:val="00D62605"/>
    <w:rsid w:val="00D749CB"/>
    <w:rsid w:val="00D84374"/>
    <w:rsid w:val="00D844C1"/>
    <w:rsid w:val="00D947D8"/>
    <w:rsid w:val="00D97E3F"/>
    <w:rsid w:val="00DA2208"/>
    <w:rsid w:val="00DA2D4A"/>
    <w:rsid w:val="00DA5831"/>
    <w:rsid w:val="00DB0938"/>
    <w:rsid w:val="00DB0AB5"/>
    <w:rsid w:val="00DB6D79"/>
    <w:rsid w:val="00DC3284"/>
    <w:rsid w:val="00DD56C2"/>
    <w:rsid w:val="00DE51BA"/>
    <w:rsid w:val="00DE5602"/>
    <w:rsid w:val="00DE6B27"/>
    <w:rsid w:val="00DE7BD5"/>
    <w:rsid w:val="00E147B1"/>
    <w:rsid w:val="00E2472F"/>
    <w:rsid w:val="00E44AC8"/>
    <w:rsid w:val="00E44F45"/>
    <w:rsid w:val="00E56F9B"/>
    <w:rsid w:val="00E62C2E"/>
    <w:rsid w:val="00E72FE6"/>
    <w:rsid w:val="00E95ACA"/>
    <w:rsid w:val="00E95CB3"/>
    <w:rsid w:val="00EB2E58"/>
    <w:rsid w:val="00EC34F8"/>
    <w:rsid w:val="00ED0EB7"/>
    <w:rsid w:val="00ED63E2"/>
    <w:rsid w:val="00EE345E"/>
    <w:rsid w:val="00EE5CAB"/>
    <w:rsid w:val="00EE735B"/>
    <w:rsid w:val="00EF5DFE"/>
    <w:rsid w:val="00F03A3C"/>
    <w:rsid w:val="00F060A9"/>
    <w:rsid w:val="00F14430"/>
    <w:rsid w:val="00F20BA8"/>
    <w:rsid w:val="00F2758F"/>
    <w:rsid w:val="00F42B7B"/>
    <w:rsid w:val="00F5381D"/>
    <w:rsid w:val="00F56134"/>
    <w:rsid w:val="00F60757"/>
    <w:rsid w:val="00F6274B"/>
    <w:rsid w:val="00F6409E"/>
    <w:rsid w:val="00F7405E"/>
    <w:rsid w:val="00F81D04"/>
    <w:rsid w:val="00F81DC8"/>
    <w:rsid w:val="00F904F4"/>
    <w:rsid w:val="00F904FF"/>
    <w:rsid w:val="00FA00FA"/>
    <w:rsid w:val="00FA28CC"/>
    <w:rsid w:val="00FB3167"/>
    <w:rsid w:val="00FC0F19"/>
    <w:rsid w:val="00FE30FE"/>
    <w:rsid w:val="00FE3FD9"/>
    <w:rsid w:val="00FE63CC"/>
    <w:rsid w:val="00FE775B"/>
    <w:rsid w:val="00FF618B"/>
    <w:rsid w:val="00FF7A44"/>
    <w:rsid w:val="0367315B"/>
    <w:rsid w:val="04C4062A"/>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48"/>
    <w:qFormat/>
    <w:uiPriority w:val="0"/>
    <w:pPr>
      <w:ind w:left="538"/>
      <w:outlineLvl w:val="0"/>
    </w:pPr>
    <w:rPr>
      <w:b/>
      <w:bCs/>
      <w:sz w:val="28"/>
      <w:szCs w:val="28"/>
    </w:rPr>
  </w:style>
  <w:style w:type="paragraph" w:styleId="4">
    <w:name w:val="heading 2"/>
    <w:basedOn w:val="1"/>
    <w:next w:val="1"/>
    <w:link w:val="44"/>
    <w:qFormat/>
    <w:uiPriority w:val="0"/>
    <w:pPr>
      <w:ind w:left="629"/>
      <w:outlineLvl w:val="1"/>
    </w:pPr>
    <w:rPr>
      <w:b/>
      <w:bCs/>
      <w:sz w:val="24"/>
      <w:szCs w:val="24"/>
    </w:rPr>
  </w:style>
  <w:style w:type="paragraph" w:styleId="5">
    <w:name w:val="heading 3"/>
    <w:basedOn w:val="1"/>
    <w:next w:val="1"/>
    <w:link w:val="37"/>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49"/>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6">
    <w:name w:val="Normal Indent"/>
    <w:basedOn w:val="1"/>
    <w:link w:val="45"/>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
    <w:name w:val="annotation text"/>
    <w:basedOn w:val="1"/>
    <w:link w:val="38"/>
    <w:uiPriority w:val="0"/>
    <w:pPr>
      <w:autoSpaceDE/>
      <w:autoSpaceDN/>
      <w:jc w:val="both"/>
    </w:pPr>
    <w:rPr>
      <w:rFonts w:ascii="Times New Roman" w:hAnsi="Times New Roman" w:cs="Times New Roman"/>
      <w:kern w:val="2"/>
      <w:sz w:val="21"/>
      <w:szCs w:val="20"/>
      <w:lang w:eastAsia="zh-CN"/>
    </w:rPr>
  </w:style>
  <w:style w:type="paragraph" w:styleId="8">
    <w:name w:val="Body Text"/>
    <w:basedOn w:val="1"/>
    <w:link w:val="46"/>
    <w:qFormat/>
    <w:uiPriority w:val="1"/>
    <w:rPr>
      <w:sz w:val="24"/>
      <w:szCs w:val="24"/>
    </w:rPr>
  </w:style>
  <w:style w:type="paragraph" w:styleId="9">
    <w:name w:val="Body Text Indent"/>
    <w:basedOn w:val="1"/>
    <w:link w:val="50"/>
    <w:uiPriority w:val="0"/>
    <w:pPr>
      <w:spacing w:after="120"/>
      <w:ind w:left="420" w:leftChars="200"/>
    </w:pPr>
  </w:style>
  <w:style w:type="paragraph" w:styleId="10">
    <w:name w:val="Plain Text"/>
    <w:basedOn w:val="1"/>
    <w:link w:val="42"/>
    <w:qFormat/>
    <w:uiPriority w:val="99"/>
    <w:rPr>
      <w:rFonts w:hAnsi="Courier New" w:cs="Courier New"/>
      <w:szCs w:val="21"/>
    </w:rPr>
  </w:style>
  <w:style w:type="paragraph" w:styleId="11">
    <w:name w:val="Date"/>
    <w:basedOn w:val="1"/>
    <w:next w:val="1"/>
    <w:link w:val="28"/>
    <w:unhideWhenUsed/>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2">
    <w:name w:val="Body Text Indent 2"/>
    <w:basedOn w:val="1"/>
    <w:link w:val="41"/>
    <w:uiPriority w:val="0"/>
    <w:pPr>
      <w:spacing w:after="120" w:line="480" w:lineRule="auto"/>
      <w:ind w:left="420" w:leftChars="200"/>
    </w:pPr>
  </w:style>
  <w:style w:type="paragraph" w:styleId="13">
    <w:name w:val="Balloon Text"/>
    <w:basedOn w:val="1"/>
    <w:link w:val="32"/>
    <w:uiPriority w:val="0"/>
    <w:rPr>
      <w:sz w:val="18"/>
      <w:szCs w:val="18"/>
    </w:rPr>
  </w:style>
  <w:style w:type="paragraph" w:styleId="14">
    <w:name w:val="footer"/>
    <w:basedOn w:val="1"/>
    <w:link w:val="33"/>
    <w:qFormat/>
    <w:uiPriority w:val="99"/>
    <w:pPr>
      <w:tabs>
        <w:tab w:val="center" w:pos="4153"/>
        <w:tab w:val="right" w:pos="8306"/>
      </w:tabs>
      <w:snapToGrid w:val="0"/>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uiPriority w:val="39"/>
    <w:pPr>
      <w:autoSpaceDE/>
      <w:autoSpaceDN/>
      <w:spacing w:before="120" w:after="120"/>
    </w:pPr>
    <w:rPr>
      <w:rFonts w:ascii="Times New Roman" w:hAnsi="Times New Roman" w:cs="Times New Roman"/>
      <w:b/>
      <w:caps/>
      <w:kern w:val="2"/>
      <w:sz w:val="20"/>
      <w:szCs w:val="20"/>
      <w:lang w:eastAsia="zh-CN"/>
    </w:rPr>
  </w:style>
  <w:style w:type="paragraph" w:styleId="17">
    <w:name w:val="List"/>
    <w:basedOn w:val="1"/>
    <w:uiPriority w:val="0"/>
    <w:pPr>
      <w:widowControl/>
      <w:autoSpaceDE/>
      <w:autoSpaceDN/>
      <w:ind w:left="420" w:hanging="420"/>
    </w:pPr>
    <w:rPr>
      <w:rFonts w:hAnsi="Times New Roman" w:cs="Times New Roman"/>
      <w:szCs w:val="20"/>
      <w:lang w:eastAsia="zh-CN"/>
    </w:rPr>
  </w:style>
  <w:style w:type="paragraph" w:styleId="18">
    <w:name w:val="Body Text 2"/>
    <w:basedOn w:val="1"/>
    <w:link w:val="40"/>
    <w:uiPriority w:val="0"/>
    <w:pPr>
      <w:spacing w:after="120" w:line="480" w:lineRule="auto"/>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Hyperlink"/>
    <w:basedOn w:val="21"/>
    <w:qFormat/>
    <w:uiPriority w:val="99"/>
    <w:rPr>
      <w:color w:val="0000FF"/>
      <w:u w:val="single"/>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34"/>
    <w:pPr>
      <w:spacing w:before="206"/>
      <w:ind w:left="959" w:hanging="361"/>
    </w:pPr>
  </w:style>
  <w:style w:type="paragraph" w:customStyle="1" w:styleId="26">
    <w:name w:val="Table Paragraph"/>
    <w:basedOn w:val="1"/>
    <w:qFormat/>
    <w:uiPriority w:val="1"/>
  </w:style>
  <w:style w:type="paragraph" w:customStyle="1" w:styleId="27">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28">
    <w:name w:val="日期 Char"/>
    <w:basedOn w:val="21"/>
    <w:link w:val="11"/>
    <w:uiPriority w:val="0"/>
    <w:rPr>
      <w:rFonts w:asciiTheme="minorHAnsi" w:hAnsiTheme="minorHAnsi" w:eastAsiaTheme="minorEastAsia" w:cstheme="minorBidi"/>
      <w:kern w:val="2"/>
      <w:sz w:val="21"/>
      <w:szCs w:val="22"/>
    </w:rPr>
  </w:style>
  <w:style w:type="paragraph" w:customStyle="1" w:styleId="29">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30">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31">
    <w:name w:val="xdrichtextbox2"/>
    <w:basedOn w:val="21"/>
    <w:uiPriority w:val="0"/>
    <w:rPr>
      <w:color w:val="0000FF"/>
      <w:sz w:val="18"/>
      <w:szCs w:val="18"/>
      <w:u w:val="none"/>
      <w:bdr w:val="single" w:color="DCDCDC" w:sz="8" w:space="0"/>
      <w:shd w:val="clear" w:color="auto" w:fill="FFFFFF"/>
    </w:rPr>
  </w:style>
  <w:style w:type="character" w:customStyle="1" w:styleId="32">
    <w:name w:val="批注框文本 Char"/>
    <w:basedOn w:val="21"/>
    <w:link w:val="13"/>
    <w:uiPriority w:val="0"/>
    <w:rPr>
      <w:rFonts w:ascii="宋体" w:hAnsi="宋体" w:cs="宋体"/>
      <w:sz w:val="18"/>
      <w:szCs w:val="18"/>
      <w:lang w:eastAsia="en-US"/>
    </w:rPr>
  </w:style>
  <w:style w:type="character" w:customStyle="1" w:styleId="33">
    <w:name w:val="页脚 Char"/>
    <w:basedOn w:val="21"/>
    <w:link w:val="14"/>
    <w:uiPriority w:val="99"/>
    <w:rPr>
      <w:rFonts w:ascii="宋体" w:hAnsi="宋体" w:cs="宋体"/>
      <w:sz w:val="18"/>
      <w:szCs w:val="18"/>
      <w:lang w:eastAsia="en-US"/>
    </w:rPr>
  </w:style>
  <w:style w:type="paragraph" w:customStyle="1" w:styleId="3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35">
    <w:name w:val="apple-converted-space"/>
    <w:basedOn w:val="21"/>
    <w:qFormat/>
    <w:uiPriority w:val="0"/>
  </w:style>
  <w:style w:type="paragraph" w:customStyle="1" w:styleId="36">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37">
    <w:name w:val="标题 3 Char"/>
    <w:basedOn w:val="21"/>
    <w:link w:val="5"/>
    <w:uiPriority w:val="0"/>
    <w:rPr>
      <w:rFonts w:ascii="宋体" w:hAnsi="宋体" w:cs="宋体"/>
      <w:b/>
      <w:bCs/>
      <w:sz w:val="32"/>
      <w:szCs w:val="32"/>
      <w:lang w:eastAsia="en-US"/>
    </w:rPr>
  </w:style>
  <w:style w:type="character" w:customStyle="1" w:styleId="38">
    <w:name w:val="批注文字 Char"/>
    <w:basedOn w:val="21"/>
    <w:link w:val="7"/>
    <w:uiPriority w:val="0"/>
    <w:rPr>
      <w:kern w:val="2"/>
      <w:sz w:val="21"/>
    </w:rPr>
  </w:style>
  <w:style w:type="paragraph" w:customStyle="1" w:styleId="39">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40">
    <w:name w:val="正文文本 2 Char"/>
    <w:basedOn w:val="21"/>
    <w:link w:val="18"/>
    <w:uiPriority w:val="0"/>
    <w:rPr>
      <w:rFonts w:ascii="宋体" w:hAnsi="宋体" w:cs="宋体"/>
      <w:sz w:val="22"/>
      <w:szCs w:val="22"/>
      <w:lang w:eastAsia="en-US"/>
    </w:rPr>
  </w:style>
  <w:style w:type="character" w:customStyle="1" w:styleId="41">
    <w:name w:val="正文文本缩进 2 Char"/>
    <w:basedOn w:val="21"/>
    <w:link w:val="12"/>
    <w:uiPriority w:val="0"/>
    <w:rPr>
      <w:rFonts w:ascii="宋体" w:hAnsi="宋体" w:cs="宋体"/>
      <w:sz w:val="22"/>
      <w:szCs w:val="22"/>
      <w:lang w:eastAsia="en-US"/>
    </w:rPr>
  </w:style>
  <w:style w:type="character" w:customStyle="1" w:styleId="42">
    <w:name w:val="纯文本 Char1"/>
    <w:basedOn w:val="21"/>
    <w:link w:val="10"/>
    <w:qFormat/>
    <w:uiPriority w:val="0"/>
    <w:rPr>
      <w:rFonts w:ascii="宋体" w:hAnsi="Courier New" w:cs="Courier New"/>
      <w:sz w:val="22"/>
      <w:szCs w:val="21"/>
      <w:lang w:eastAsia="en-US"/>
    </w:rPr>
  </w:style>
  <w:style w:type="paragraph" w:customStyle="1" w:styleId="43">
    <w:name w:val="表格"/>
    <w:basedOn w:val="1"/>
    <w:uiPriority w:val="0"/>
    <w:pPr>
      <w:autoSpaceDE/>
      <w:autoSpaceDN/>
      <w:adjustRightInd w:val="0"/>
      <w:spacing w:before="60" w:after="60"/>
      <w:jc w:val="center"/>
      <w:textAlignment w:val="baseline"/>
    </w:pPr>
    <w:rPr>
      <w:rFonts w:hAnsi="Times New Roman" w:cs="Times New Roman"/>
      <w:sz w:val="24"/>
      <w:szCs w:val="20"/>
      <w:lang w:eastAsia="zh-CN"/>
    </w:rPr>
  </w:style>
  <w:style w:type="character" w:customStyle="1" w:styleId="44">
    <w:name w:val="标题 2 Char"/>
    <w:basedOn w:val="21"/>
    <w:link w:val="4"/>
    <w:uiPriority w:val="0"/>
    <w:rPr>
      <w:rFonts w:ascii="宋体" w:hAnsi="宋体" w:cs="宋体"/>
      <w:b/>
      <w:bCs/>
      <w:sz w:val="24"/>
      <w:szCs w:val="24"/>
      <w:lang w:eastAsia="en-US"/>
    </w:rPr>
  </w:style>
  <w:style w:type="character" w:customStyle="1" w:styleId="45">
    <w:name w:val="正文缩进 Char"/>
    <w:link w:val="6"/>
    <w:qFormat/>
    <w:uiPriority w:val="0"/>
    <w:rPr>
      <w:sz w:val="24"/>
    </w:rPr>
  </w:style>
  <w:style w:type="character" w:customStyle="1" w:styleId="46">
    <w:name w:val="正文文本 Char"/>
    <w:basedOn w:val="21"/>
    <w:link w:val="8"/>
    <w:qFormat/>
    <w:uiPriority w:val="0"/>
    <w:rPr>
      <w:rFonts w:ascii="宋体" w:hAnsi="宋体" w:cs="宋体"/>
      <w:sz w:val="24"/>
      <w:szCs w:val="24"/>
      <w:lang w:eastAsia="en-US"/>
    </w:rPr>
  </w:style>
  <w:style w:type="character" w:customStyle="1" w:styleId="47">
    <w:name w:val="普通文字 Char2"/>
    <w:basedOn w:val="21"/>
    <w:uiPriority w:val="0"/>
    <w:rPr>
      <w:rFonts w:ascii="宋体" w:hAnsi="Courier New" w:cs="Courier New"/>
      <w:sz w:val="22"/>
      <w:szCs w:val="21"/>
      <w:lang w:eastAsia="en-US"/>
    </w:rPr>
  </w:style>
  <w:style w:type="character" w:customStyle="1" w:styleId="48">
    <w:name w:val="标题 1 Char"/>
    <w:link w:val="3"/>
    <w:uiPriority w:val="0"/>
    <w:rPr>
      <w:rFonts w:ascii="宋体" w:hAnsi="宋体" w:cs="宋体"/>
      <w:b/>
      <w:bCs/>
      <w:sz w:val="28"/>
      <w:szCs w:val="28"/>
      <w:lang w:eastAsia="en-US"/>
    </w:rPr>
  </w:style>
  <w:style w:type="character" w:customStyle="1" w:styleId="49">
    <w:name w:val="正文1 Char"/>
    <w:basedOn w:val="21"/>
    <w:link w:val="2"/>
    <w:locked/>
    <w:uiPriority w:val="0"/>
    <w:rPr>
      <w:rFonts w:ascii="宋体" w:hAnsi="Calibri"/>
      <w:sz w:val="34"/>
      <w:szCs w:val="22"/>
    </w:rPr>
  </w:style>
  <w:style w:type="character" w:customStyle="1" w:styleId="50">
    <w:name w:val="正文文本缩进 Char"/>
    <w:basedOn w:val="21"/>
    <w:link w:val="9"/>
    <w:uiPriority w:val="0"/>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E5229-4BF2-4D48-8DB9-60C8068BCABF}">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22</Pages>
  <Words>1961</Words>
  <Characters>11180</Characters>
  <Lines>93</Lines>
  <Paragraphs>26</Paragraphs>
  <TotalTime>243</TotalTime>
  <ScaleCrop>false</ScaleCrop>
  <LinksUpToDate>false</LinksUpToDate>
  <CharactersWithSpaces>13115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2021-07-01T01:37:00Z</dcterms:created>
  <dc:creator>CGC</dc:creator>
  <cp:lastModifiedBy>潘骏</cp:lastModifiedBy>
  <dcterms:modified xsi:type="dcterms:W3CDTF">2021-07-08T08:23:11Z</dcterms:modified>
  <dc:title>公开招标文件（货物服务类）</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2052-11.1.0.10578</vt:lpwstr>
  </property>
  <property fmtid="{D5CDD505-2E9C-101B-9397-08002B2CF9AE}" pid="6" name="ICV">
    <vt:lpwstr>4F845A17A6C6445C84F20228197B6F04</vt:lpwstr>
  </property>
</Properties>
</file>