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5"/>
        <w:rPr>
          <w:rFonts w:ascii="Times New Roman"/>
          <w:sz w:val="20"/>
        </w:rPr>
      </w:pPr>
    </w:p>
    <w:p>
      <w:pPr>
        <w:spacing w:line="788" w:lineRule="exact"/>
        <w:ind w:left="167"/>
        <w:jc w:val="center"/>
        <w:rPr>
          <w:rFonts w:ascii="微软雅黑" w:eastAsia="微软雅黑"/>
          <w:b/>
          <w:sz w:val="36"/>
          <w:szCs w:val="36"/>
          <w:lang w:eastAsia="zh-CN"/>
        </w:rPr>
      </w:pPr>
      <w:r>
        <w:rPr>
          <w:rFonts w:hint="eastAsia" w:ascii="微软雅黑" w:eastAsia="微软雅黑"/>
          <w:b/>
          <w:sz w:val="36"/>
          <w:szCs w:val="36"/>
          <w:lang w:eastAsia="zh-CN"/>
        </w:rPr>
        <w:t>福建福海创石油化工有限公司</w:t>
      </w:r>
    </w:p>
    <w:p>
      <w:pPr>
        <w:pStyle w:val="2"/>
        <w:rPr>
          <w:sz w:val="36"/>
          <w:szCs w:val="36"/>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lang w:eastAsia="zh-CN"/>
        </w:rPr>
        <w:t>全厂电力系统安全稳定评估项目</w:t>
      </w:r>
    </w:p>
    <w:p>
      <w:pPr>
        <w:pStyle w:val="8"/>
        <w:rPr>
          <w:rFonts w:ascii="微软雅黑"/>
          <w:b/>
          <w:sz w:val="68"/>
          <w:lang w:eastAsia="zh-CN"/>
        </w:rPr>
      </w:pPr>
    </w:p>
    <w:p>
      <w:pPr>
        <w:pStyle w:val="8"/>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FHC-PTCG20210426002 </w:t>
      </w:r>
      <w:r>
        <w:rPr>
          <w:rFonts w:hint="eastAsia"/>
          <w:sz w:val="28"/>
          <w:szCs w:val="28"/>
        </w:rPr>
        <w:t>）</w:t>
      </w:r>
    </w:p>
    <w:p>
      <w:pPr>
        <w:pStyle w:val="8"/>
        <w:rPr>
          <w:rFonts w:ascii="微软雅黑"/>
          <w:b/>
          <w:sz w:val="94"/>
          <w:lang w:eastAsia="zh-CN"/>
        </w:rPr>
      </w:pPr>
    </w:p>
    <w:p>
      <w:pPr>
        <w:pStyle w:val="8"/>
        <w:spacing w:before="7"/>
        <w:rPr>
          <w:rFonts w:ascii="微软雅黑"/>
          <w:b/>
          <w:sz w:val="74"/>
          <w:lang w:eastAsia="zh-CN"/>
        </w:rPr>
      </w:pP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福建福海创石油化工有限公司编制2021 年  06  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8"/>
        <w:rPr>
          <w:rFonts w:ascii="黑体"/>
          <w:sz w:val="20"/>
          <w:lang w:eastAsia="zh-CN"/>
        </w:rPr>
      </w:pPr>
    </w:p>
    <w:p>
      <w:pPr>
        <w:pStyle w:val="8"/>
        <w:rPr>
          <w:rFonts w:ascii="黑体"/>
          <w:sz w:val="20"/>
          <w:lang w:eastAsia="zh-CN"/>
        </w:rPr>
      </w:pPr>
    </w:p>
    <w:p>
      <w:pPr>
        <w:pStyle w:val="8"/>
        <w:spacing w:before="9"/>
        <w:rPr>
          <w:rFonts w:ascii="黑体"/>
          <w:lang w:eastAsia="zh-CN"/>
        </w:rPr>
      </w:pPr>
    </w:p>
    <w:p>
      <w:pPr>
        <w:tabs>
          <w:tab w:val="left" w:pos="1627"/>
        </w:tabs>
        <w:ind w:left="369"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ind w:left="369"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tabs>
          <w:tab w:val="left" w:pos="1627"/>
        </w:tabs>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8"/>
        <w:rPr>
          <w:sz w:val="28"/>
          <w:lang w:eastAsia="zh-CN"/>
        </w:rPr>
      </w:pPr>
    </w:p>
    <w:p>
      <w:pPr>
        <w:pStyle w:val="8"/>
        <w:rPr>
          <w:sz w:val="28"/>
          <w:lang w:eastAsia="zh-CN"/>
        </w:rPr>
      </w:pPr>
    </w:p>
    <w:p>
      <w:pPr>
        <w:pStyle w:val="8"/>
        <w:rPr>
          <w:sz w:val="28"/>
          <w:lang w:eastAsia="zh-CN"/>
        </w:rPr>
      </w:pPr>
    </w:p>
    <w:p>
      <w:pPr>
        <w:pStyle w:val="8"/>
        <w:rPr>
          <w:sz w:val="28"/>
          <w:lang w:eastAsia="zh-CN"/>
        </w:rPr>
      </w:pPr>
    </w:p>
    <w:p>
      <w:pPr>
        <w:pStyle w:val="8"/>
        <w:spacing w:before="10"/>
        <w:rPr>
          <w:sz w:val="35"/>
          <w:lang w:eastAsia="zh-CN"/>
        </w:rPr>
      </w:pPr>
    </w:p>
    <w:p>
      <w:pPr>
        <w:spacing w:line="408" w:lineRule="auto"/>
        <w:ind w:left="220" w:leftChars="100" w:right="103"/>
        <w:rPr>
          <w:sz w:val="28"/>
          <w:lang w:eastAsia="zh-CN"/>
        </w:rPr>
      </w:pPr>
      <w:r>
        <w:rPr>
          <w:sz w:val="28"/>
          <w:lang w:eastAsia="zh-CN"/>
        </w:rPr>
        <w:t>附件一</w:t>
      </w:r>
      <w:r>
        <w:rPr>
          <w:rFonts w:hint="eastAsia"/>
          <w:sz w:val="28"/>
          <w:lang w:eastAsia="zh-CN"/>
        </w:rPr>
        <w:t>：合同条款</w:t>
      </w:r>
    </w:p>
    <w:p>
      <w:pPr>
        <w:spacing w:line="408" w:lineRule="auto"/>
        <w:ind w:left="220" w:leftChars="100" w:right="103"/>
        <w:rPr>
          <w:sz w:val="28"/>
          <w:lang w:eastAsia="zh-CN"/>
        </w:rPr>
      </w:pPr>
      <w:r>
        <w:rPr>
          <w:sz w:val="28"/>
          <w:lang w:eastAsia="zh-CN"/>
        </w:rPr>
        <w:t>附件二：参选文件（范本）</w:t>
      </w:r>
    </w:p>
    <w:p>
      <w:pPr>
        <w:spacing w:line="408" w:lineRule="auto"/>
        <w:rPr>
          <w:sz w:val="28"/>
          <w:lang w:eastAsia="zh-CN"/>
        </w:rPr>
        <w:sectPr>
          <w:footerReference r:id="rId5" w:type="default"/>
          <w:pgSz w:w="11910" w:h="16840"/>
          <w:pgMar w:top="1480" w:right="1340" w:bottom="740" w:left="1680" w:header="0" w:footer="551" w:gutter="0"/>
          <w:pgNumType w:start="1"/>
          <w:cols w:space="720" w:num="1"/>
        </w:sectPr>
      </w:pPr>
    </w:p>
    <w:p>
      <w:pPr>
        <w:tabs>
          <w:tab w:val="left" w:pos="1272"/>
        </w:tabs>
        <w:ind w:left="11"/>
        <w:jc w:val="center"/>
        <w:rPr>
          <w:b/>
          <w:w w:val="95"/>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ind w:left="170" w:firstLine="480" w:firstLineChars="200"/>
        <w:rPr>
          <w:sz w:val="24"/>
          <w:szCs w:val="24"/>
          <w:lang w:eastAsia="zh-CN"/>
        </w:rPr>
      </w:pPr>
      <w:r>
        <w:rPr>
          <w:sz w:val="24"/>
          <w:szCs w:val="24"/>
          <w:lang w:eastAsia="zh-CN"/>
        </w:rPr>
        <w:t>福建福海创石油化工有限公司拟对本公司</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b/>
          <w:sz w:val="24"/>
          <w:szCs w:val="24"/>
          <w:u w:val="single"/>
          <w:lang w:eastAsia="zh-CN"/>
        </w:rPr>
        <w:t>全厂电力系统安全稳定评估</w:t>
      </w:r>
      <w:r>
        <w:rPr>
          <w:rFonts w:hint="eastAsia" w:asciiTheme="majorEastAsia" w:hAnsiTheme="majorEastAsia" w:eastAsiaTheme="majorEastAsia"/>
          <w:sz w:val="24"/>
          <w:szCs w:val="24"/>
          <w:u w:val="single"/>
          <w:lang w:eastAsia="zh-CN"/>
        </w:rPr>
        <w:t xml:space="preserve"> </w:t>
      </w:r>
      <w:r>
        <w:rPr>
          <w:sz w:val="24"/>
          <w:szCs w:val="24"/>
          <w:lang w:eastAsia="zh-CN"/>
        </w:rPr>
        <w:t>进行公开比选。为了“公开、公平、公正、透明”，引导参选人进行正确参选，特制定本规定文件。福建福海创石油化工有限公司承诺本次自主比选不存在任何障碍，保证本公告内容不存在任何重大遗漏、虚假陈述或严重误导，并对其内容的真实性、完整性和有效性负责。</w:t>
      </w:r>
    </w:p>
    <w:p>
      <w:pPr>
        <w:autoSpaceDE/>
        <w:autoSpaceDN/>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一、项目概况</w:t>
      </w:r>
    </w:p>
    <w:p>
      <w:pPr>
        <w:autoSpaceDE/>
        <w:autoSpaceDN/>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全厂电力系统安全稳定评估 </w:t>
      </w:r>
    </w:p>
    <w:p>
      <w:pPr>
        <w:autoSpaceDE/>
        <w:autoSpaceDN/>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项目简要说明：</w:t>
      </w:r>
      <w:r>
        <w:rPr>
          <w:rFonts w:hint="eastAsia"/>
          <w:sz w:val="24"/>
          <w:szCs w:val="24"/>
          <w:lang w:eastAsia="zh-CN"/>
        </w:rPr>
        <w:t>为确保公司生产运行，提供供电安全可靠性，对公司电气专业做全维度安全稳定状态评估及整改建议。</w:t>
      </w:r>
    </w:p>
    <w:p>
      <w:pPr>
        <w:pStyle w:val="4"/>
        <w:spacing w:before="24"/>
        <w:ind w:left="0" w:firstLine="480" w:firstLineChars="200"/>
        <w:rPr>
          <w:lang w:eastAsia="zh-CN"/>
        </w:rPr>
      </w:pPr>
      <w:r>
        <w:rPr>
          <w:rFonts w:hint="eastAsia" w:asciiTheme="majorEastAsia" w:hAnsiTheme="majorEastAsia" w:eastAsiaTheme="majorEastAsia"/>
          <w:b w:val="0"/>
          <w:lang w:eastAsia="zh-CN"/>
        </w:rPr>
        <w:t>3. 比选控制价：50万元</w:t>
      </w:r>
    </w:p>
    <w:p>
      <w:pPr>
        <w:pStyle w:val="4"/>
        <w:spacing w:before="24"/>
        <w:ind w:left="0" w:firstLine="359" w:firstLineChars="149"/>
        <w:rPr>
          <w:lang w:eastAsia="zh-CN"/>
        </w:rPr>
      </w:pPr>
      <w:r>
        <w:rPr>
          <w:rFonts w:hint="eastAsia"/>
          <w:lang w:eastAsia="zh-CN"/>
        </w:rPr>
        <w:t>二</w:t>
      </w:r>
      <w:r>
        <w:rPr>
          <w:lang w:eastAsia="zh-CN"/>
        </w:rPr>
        <w:t>、参选人资格要求：</w:t>
      </w:r>
    </w:p>
    <w:p>
      <w:pPr>
        <w:ind w:firstLine="480" w:firstLineChars="200"/>
        <w:rPr>
          <w:sz w:val="24"/>
          <w:szCs w:val="24"/>
          <w:lang w:eastAsia="zh-CN"/>
        </w:rPr>
      </w:pPr>
      <w:r>
        <w:rPr>
          <w:rFonts w:hint="eastAsia"/>
          <w:sz w:val="24"/>
          <w:szCs w:val="24"/>
          <w:lang w:eastAsia="zh-CN"/>
        </w:rPr>
        <w:t xml:space="preserve">1. </w:t>
      </w:r>
      <w:r>
        <w:rPr>
          <w:rFonts w:hint="eastAsia" w:asciiTheme="majorEastAsia" w:hAnsiTheme="majorEastAsia" w:eastAsiaTheme="majorEastAsia"/>
          <w:sz w:val="24"/>
          <w:szCs w:val="24"/>
          <w:lang w:eastAsia="zh-CN"/>
        </w:rPr>
        <w:t>必须具有中华人民共和国独立法人资格，</w:t>
      </w:r>
      <w:r>
        <w:rPr>
          <w:rFonts w:hint="eastAsia"/>
          <w:sz w:val="24"/>
          <w:szCs w:val="24"/>
          <w:lang w:eastAsia="zh-CN"/>
        </w:rPr>
        <w:t>具备有效的企业法人营业执照；</w:t>
      </w:r>
    </w:p>
    <w:p>
      <w:pPr>
        <w:ind w:firstLine="480" w:firstLineChars="200"/>
        <w:rPr>
          <w:sz w:val="24"/>
          <w:szCs w:val="24"/>
          <w:lang w:eastAsia="zh-CN"/>
        </w:rPr>
      </w:pPr>
      <w:r>
        <w:rPr>
          <w:rFonts w:hint="eastAsia"/>
          <w:sz w:val="24"/>
          <w:szCs w:val="24"/>
          <w:lang w:eastAsia="zh-CN"/>
        </w:rPr>
        <w:t xml:space="preserve">2. </w:t>
      </w:r>
      <w:r>
        <w:rPr>
          <w:rFonts w:hint="eastAsia"/>
          <w:sz w:val="24"/>
          <w:lang w:eastAsia="zh-CN"/>
        </w:rPr>
        <w:t>参选方应具有承装（修、试）电力设施许可证五级证书</w:t>
      </w:r>
      <w:r>
        <w:rPr>
          <w:rFonts w:hint="eastAsia"/>
          <w:sz w:val="24"/>
          <w:szCs w:val="24"/>
          <w:lang w:eastAsia="zh-CN"/>
        </w:rPr>
        <w:t>；</w:t>
      </w:r>
    </w:p>
    <w:p>
      <w:pPr>
        <w:ind w:firstLine="480" w:firstLineChars="200"/>
        <w:rPr>
          <w:sz w:val="24"/>
          <w:szCs w:val="24"/>
          <w:lang w:eastAsia="zh-CN"/>
        </w:rPr>
      </w:pPr>
      <w:r>
        <w:rPr>
          <w:rFonts w:hint="eastAsia"/>
          <w:sz w:val="24"/>
          <w:szCs w:val="24"/>
          <w:lang w:eastAsia="zh-CN"/>
        </w:rPr>
        <w:t>3. 参选方应具有</w:t>
      </w:r>
      <w:r>
        <w:rPr>
          <w:rFonts w:hint="eastAsia"/>
          <w:sz w:val="24"/>
          <w:lang w:eastAsia="zh-CN"/>
        </w:rPr>
        <w:t>安全生产许可证书及信用等级AAA级证书</w:t>
      </w:r>
      <w:r>
        <w:rPr>
          <w:rFonts w:hint="eastAsia"/>
          <w:sz w:val="24"/>
          <w:szCs w:val="24"/>
          <w:lang w:eastAsia="zh-CN"/>
        </w:rPr>
        <w:t>；</w:t>
      </w:r>
    </w:p>
    <w:p>
      <w:pPr>
        <w:pStyle w:val="2"/>
        <w:spacing w:line="360" w:lineRule="auto"/>
        <w:ind w:firstLine="465"/>
        <w:rPr>
          <w:sz w:val="24"/>
          <w:szCs w:val="24"/>
        </w:rPr>
      </w:pPr>
      <w:r>
        <w:rPr>
          <w:rFonts w:hint="eastAsia"/>
          <w:sz w:val="24"/>
          <w:szCs w:val="24"/>
        </w:rPr>
        <w:t xml:space="preserve">4. </w:t>
      </w:r>
      <w:r>
        <w:rPr>
          <w:rFonts w:hint="eastAsia" w:hAnsi="宋体"/>
          <w:sz w:val="24"/>
        </w:rPr>
        <w:t>参选方应具有ISO9001质量管理体系认证证书、ISO14001环境管理体系认证证书、OHSAS18001职业健康安全管理体系认证证书</w:t>
      </w:r>
      <w:r>
        <w:rPr>
          <w:rFonts w:hint="eastAsia"/>
          <w:sz w:val="24"/>
          <w:szCs w:val="24"/>
        </w:rPr>
        <w:t>；</w:t>
      </w:r>
    </w:p>
    <w:p>
      <w:pPr>
        <w:pStyle w:val="2"/>
        <w:spacing w:line="360" w:lineRule="auto"/>
        <w:ind w:firstLine="465"/>
        <w:rPr>
          <w:sz w:val="24"/>
          <w:szCs w:val="24"/>
        </w:rPr>
      </w:pPr>
      <w:r>
        <w:rPr>
          <w:rFonts w:hint="eastAsia"/>
          <w:sz w:val="24"/>
          <w:szCs w:val="24"/>
        </w:rPr>
        <w:t xml:space="preserve">5. </w:t>
      </w:r>
      <w:r>
        <w:rPr>
          <w:rFonts w:hint="eastAsia" w:hAnsi="宋体"/>
          <w:sz w:val="24"/>
        </w:rPr>
        <w:t>参选方应提供电力系统继电保护及自动化整定计算、电力系统仿真分析及计算等项目评估的业绩（附相关业绩证明）；</w:t>
      </w:r>
    </w:p>
    <w:p>
      <w:pPr>
        <w:pStyle w:val="2"/>
        <w:spacing w:line="360" w:lineRule="auto"/>
        <w:ind w:firstLine="465"/>
        <w:rPr>
          <w:sz w:val="24"/>
          <w:szCs w:val="24"/>
        </w:rPr>
      </w:pPr>
      <w:r>
        <w:rPr>
          <w:rFonts w:hint="eastAsia"/>
          <w:sz w:val="24"/>
          <w:szCs w:val="24"/>
        </w:rPr>
        <w:t xml:space="preserve">6. </w:t>
      </w:r>
      <w:r>
        <w:rPr>
          <w:rFonts w:asciiTheme="majorEastAsia" w:hAnsiTheme="majorEastAsia" w:eastAsiaTheme="majorEastAsia"/>
          <w:sz w:val="24"/>
          <w:szCs w:val="24"/>
        </w:rPr>
        <w:t>没有失信黑名单记录（以最高院失信被执行人系统发布信息为准）；</w:t>
      </w:r>
    </w:p>
    <w:p>
      <w:pPr>
        <w:widowControl/>
        <w:autoSpaceDE/>
        <w:autoSpaceDN/>
        <w:ind w:firstLine="480" w:firstLineChars="200"/>
        <w:jc w:val="both"/>
        <w:rPr>
          <w:rFonts w:asciiTheme="majorEastAsia" w:hAnsiTheme="majorEastAsia" w:eastAsiaTheme="majorEastAsia"/>
          <w:sz w:val="24"/>
          <w:szCs w:val="24"/>
          <w:lang w:eastAsia="zh-CN"/>
        </w:rPr>
      </w:pPr>
      <w:r>
        <w:rPr>
          <w:rFonts w:hint="eastAsia"/>
          <w:sz w:val="24"/>
          <w:szCs w:val="24"/>
          <w:lang w:eastAsia="zh-CN"/>
        </w:rPr>
        <w:t xml:space="preserve">7.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2"/>
        <w:spacing w:line="360" w:lineRule="auto"/>
        <w:ind w:firstLine="465"/>
        <w:rPr>
          <w:sz w:val="24"/>
          <w:szCs w:val="24"/>
        </w:rPr>
      </w:pPr>
      <w:r>
        <w:rPr>
          <w:rFonts w:hint="eastAsia" w:asciiTheme="majorEastAsia" w:hAnsiTheme="majorEastAsia" w:eastAsiaTheme="majorEastAsia"/>
          <w:sz w:val="24"/>
          <w:szCs w:val="24"/>
        </w:rPr>
        <w:t xml:space="preserve">8. </w:t>
      </w:r>
      <w:r>
        <w:rPr>
          <w:rFonts w:hint="eastAsia"/>
          <w:sz w:val="24"/>
          <w:szCs w:val="24"/>
        </w:rPr>
        <w:t>本项目不接受联合体参选，不允许分包。</w:t>
      </w:r>
    </w:p>
    <w:p>
      <w:pPr>
        <w:pStyle w:val="25"/>
        <w:autoSpaceDE/>
        <w:autoSpaceDN/>
        <w:spacing w:before="0"/>
        <w:ind w:left="119" w:leftChars="54" w:firstLine="378" w:firstLineChars="147"/>
        <w:jc w:val="both"/>
        <w:rPr>
          <w:rFonts w:asciiTheme="majorEastAsia" w:hAnsiTheme="majorEastAsia" w:eastAsiaTheme="majorEastAsia"/>
          <w:b/>
          <w:bCs/>
          <w:sz w:val="24"/>
          <w:szCs w:val="24"/>
          <w:lang w:eastAsia="zh-CN"/>
        </w:rPr>
      </w:pPr>
      <w:r>
        <w:rPr>
          <w:rFonts w:hint="eastAsia"/>
          <w:b/>
          <w:snapToGrid w:val="0"/>
          <w:spacing w:val="8"/>
          <w:sz w:val="24"/>
          <w:szCs w:val="24"/>
          <w:lang w:eastAsia="zh-CN"/>
        </w:rPr>
        <w:t>三、</w:t>
      </w:r>
      <w:r>
        <w:rPr>
          <w:rFonts w:hint="eastAsia" w:asciiTheme="majorEastAsia" w:hAnsiTheme="majorEastAsia" w:eastAsiaTheme="majorEastAsia"/>
          <w:b/>
          <w:bCs/>
          <w:sz w:val="24"/>
          <w:szCs w:val="24"/>
          <w:lang w:eastAsia="zh-CN"/>
        </w:rPr>
        <w:t>报名要求</w:t>
      </w:r>
    </w:p>
    <w:p>
      <w:pPr>
        <w:autoSpaceDE/>
        <w:autoSpaceDN/>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2021年6月</w:t>
      </w:r>
      <w:r>
        <w:rPr>
          <w:rFonts w:hint="eastAsia" w:asciiTheme="majorEastAsia" w:hAnsiTheme="majorEastAsia" w:eastAsiaTheme="majorEastAsia"/>
          <w:sz w:val="24"/>
          <w:szCs w:val="24"/>
          <w:lang w:val="en-US" w:eastAsia="zh-CN"/>
        </w:rPr>
        <w:t>18</w:t>
      </w:r>
      <w:r>
        <w:rPr>
          <w:rFonts w:hint="eastAsia" w:asciiTheme="majorEastAsia" w:hAnsiTheme="majorEastAsia" w:eastAsiaTheme="majorEastAsia"/>
          <w:sz w:val="24"/>
          <w:szCs w:val="24"/>
          <w:lang w:eastAsia="zh-CN"/>
        </w:rPr>
        <w:t>日至</w:t>
      </w:r>
      <w:r>
        <w:rPr>
          <w:rFonts w:hint="eastAsia" w:asciiTheme="majorEastAsia" w:hAnsiTheme="majorEastAsia" w:eastAsiaTheme="majorEastAsia"/>
          <w:sz w:val="24"/>
          <w:szCs w:val="24"/>
          <w:lang w:val="en-US" w:eastAsia="zh-CN"/>
        </w:rPr>
        <w:t>27</w:t>
      </w:r>
      <w:bookmarkStart w:id="10" w:name="_GoBack"/>
      <w:bookmarkEnd w:id="10"/>
      <w:r>
        <w:rPr>
          <w:rFonts w:hint="eastAsia" w:asciiTheme="majorEastAsia" w:hAnsiTheme="majorEastAsia" w:eastAsiaTheme="majorEastAsia"/>
          <w:sz w:val="24"/>
          <w:szCs w:val="24"/>
          <w:lang w:eastAsia="zh-CN"/>
        </w:rPr>
        <w:t>日14:30时（共10天）</w:t>
      </w:r>
    </w:p>
    <w:p>
      <w:pPr>
        <w:pStyle w:val="2"/>
        <w:spacing w:line="360" w:lineRule="auto"/>
        <w:rPr>
          <w:sz w:val="24"/>
          <w:szCs w:val="24"/>
        </w:rPr>
      </w:pPr>
      <w:r>
        <w:rPr>
          <w:rFonts w:hint="eastAsia"/>
          <w:sz w:val="24"/>
          <w:szCs w:val="24"/>
        </w:rPr>
        <w:t xml:space="preserve">       获取比选文件：参选人自行下载比选文件</w:t>
      </w:r>
    </w:p>
    <w:p>
      <w:pPr>
        <w:autoSpaceDE/>
        <w:autoSpaceDN/>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报名方式：</w:t>
      </w:r>
    </w:p>
    <w:p>
      <w:pPr>
        <w:autoSpaceDE/>
        <w:autoSpaceDN/>
        <w:ind w:left="484" w:leftChars="220" w:firstLine="360" w:firstLine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邮件报名（须同时提交盖公章的法定代表人授权书及营业执照扫描件），邮件发至：</w:t>
      </w:r>
      <w:r>
        <w:fldChar w:fldCharType="begin"/>
      </w:r>
      <w:r>
        <w:instrText xml:space="preserve"> HYPERLINK "mailto:hzji@fhcpec.com.cn" </w:instrText>
      </w:r>
      <w:r>
        <w:fldChar w:fldCharType="separate"/>
      </w:r>
      <w:r>
        <w:rPr>
          <w:rStyle w:val="22"/>
          <w:rFonts w:hint="eastAsia" w:asciiTheme="majorEastAsia" w:hAnsiTheme="majorEastAsia" w:eastAsiaTheme="majorEastAsia"/>
          <w:sz w:val="24"/>
          <w:szCs w:val="24"/>
          <w:lang w:eastAsia="zh-CN"/>
        </w:rPr>
        <w:t>hzji@fhcpec.com.cn</w:t>
      </w:r>
      <w:r>
        <w:rPr>
          <w:rStyle w:val="22"/>
          <w:rFonts w:hint="eastAsia" w:asciiTheme="majorEastAsia" w:hAnsiTheme="majorEastAsia" w:eastAsiaTheme="majorEastAsia"/>
          <w:sz w:val="24"/>
          <w:szCs w:val="24"/>
          <w:lang w:eastAsia="zh-CN"/>
        </w:rPr>
        <w:fldChar w:fldCharType="end"/>
      </w:r>
      <w:r>
        <w:rPr>
          <w:rFonts w:hint="eastAsia" w:asciiTheme="majorEastAsia" w:hAnsiTheme="majorEastAsia" w:eastAsiaTheme="majorEastAsia"/>
          <w:bCs/>
          <w:sz w:val="24"/>
          <w:szCs w:val="24"/>
          <w:lang w:eastAsia="zh-CN"/>
        </w:rPr>
        <w:t>。未报名的参选人不能参加本项目比选。</w:t>
      </w:r>
    </w:p>
    <w:p>
      <w:pPr>
        <w:ind w:firstLine="840" w:firstLineChars="350"/>
        <w:rPr>
          <w:b/>
          <w:snapToGrid w:val="0"/>
          <w:spacing w:val="8"/>
          <w:sz w:val="24"/>
          <w:szCs w:val="24"/>
          <w:lang w:eastAsia="zh-CN"/>
        </w:rPr>
      </w:pPr>
      <w:r>
        <w:rPr>
          <w:rFonts w:hint="eastAsia" w:asciiTheme="majorEastAsia" w:hAnsiTheme="majorEastAsia" w:eastAsiaTheme="majorEastAsia"/>
          <w:bCs/>
          <w:sz w:val="24"/>
          <w:szCs w:val="24"/>
          <w:lang w:eastAsia="zh-CN"/>
        </w:rPr>
        <w:t>2)需到现场进行技术交流，签订技术协议书。</w:t>
      </w:r>
    </w:p>
    <w:p>
      <w:pPr>
        <w:pStyle w:val="25"/>
        <w:numPr>
          <w:ilvl w:val="0"/>
          <w:numId w:val="1"/>
        </w:numPr>
        <w:autoSpaceDE/>
        <w:autoSpaceDN/>
        <w:spacing w:before="0"/>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autoSpaceDE/>
        <w:autoSpaceDN/>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递交截止时间：报名截止时间延后1个工作日</w:t>
      </w:r>
    </w:p>
    <w:p>
      <w:pPr>
        <w:pStyle w:val="25"/>
        <w:numPr>
          <w:ilvl w:val="0"/>
          <w:numId w:val="1"/>
        </w:numPr>
        <w:autoSpaceDE/>
        <w:autoSpaceDN/>
        <w:spacing w:before="0"/>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联系方式</w:t>
      </w:r>
    </w:p>
    <w:p>
      <w:pPr>
        <w:pStyle w:val="5"/>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5"/>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纪检监察室电话：0596-6311774  邮箱：</w:t>
      </w:r>
      <w:r>
        <w:fldChar w:fldCharType="begin"/>
      </w:r>
      <w:r>
        <w:instrText xml:space="preserve"> HYPERLINK "mailto:fhcjc@fhcpec.com.cn" </w:instrText>
      </w:r>
      <w:r>
        <w:fldChar w:fldCharType="separate"/>
      </w:r>
      <w:r>
        <w:rPr>
          <w:rStyle w:val="22"/>
          <w:rFonts w:hint="eastAsia" w:asciiTheme="majorEastAsia" w:hAnsiTheme="majorEastAsia" w:eastAsiaTheme="majorEastAsia"/>
          <w:sz w:val="24"/>
        </w:rPr>
        <w:t>fhcjc</w:t>
      </w:r>
      <w:r>
        <w:rPr>
          <w:rStyle w:val="22"/>
          <w:rFonts w:asciiTheme="majorEastAsia" w:hAnsiTheme="majorEastAsia" w:eastAsiaTheme="majorEastAsia"/>
          <w:sz w:val="24"/>
        </w:rPr>
        <w:t>@fhcpec.com.cn</w:t>
      </w:r>
      <w:r>
        <w:rPr>
          <w:rStyle w:val="22"/>
          <w:rFonts w:asciiTheme="majorEastAsia" w:hAnsiTheme="majorEastAsia" w:eastAsiaTheme="majorEastAsia"/>
          <w:sz w:val="24"/>
        </w:rPr>
        <w:fldChar w:fldCharType="end"/>
      </w:r>
    </w:p>
    <w:p>
      <w:pPr>
        <w:pStyle w:val="5"/>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tabs>
          <w:tab w:val="left" w:pos="1272"/>
        </w:tabs>
        <w:ind w:left="9"/>
        <w:jc w:val="center"/>
        <w:rPr>
          <w:sz w:val="24"/>
          <w:szCs w:val="24"/>
          <w:lang w:eastAsia="zh-CN"/>
        </w:rPr>
      </w:pPr>
      <w:r>
        <w:rPr>
          <w:rFonts w:hint="eastAsia"/>
          <w:sz w:val="24"/>
          <w:szCs w:val="24"/>
          <w:lang w:eastAsia="zh-CN"/>
        </w:rPr>
        <w:t>福建福海创石油化工有限公司</w:t>
      </w:r>
    </w:p>
    <w:p>
      <w:pPr>
        <w:spacing w:line="324" w:lineRule="auto"/>
        <w:ind w:firstLine="4200" w:firstLineChars="1750"/>
        <w:rPr>
          <w:sz w:val="24"/>
          <w:szCs w:val="24"/>
          <w:lang w:eastAsia="zh-CN"/>
        </w:rPr>
      </w:pPr>
      <w:r>
        <w:rPr>
          <w:rFonts w:hint="eastAsia"/>
          <w:sz w:val="24"/>
          <w:szCs w:val="24"/>
          <w:lang w:eastAsia="zh-CN"/>
        </w:rPr>
        <w:t>2021.06.18</w:t>
      </w:r>
    </w:p>
    <w:p>
      <w:pPr>
        <w:pStyle w:val="3"/>
        <w:tabs>
          <w:tab w:val="left" w:pos="1262"/>
        </w:tabs>
        <w:spacing w:line="355" w:lineRule="exact"/>
        <w:ind w:left="0" w:right="108"/>
        <w:jc w:val="center"/>
        <w:rPr>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ind w:left="680"/>
        <w:rPr>
          <w:rFonts w:asciiTheme="majorEastAsia" w:hAnsiTheme="majorEastAsia" w:eastAsiaTheme="majorEastAsia"/>
          <w:b/>
          <w:sz w:val="24"/>
          <w:szCs w:val="24"/>
          <w:lang w:eastAsia="zh-CN"/>
        </w:rPr>
      </w:pPr>
      <w:r>
        <w:rPr>
          <w:rFonts w:asciiTheme="majorEastAsia" w:hAnsiTheme="majorEastAsia" w:eastAsiaTheme="majorEastAsia"/>
          <w:b/>
          <w:w w:val="95"/>
          <w:sz w:val="24"/>
          <w:szCs w:val="24"/>
          <w:lang w:eastAsia="zh-CN"/>
        </w:rPr>
        <w:t>一、比选内容</w:t>
      </w:r>
    </w:p>
    <w:p>
      <w:pPr>
        <w:pStyle w:val="8"/>
        <w:ind w:left="595"/>
        <w:rPr>
          <w:rFonts w:asciiTheme="majorEastAsia" w:hAnsiTheme="majorEastAsia" w:eastAsiaTheme="majorEastAsia"/>
          <w:u w:val="single"/>
          <w:lang w:eastAsia="zh-CN"/>
        </w:rPr>
      </w:pPr>
      <w:r>
        <w:rPr>
          <w:rFonts w:asciiTheme="majorEastAsia" w:hAnsiTheme="majorEastAsia" w:eastAsiaTheme="majorEastAsia"/>
          <w:lang w:eastAsia="zh-CN"/>
        </w:rPr>
        <w:t>(一)</w:t>
      </w:r>
      <w:r>
        <w:rPr>
          <w:rFonts w:hint="eastAsia" w:asciiTheme="majorEastAsia" w:hAnsiTheme="majorEastAsia" w:eastAsiaTheme="majorEastAsia"/>
          <w:lang w:eastAsia="zh-CN"/>
        </w:rPr>
        <w:t>项目</w:t>
      </w:r>
      <w:r>
        <w:rPr>
          <w:rFonts w:asciiTheme="majorEastAsia" w:hAnsiTheme="majorEastAsia" w:eastAsiaTheme="majorEastAsia"/>
          <w:lang w:eastAsia="zh-CN"/>
        </w:rPr>
        <w:t>名称：</w:t>
      </w:r>
      <w:r>
        <w:rPr>
          <w:rFonts w:hint="eastAsia" w:asciiTheme="majorEastAsia" w:hAnsiTheme="majorEastAsia" w:eastAsiaTheme="majorEastAsia"/>
          <w:b/>
          <w:bCs/>
          <w:u w:val="single"/>
          <w:lang w:eastAsia="zh-CN"/>
        </w:rPr>
        <w:t>全厂电力系统安全稳定评估</w:t>
      </w:r>
      <w:r>
        <w:rPr>
          <w:rFonts w:hint="eastAsia" w:asciiTheme="majorEastAsia" w:hAnsiTheme="majorEastAsia" w:eastAsiaTheme="majorEastAsia"/>
          <w:b/>
          <w:u w:val="single"/>
          <w:lang w:eastAsia="zh-CN"/>
        </w:rPr>
        <w:t xml:space="preserve">  </w:t>
      </w:r>
    </w:p>
    <w:p>
      <w:pPr>
        <w:pStyle w:val="8"/>
        <w:ind w:left="598"/>
        <w:rPr>
          <w:rFonts w:asciiTheme="majorEastAsia" w:hAnsiTheme="majorEastAsia" w:eastAsiaTheme="majorEastAsia"/>
          <w:lang w:eastAsia="zh-CN"/>
        </w:rPr>
      </w:pPr>
      <w:r>
        <w:rPr>
          <w:rFonts w:asciiTheme="majorEastAsia" w:hAnsiTheme="majorEastAsia" w:eastAsiaTheme="majorEastAsia"/>
          <w:lang w:eastAsia="zh-CN"/>
        </w:rPr>
        <w:t>(二)</w:t>
      </w:r>
      <w:r>
        <w:rPr>
          <w:rFonts w:hint="eastAsia" w:asciiTheme="majorEastAsia" w:hAnsiTheme="majorEastAsia" w:eastAsiaTheme="majorEastAsia"/>
          <w:lang w:eastAsia="zh-CN"/>
        </w:rPr>
        <w:t>项目</w:t>
      </w:r>
      <w:r>
        <w:rPr>
          <w:rFonts w:asciiTheme="majorEastAsia" w:hAnsiTheme="majorEastAsia" w:eastAsiaTheme="majorEastAsia"/>
          <w:lang w:eastAsia="zh-CN"/>
        </w:rPr>
        <w:t>地点：</w:t>
      </w:r>
      <w:r>
        <w:rPr>
          <w:rFonts w:hint="eastAsia" w:asciiTheme="majorEastAsia" w:hAnsiTheme="majorEastAsia" w:eastAsiaTheme="majorEastAsia"/>
          <w:b/>
          <w:u w:val="single"/>
          <w:lang w:eastAsia="zh-CN"/>
        </w:rPr>
        <w:t xml:space="preserve">漳州市漳浦县古雷开发区 </w:t>
      </w:r>
    </w:p>
    <w:p>
      <w:pPr>
        <w:pStyle w:val="8"/>
        <w:ind w:left="595"/>
        <w:rPr>
          <w:rFonts w:asciiTheme="majorEastAsia" w:hAnsiTheme="majorEastAsia" w:eastAsiaTheme="majorEastAsia"/>
          <w:lang w:eastAsia="zh-CN"/>
        </w:rPr>
      </w:pPr>
      <w:r>
        <w:rPr>
          <w:rFonts w:asciiTheme="majorEastAsia" w:hAnsiTheme="majorEastAsia" w:eastAsiaTheme="majorEastAsia"/>
          <w:lang w:eastAsia="zh-CN"/>
        </w:rPr>
        <w:t>(三)</w:t>
      </w:r>
      <w:r>
        <w:rPr>
          <w:rFonts w:hint="eastAsia" w:asciiTheme="majorEastAsia" w:hAnsiTheme="majorEastAsia" w:eastAsiaTheme="majorEastAsia"/>
          <w:lang w:eastAsia="zh-CN"/>
        </w:rPr>
        <w:t>承包方式：</w:t>
      </w:r>
      <w:r>
        <w:rPr>
          <w:rFonts w:hint="eastAsia" w:asciiTheme="majorEastAsia" w:hAnsiTheme="majorEastAsia" w:eastAsiaTheme="majorEastAsia"/>
          <w:b/>
          <w:u w:val="single"/>
          <w:lang w:eastAsia="zh-CN"/>
        </w:rPr>
        <w:t>本项目采用包干总价的方式。</w:t>
      </w:r>
    </w:p>
    <w:p>
      <w:pPr>
        <w:pStyle w:val="8"/>
        <w:ind w:left="598"/>
        <w:rPr>
          <w:rFonts w:asciiTheme="majorEastAsia" w:hAnsiTheme="majorEastAsia" w:eastAsiaTheme="majorEastAsia"/>
          <w:lang w:eastAsia="zh-CN"/>
        </w:rPr>
      </w:pPr>
      <w:r>
        <w:rPr>
          <w:rFonts w:asciiTheme="majorEastAsia" w:hAnsiTheme="majorEastAsia" w:eastAsiaTheme="majorEastAsia"/>
          <w:lang w:eastAsia="zh-CN"/>
        </w:rPr>
        <w:t>(</w:t>
      </w:r>
      <w:r>
        <w:rPr>
          <w:rFonts w:hint="eastAsia" w:asciiTheme="majorEastAsia" w:hAnsiTheme="majorEastAsia" w:eastAsiaTheme="majorEastAsia"/>
          <w:lang w:eastAsia="zh-CN"/>
        </w:rPr>
        <w:t>四</w:t>
      </w:r>
      <w:r>
        <w:rPr>
          <w:rFonts w:asciiTheme="majorEastAsia" w:hAnsiTheme="majorEastAsia" w:eastAsiaTheme="majorEastAsia"/>
          <w:lang w:eastAsia="zh-CN"/>
        </w:rPr>
        <w:t>)比选范围：</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1.项目概况：</w:t>
      </w:r>
      <w:r>
        <w:rPr>
          <w:rFonts w:hint="eastAsia" w:asciiTheme="majorEastAsia" w:hAnsiTheme="majorEastAsia" w:eastAsiaTheme="majorEastAsia"/>
          <w:snapToGrid w:val="0"/>
          <w:spacing w:val="8"/>
          <w:sz w:val="24"/>
          <w:szCs w:val="24"/>
          <w:u w:val="single"/>
          <w:lang w:eastAsia="zh-CN"/>
        </w:rPr>
        <w:t xml:space="preserve">见附件“发包说明” </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2.比选范围及内容：</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本次比选范围为福海创全厂电力系统（含码头），从系统运行、一二次设备、运行管理、设备管理、技术管理、作业规范、事故处理、人员培训等方面，对企业电气专业做全维度安全稳定状态评估及整改建议。同时，开展全厂电力系统进行仿真技术，重点在于运行方式校核（和N-1）、短路电流计算、大电机（群）起动分析、系统孤网运行与暂态稳定性研究、对全厂继电保护方案与灵敏度校核、继电保护整定计算、二期项目系统接入等。</w:t>
      </w:r>
    </w:p>
    <w:p>
      <w:pPr>
        <w:ind w:firstLine="480" w:firstLineChars="200"/>
        <w:rPr>
          <w:sz w:val="24"/>
          <w:lang w:eastAsia="zh-CN"/>
        </w:rPr>
      </w:pPr>
      <w:r>
        <w:rPr>
          <w:rFonts w:hint="eastAsia" w:asciiTheme="majorEastAsia" w:hAnsiTheme="majorEastAsia" w:eastAsiaTheme="majorEastAsia"/>
          <w:sz w:val="24"/>
          <w:szCs w:val="24"/>
          <w:lang w:eastAsia="zh-CN"/>
        </w:rPr>
        <w:t>3.</w:t>
      </w:r>
      <w:r>
        <w:rPr>
          <w:rFonts w:hint="eastAsia"/>
          <w:sz w:val="24"/>
          <w:lang w:eastAsia="zh-CN"/>
        </w:rPr>
        <w:t xml:space="preserve"> 除非合同另有规定，均须遵守最新的国家标准</w:t>
      </w:r>
      <w:r>
        <w:rPr>
          <w:sz w:val="24"/>
          <w:lang w:eastAsia="zh-CN"/>
        </w:rPr>
        <w:t>(GB)</w:t>
      </w:r>
      <w:r>
        <w:rPr>
          <w:rFonts w:hint="eastAsia"/>
          <w:sz w:val="24"/>
          <w:lang w:eastAsia="zh-CN"/>
        </w:rPr>
        <w:t>、国家电力行业标准(</w:t>
      </w:r>
      <w:r>
        <w:rPr>
          <w:sz w:val="24"/>
          <w:lang w:eastAsia="zh-CN"/>
        </w:rPr>
        <w:t>DL</w:t>
      </w:r>
      <w:r>
        <w:rPr>
          <w:rFonts w:hint="eastAsia"/>
          <w:sz w:val="24"/>
          <w:lang w:eastAsia="zh-CN"/>
        </w:rPr>
        <w:t>)、国际电工委员会</w:t>
      </w:r>
      <w:r>
        <w:rPr>
          <w:sz w:val="24"/>
          <w:lang w:eastAsia="zh-CN"/>
        </w:rPr>
        <w:t>(IEC)</w:t>
      </w:r>
      <w:r>
        <w:rPr>
          <w:rFonts w:hint="eastAsia"/>
          <w:sz w:val="24"/>
          <w:lang w:eastAsia="zh-CN"/>
        </w:rPr>
        <w:t>标准及国际单位制</w:t>
      </w:r>
      <w:r>
        <w:rPr>
          <w:sz w:val="24"/>
          <w:lang w:eastAsia="zh-CN"/>
        </w:rPr>
        <w:t>(SI)</w:t>
      </w:r>
      <w:r>
        <w:rPr>
          <w:rFonts w:hint="eastAsia"/>
          <w:sz w:val="24"/>
          <w:lang w:eastAsia="zh-CN"/>
        </w:rPr>
        <w:t>标准。当上述标准不一致时，按技术条款要求高的标准执行。</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 成果提交要求：</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见附件“发包说明书”</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5.工期要求</w:t>
      </w:r>
      <w:r>
        <w:rPr>
          <w:rFonts w:asciiTheme="majorEastAsia" w:hAnsiTheme="majorEastAsia" w:eastAsiaTheme="majorEastAsia"/>
          <w:sz w:val="24"/>
          <w:szCs w:val="24"/>
          <w:lang w:eastAsia="zh-CN"/>
        </w:rPr>
        <w:t>：</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5.1、现场勘查、开展安稳评估：27天内提交评估报告； </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5.2、全厂电力系统仿真分析：30个工作日内完成；</w:t>
      </w:r>
    </w:p>
    <w:p>
      <w:pPr>
        <w:pStyle w:val="2"/>
        <w:spacing w:line="360" w:lineRule="auto"/>
        <w:rPr>
          <w:sz w:val="24"/>
          <w:szCs w:val="24"/>
        </w:rPr>
      </w:pPr>
      <w:r>
        <w:rPr>
          <w:rFonts w:hint="eastAsia"/>
          <w:sz w:val="24"/>
          <w:szCs w:val="24"/>
        </w:rPr>
        <w:t xml:space="preserve">    5.3、全厂电力系统继电保护计算整定与校核：30个工作日内完成。</w:t>
      </w:r>
    </w:p>
    <w:p>
      <w:pPr>
        <w:widowControl/>
        <w:tabs>
          <w:tab w:val="left" w:pos="0"/>
          <w:tab w:val="left" w:pos="993"/>
          <w:tab w:val="left" w:pos="1134"/>
        </w:tabs>
        <w:autoSpaceDE/>
        <w:autoSpaceDN/>
        <w:ind w:firstLine="480" w:firstLineChars="200"/>
        <w:jc w:val="both"/>
        <w:rPr>
          <w:rFonts w:asciiTheme="majorEastAsia" w:hAnsiTheme="majorEastAsia" w:eastAsiaTheme="majorEastAsia"/>
          <w:spacing w:val="-10"/>
          <w:sz w:val="24"/>
          <w:szCs w:val="24"/>
          <w:lang w:eastAsia="zh-CN"/>
        </w:rPr>
      </w:pPr>
      <w:r>
        <w:rPr>
          <w:rFonts w:hint="eastAsia" w:asciiTheme="majorEastAsia" w:hAnsiTheme="majorEastAsia" w:eastAsiaTheme="majorEastAsia"/>
          <w:sz w:val="24"/>
          <w:szCs w:val="24"/>
          <w:lang w:eastAsia="zh-CN"/>
        </w:rPr>
        <w:t>6.控制价：</w:t>
      </w:r>
      <w:r>
        <w:rPr>
          <w:rFonts w:hint="eastAsia" w:asciiTheme="majorEastAsia" w:hAnsiTheme="majorEastAsia" w:eastAsiaTheme="majorEastAsia"/>
          <w:b/>
          <w:spacing w:val="-10"/>
          <w:sz w:val="24"/>
          <w:szCs w:val="24"/>
          <w:lang w:eastAsia="zh-CN"/>
        </w:rPr>
        <w:t>本项目最高限价为人民币50万元</w:t>
      </w:r>
      <w:r>
        <w:rPr>
          <w:rFonts w:hint="eastAsia" w:asciiTheme="majorEastAsia" w:hAnsiTheme="majorEastAsia" w:eastAsiaTheme="majorEastAsia"/>
          <w:spacing w:val="-10"/>
          <w:sz w:val="24"/>
          <w:szCs w:val="24"/>
          <w:lang w:eastAsia="zh-CN"/>
        </w:rPr>
        <w:t>。参选人在比选文件中填报的投标总价高于最高限价的，视为未实质性响应招标文件要求，其报价将被视为无效报价。</w:t>
      </w:r>
    </w:p>
    <w:p>
      <w:pPr>
        <w:pStyle w:val="3"/>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二、定义和解释</w:t>
      </w:r>
    </w:p>
    <w:p>
      <w:pPr>
        <w:pStyle w:val="8"/>
        <w:ind w:left="598"/>
        <w:rPr>
          <w:rFonts w:asciiTheme="majorEastAsia" w:hAnsiTheme="majorEastAsia" w:eastAsiaTheme="majorEastAsia"/>
          <w:lang w:eastAsia="zh-CN"/>
        </w:rPr>
      </w:pPr>
      <w:r>
        <w:rPr>
          <w:rFonts w:asciiTheme="majorEastAsia" w:hAnsiTheme="majorEastAsia" w:eastAsiaTheme="majorEastAsia"/>
          <w:lang w:eastAsia="zh-CN"/>
        </w:rPr>
        <w:t>1.“比选人”系</w:t>
      </w:r>
      <w:r>
        <w:rPr>
          <w:rFonts w:hint="eastAsia" w:asciiTheme="majorEastAsia" w:hAnsiTheme="majorEastAsia" w:eastAsiaTheme="majorEastAsia"/>
          <w:lang w:eastAsia="zh-CN"/>
        </w:rPr>
        <w:t>福建福海创石油化工</w:t>
      </w:r>
      <w:r>
        <w:rPr>
          <w:rFonts w:asciiTheme="majorEastAsia" w:hAnsiTheme="majorEastAsia" w:eastAsiaTheme="majorEastAsia"/>
          <w:lang w:eastAsia="zh-CN"/>
        </w:rPr>
        <w:t>有限公司，即业主方。</w:t>
      </w:r>
    </w:p>
    <w:p>
      <w:pPr>
        <w:pStyle w:val="8"/>
        <w:ind w:left="118" w:right="222" w:firstLine="480"/>
        <w:rPr>
          <w:rFonts w:asciiTheme="majorEastAsia" w:hAnsiTheme="majorEastAsia" w:eastAsiaTheme="majorEastAsia"/>
          <w:lang w:eastAsia="zh-CN"/>
        </w:rPr>
      </w:pPr>
      <w:r>
        <w:rPr>
          <w:rFonts w:asciiTheme="majorEastAsia" w:hAnsiTheme="majorEastAsia" w:eastAsiaTheme="majorEastAsia"/>
          <w:spacing w:val="-11"/>
          <w:lang w:eastAsia="zh-CN"/>
        </w:rPr>
        <w:t>2</w:t>
      </w:r>
      <w:r>
        <w:rPr>
          <w:rFonts w:asciiTheme="majorEastAsia" w:hAnsiTheme="majorEastAsia" w:eastAsiaTheme="majorEastAsia"/>
          <w:spacing w:val="-10"/>
          <w:lang w:eastAsia="zh-CN"/>
        </w:rPr>
        <w:t>.“参选人”系指向比选人报名并接受邀请，领取比选文件，且已经提交或准备提交本次参选文件的法人。</w:t>
      </w:r>
    </w:p>
    <w:p>
      <w:pPr>
        <w:pStyle w:val="8"/>
        <w:ind w:left="118" w:right="222" w:firstLine="480"/>
        <w:rPr>
          <w:rFonts w:asciiTheme="majorEastAsia" w:hAnsiTheme="majorEastAsia" w:eastAsiaTheme="majorEastAsia"/>
          <w:lang w:eastAsia="zh-CN"/>
        </w:rPr>
      </w:pPr>
      <w:r>
        <w:rPr>
          <w:rFonts w:asciiTheme="majorEastAsia" w:hAnsiTheme="majorEastAsia" w:eastAsiaTheme="majorEastAsia"/>
          <w:spacing w:val="-14"/>
          <w:lang w:eastAsia="zh-CN"/>
        </w:rPr>
        <w:t>3</w:t>
      </w:r>
      <w:r>
        <w:rPr>
          <w:rFonts w:asciiTheme="majorEastAsia" w:hAnsiTheme="majorEastAsia" w:eastAsiaTheme="majorEastAsia"/>
          <w:spacing w:val="-10"/>
          <w:lang w:eastAsia="zh-CN"/>
        </w:rPr>
        <w:t>.“参选人代表”系指全权代表参选人参加本次比选活动并签署参选文件的人，如果参选人代表不是参选人的法定代表人，须持有《法定代表人授权委托书》详见附件</w:t>
      </w:r>
      <w:r>
        <w:rPr>
          <w:rFonts w:hint="eastAsia" w:asciiTheme="majorEastAsia" w:hAnsiTheme="majorEastAsia" w:eastAsiaTheme="majorEastAsia"/>
          <w:spacing w:val="-10"/>
          <w:lang w:eastAsia="zh-CN"/>
        </w:rPr>
        <w:t>二</w:t>
      </w:r>
      <w:r>
        <w:rPr>
          <w:rFonts w:asciiTheme="majorEastAsia" w:hAnsiTheme="majorEastAsia" w:eastAsiaTheme="majorEastAsia"/>
          <w:spacing w:val="-10"/>
          <w:lang w:eastAsia="zh-CN"/>
        </w:rPr>
        <w:t>。</w:t>
      </w:r>
    </w:p>
    <w:p>
      <w:pPr>
        <w:pStyle w:val="3"/>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三、比选文件组成</w:t>
      </w:r>
    </w:p>
    <w:p>
      <w:pPr>
        <w:pStyle w:val="8"/>
        <w:ind w:left="598"/>
        <w:rPr>
          <w:rFonts w:asciiTheme="majorEastAsia" w:hAnsiTheme="majorEastAsia" w:eastAsiaTheme="majorEastAsia"/>
          <w:lang w:eastAsia="zh-CN"/>
        </w:rPr>
      </w:pPr>
      <w:r>
        <w:rPr>
          <w:rFonts w:asciiTheme="majorEastAsia" w:hAnsiTheme="majorEastAsia" w:eastAsiaTheme="majorEastAsia"/>
          <w:lang w:eastAsia="zh-CN"/>
        </w:rPr>
        <w:t>1.比选文件包括下列内容：</w:t>
      </w:r>
    </w:p>
    <w:p>
      <w:pPr>
        <w:pStyle w:val="8"/>
        <w:ind w:left="598"/>
        <w:rPr>
          <w:rFonts w:asciiTheme="majorEastAsia" w:hAnsiTheme="majorEastAsia" w:eastAsiaTheme="majorEastAsia"/>
          <w:lang w:eastAsia="zh-CN"/>
        </w:rPr>
      </w:pPr>
      <w:r>
        <w:rPr>
          <w:rFonts w:asciiTheme="majorEastAsia" w:hAnsiTheme="majorEastAsia" w:eastAsiaTheme="majorEastAsia"/>
          <w:lang w:eastAsia="zh-CN"/>
        </w:rPr>
        <w:t>比选公告、比选须知、项目内容、合同书格式、报价单、承诺函等。</w:t>
      </w:r>
    </w:p>
    <w:p>
      <w:pPr>
        <w:pStyle w:val="8"/>
        <w:ind w:left="118" w:right="212" w:firstLine="480"/>
        <w:rPr>
          <w:rFonts w:asciiTheme="majorEastAsia" w:hAnsiTheme="majorEastAsia" w:eastAsiaTheme="majorEastAsia"/>
          <w:lang w:eastAsia="zh-CN"/>
        </w:rPr>
      </w:pPr>
      <w:r>
        <w:rPr>
          <w:rFonts w:asciiTheme="majorEastAsia" w:hAnsiTheme="majorEastAsia" w:eastAsiaTheme="majorEastAsia"/>
          <w:lang w:eastAsia="zh-CN"/>
        </w:rPr>
        <w:t>2.比选文件除 1 中内容外，比选人在比选期间发出的书面文件和其他修改或补充函件，均是比选文件不可分割的组成部分。</w:t>
      </w:r>
    </w:p>
    <w:p>
      <w:pPr>
        <w:pStyle w:val="8"/>
        <w:spacing w:before="26"/>
        <w:ind w:left="598"/>
        <w:rPr>
          <w:rFonts w:asciiTheme="majorEastAsia" w:hAnsiTheme="majorEastAsia" w:eastAsiaTheme="majorEastAsia"/>
          <w:lang w:eastAsia="zh-CN"/>
        </w:rPr>
      </w:pPr>
      <w:r>
        <w:rPr>
          <w:rFonts w:asciiTheme="majorEastAsia" w:hAnsiTheme="majorEastAsia" w:eastAsiaTheme="majorEastAsia"/>
          <w:lang w:eastAsia="zh-CN"/>
        </w:rPr>
        <w:t>3.</w:t>
      </w:r>
      <w:r>
        <w:rPr>
          <w:rFonts w:asciiTheme="majorEastAsia" w:hAnsiTheme="majorEastAsia" w:eastAsiaTheme="majorEastAsia"/>
          <w:spacing w:val="-12"/>
          <w:lang w:eastAsia="zh-CN"/>
        </w:rPr>
        <w:t>参选人应认真阅读、并充分理解比选文件的全部内容</w:t>
      </w:r>
      <w:r>
        <w:rPr>
          <w:rFonts w:asciiTheme="majorEastAsia" w:hAnsiTheme="majorEastAsia" w:eastAsiaTheme="majorEastAsia"/>
          <w:lang w:eastAsia="zh-CN"/>
        </w:rPr>
        <w:t>（</w:t>
      </w:r>
      <w:r>
        <w:rPr>
          <w:rFonts w:asciiTheme="majorEastAsia" w:hAnsiTheme="majorEastAsia" w:eastAsiaTheme="majorEastAsia"/>
          <w:spacing w:val="-9"/>
          <w:lang w:eastAsia="zh-CN"/>
        </w:rPr>
        <w:t>包括所有的补充、修改内容、</w:t>
      </w:r>
    </w:p>
    <w:p>
      <w:pPr>
        <w:pStyle w:val="8"/>
        <w:ind w:left="118"/>
        <w:rPr>
          <w:rFonts w:asciiTheme="majorEastAsia" w:hAnsiTheme="majorEastAsia" w:eastAsiaTheme="majorEastAsia"/>
          <w:lang w:eastAsia="zh-CN"/>
        </w:rPr>
      </w:pPr>
      <w:r>
        <w:rPr>
          <w:rFonts w:asciiTheme="majorEastAsia" w:hAnsiTheme="majorEastAsia" w:eastAsiaTheme="majorEastAsia"/>
          <w:lang w:eastAsia="zh-CN"/>
        </w:rPr>
        <w:t>重要事项、格式、条款和技术规范、参数及要求等）。参选人没有按照比选文件要求提交</w:t>
      </w:r>
    </w:p>
    <w:p>
      <w:pPr>
        <w:pStyle w:val="8"/>
        <w:ind w:left="118" w:right="-49"/>
        <w:rPr>
          <w:rFonts w:asciiTheme="majorEastAsia" w:hAnsiTheme="majorEastAsia" w:eastAsiaTheme="majorEastAsia"/>
          <w:spacing w:val="-10"/>
          <w:lang w:eastAsia="zh-CN"/>
        </w:rPr>
      </w:pPr>
      <w:r>
        <w:rPr>
          <w:rFonts w:asciiTheme="majorEastAsia" w:hAnsiTheme="majorEastAsia" w:eastAsiaTheme="majorEastAsia"/>
          <w:spacing w:val="-10"/>
          <w:lang w:eastAsia="zh-CN"/>
        </w:rPr>
        <w:t>全部资料，或者没有对比选文件在各方面都做出实质性响应是参选人的风险，有可能导致其参选被拒绝，或被认定为无效参选或被确定为参选无效。</w:t>
      </w:r>
    </w:p>
    <w:p>
      <w:pPr>
        <w:pStyle w:val="3"/>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四、比选文件的澄清</w:t>
      </w:r>
    </w:p>
    <w:p>
      <w:pPr>
        <w:pStyle w:val="8"/>
        <w:ind w:left="118" w:right="92" w:firstLine="480"/>
        <w:rPr>
          <w:rFonts w:asciiTheme="majorEastAsia" w:hAnsiTheme="majorEastAsia" w:eastAsiaTheme="majorEastAsia"/>
          <w:lang w:eastAsia="zh-CN"/>
        </w:rPr>
      </w:pPr>
      <w:r>
        <w:rPr>
          <w:rFonts w:asciiTheme="majorEastAsia" w:hAnsiTheme="majorEastAsia" w:eastAsiaTheme="majorEastAsia"/>
          <w:spacing w:val="-9"/>
          <w:lang w:eastAsia="zh-CN"/>
        </w:rPr>
        <w:t>参选人获取比选文件后，应仔细检查比选文件的所有内容，如有残缺等问题应在获得</w:t>
      </w:r>
      <w:r>
        <w:rPr>
          <w:rFonts w:asciiTheme="majorEastAsia" w:hAnsiTheme="majorEastAsia" w:eastAsiaTheme="majorEastAsia"/>
          <w:spacing w:val="-20"/>
          <w:lang w:eastAsia="zh-CN"/>
        </w:rPr>
        <w:t>比选文件</w:t>
      </w:r>
      <w:r>
        <w:rPr>
          <w:rFonts w:asciiTheme="majorEastAsia" w:hAnsiTheme="majorEastAsia" w:eastAsiaTheme="majorEastAsia"/>
          <w:spacing w:val="-20"/>
          <w:u w:val="single"/>
          <w:lang w:eastAsia="zh-CN"/>
        </w:rPr>
        <w:t xml:space="preserve"> </w:t>
      </w:r>
      <w:r>
        <w:rPr>
          <w:rFonts w:asciiTheme="majorEastAsia" w:hAnsiTheme="majorEastAsia" w:eastAsiaTheme="majorEastAsia"/>
          <w:u w:val="single"/>
          <w:lang w:eastAsia="zh-CN"/>
        </w:rPr>
        <w:t>3</w:t>
      </w:r>
      <w:r>
        <w:rPr>
          <w:rFonts w:asciiTheme="majorEastAsia" w:hAnsiTheme="majorEastAsia" w:eastAsiaTheme="majorEastAsia"/>
          <w:spacing w:val="-13"/>
          <w:u w:val="single"/>
          <w:lang w:eastAsia="zh-CN"/>
        </w:rPr>
        <w:t xml:space="preserve"> </w:t>
      </w:r>
      <w:r>
        <w:rPr>
          <w:rFonts w:asciiTheme="majorEastAsia" w:hAnsiTheme="majorEastAsia" w:eastAsiaTheme="majorEastAsia"/>
          <w:spacing w:val="-13"/>
          <w:lang w:eastAsia="zh-CN"/>
        </w:rPr>
        <w:t>日内向比选人提出。参选人若对比选文件有任何疑问，应在参选截止时间前</w:t>
      </w:r>
      <w:r>
        <w:rPr>
          <w:rFonts w:asciiTheme="majorEastAsia" w:hAnsiTheme="majorEastAsia" w:eastAsiaTheme="majorEastAsia"/>
          <w:spacing w:val="-13"/>
          <w:u w:val="single"/>
          <w:lang w:eastAsia="zh-CN"/>
        </w:rPr>
        <w:t xml:space="preserve"> </w:t>
      </w:r>
      <w:r>
        <w:rPr>
          <w:rFonts w:asciiTheme="majorEastAsia" w:hAnsiTheme="majorEastAsia" w:eastAsiaTheme="majorEastAsia"/>
          <w:u w:val="single"/>
          <w:lang w:eastAsia="zh-CN"/>
        </w:rPr>
        <w:t xml:space="preserve">5 </w:t>
      </w:r>
      <w:r>
        <w:rPr>
          <w:rFonts w:asciiTheme="majorEastAsia" w:hAnsiTheme="majorEastAsia" w:eastAsiaTheme="majorEastAsia"/>
          <w:spacing w:val="-10"/>
          <w:lang w:eastAsia="zh-CN"/>
        </w:rPr>
        <w:t>日，按参选须知载明的地址以书面形式</w:t>
      </w:r>
      <w:r>
        <w:rPr>
          <w:rFonts w:asciiTheme="majorEastAsia" w:hAnsiTheme="majorEastAsia" w:eastAsiaTheme="majorEastAsia"/>
          <w:spacing w:val="-3"/>
          <w:lang w:eastAsia="zh-CN"/>
        </w:rPr>
        <w:t>（</w:t>
      </w:r>
      <w:r>
        <w:rPr>
          <w:rFonts w:asciiTheme="majorEastAsia" w:hAnsiTheme="majorEastAsia" w:eastAsiaTheme="majorEastAsia"/>
          <w:spacing w:val="-10"/>
          <w:lang w:eastAsia="zh-CN"/>
        </w:rPr>
        <w:t>包括书面、电子邮件下同</w:t>
      </w:r>
      <w:r>
        <w:rPr>
          <w:rFonts w:asciiTheme="majorEastAsia" w:hAnsiTheme="majorEastAsia" w:eastAsiaTheme="majorEastAsia"/>
          <w:spacing w:val="-49"/>
          <w:lang w:eastAsia="zh-CN"/>
        </w:rPr>
        <w:t>）</w:t>
      </w:r>
      <w:r>
        <w:rPr>
          <w:rFonts w:asciiTheme="majorEastAsia" w:hAnsiTheme="majorEastAsia" w:eastAsiaTheme="majorEastAsia"/>
          <w:lang w:eastAsia="zh-CN"/>
        </w:rPr>
        <w:t>通知到比选人。</w:t>
      </w:r>
      <w:r>
        <w:rPr>
          <w:rFonts w:asciiTheme="majorEastAsia" w:hAnsiTheme="majorEastAsia" w:eastAsiaTheme="majorEastAsia"/>
          <w:spacing w:val="-4"/>
          <w:lang w:eastAsia="zh-CN"/>
        </w:rPr>
        <w:t>比选人将视情况确定采用适当方式予以澄清或以书面形式予以答复，澄清文件作为比选文件的组成部分，具有约束作用。</w:t>
      </w:r>
    </w:p>
    <w:p>
      <w:pPr>
        <w:pStyle w:val="3"/>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五、比选文件的修改、补充</w:t>
      </w:r>
    </w:p>
    <w:p>
      <w:pPr>
        <w:pStyle w:val="8"/>
        <w:ind w:left="118" w:right="226" w:firstLine="480"/>
        <w:jc w:val="both"/>
        <w:rPr>
          <w:rFonts w:asciiTheme="majorEastAsia" w:hAnsiTheme="majorEastAsia" w:eastAsiaTheme="majorEastAsia"/>
          <w:lang w:eastAsia="zh-CN"/>
        </w:rPr>
      </w:pPr>
      <w:r>
        <w:rPr>
          <w:rFonts w:asciiTheme="majorEastAsia" w:hAnsiTheme="majorEastAsia" w:eastAsiaTheme="majorEastAsia"/>
          <w:lang w:eastAsia="zh-CN"/>
        </w:rPr>
        <w:t>1.在参选截止日期前，比选人可主动地或依据参选人要求澄清的问题而修改比选文</w:t>
      </w:r>
      <w:r>
        <w:rPr>
          <w:rFonts w:asciiTheme="majorEastAsia" w:hAnsiTheme="majorEastAsia" w:eastAsiaTheme="majorEastAsia"/>
          <w:spacing w:val="-10"/>
          <w:lang w:eastAsia="zh-CN"/>
        </w:rPr>
        <w:t>件，并以书面形式通知所有报名参加比选项目的每一参选人，对方在收到该通知后应立即</w:t>
      </w:r>
      <w:r>
        <w:rPr>
          <w:rFonts w:asciiTheme="majorEastAsia" w:hAnsiTheme="majorEastAsia" w:eastAsiaTheme="majorEastAsia"/>
          <w:spacing w:val="-2"/>
          <w:lang w:eastAsia="zh-CN"/>
        </w:rPr>
        <w:t>以书面形式予以确认；参选人未按规定时间予以确认或未按规定时间地点领取书面文件的，视比选通知已收到。</w:t>
      </w:r>
    </w:p>
    <w:p>
      <w:pPr>
        <w:pStyle w:val="8"/>
        <w:spacing w:before="27"/>
        <w:ind w:left="118" w:right="222" w:firstLine="480"/>
        <w:rPr>
          <w:rFonts w:asciiTheme="majorEastAsia" w:hAnsiTheme="majorEastAsia" w:eastAsiaTheme="majorEastAsia"/>
          <w:lang w:eastAsia="zh-CN"/>
        </w:rPr>
      </w:pPr>
      <w:r>
        <w:rPr>
          <w:rFonts w:asciiTheme="majorEastAsia" w:hAnsiTheme="majorEastAsia" w:eastAsiaTheme="majorEastAsia"/>
          <w:lang w:eastAsia="zh-CN"/>
        </w:rPr>
        <w:t>2.</w:t>
      </w:r>
      <w:r>
        <w:rPr>
          <w:rFonts w:asciiTheme="majorEastAsia" w:hAnsiTheme="majorEastAsia" w:eastAsiaTheme="majorEastAsia"/>
          <w:spacing w:val="-5"/>
          <w:lang w:eastAsia="zh-CN"/>
        </w:rPr>
        <w:t>为使参选人在准备参选文件时有合理的时间考虑比选文件的修改，比选人可酌情推迟参选截止时间和开评时间，并以书面形式通知已获得比选文件的每一参选人。</w:t>
      </w:r>
    </w:p>
    <w:p>
      <w:pPr>
        <w:pStyle w:val="8"/>
        <w:spacing w:before="27"/>
        <w:ind w:left="598"/>
        <w:rPr>
          <w:rFonts w:asciiTheme="majorEastAsia" w:hAnsiTheme="majorEastAsia" w:eastAsiaTheme="majorEastAsia"/>
          <w:lang w:eastAsia="zh-CN"/>
        </w:rPr>
      </w:pPr>
      <w:r>
        <w:rPr>
          <w:rFonts w:asciiTheme="majorEastAsia" w:hAnsiTheme="majorEastAsia" w:eastAsiaTheme="majorEastAsia"/>
          <w:lang w:eastAsia="zh-CN"/>
        </w:rPr>
        <w:t>3.比选文件的修改书将构成比选文件的一部分，对参选人具有约束作用。</w:t>
      </w:r>
    </w:p>
    <w:p>
      <w:pPr>
        <w:pStyle w:val="8"/>
        <w:spacing w:before="27"/>
        <w:ind w:left="598"/>
        <w:rPr>
          <w:rFonts w:asciiTheme="majorEastAsia" w:hAnsiTheme="majorEastAsia" w:eastAsiaTheme="majorEastAsia"/>
          <w:lang w:eastAsia="zh-CN"/>
        </w:rPr>
      </w:pPr>
      <w:r>
        <w:rPr>
          <w:rFonts w:hint="eastAsia" w:asciiTheme="majorEastAsia" w:hAnsiTheme="majorEastAsia" w:eastAsiaTheme="majorEastAsia"/>
          <w:lang w:eastAsia="zh-CN"/>
        </w:rPr>
        <w:t>4.比选人所作的一切有效补充、修改文件，均被视为比选文件不可分割的部分。</w:t>
      </w:r>
    </w:p>
    <w:p>
      <w:pPr>
        <w:pStyle w:val="3"/>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六、参选人资格</w:t>
      </w:r>
    </w:p>
    <w:p>
      <w:pPr>
        <w:ind w:firstLine="600" w:firstLineChars="250"/>
        <w:rPr>
          <w:sz w:val="24"/>
          <w:szCs w:val="24"/>
          <w:lang w:eastAsia="zh-CN"/>
        </w:rPr>
      </w:pPr>
      <w:r>
        <w:rPr>
          <w:rFonts w:hint="eastAsia"/>
          <w:sz w:val="24"/>
          <w:szCs w:val="24"/>
          <w:lang w:eastAsia="zh-CN"/>
        </w:rPr>
        <w:t xml:space="preserve">1. </w:t>
      </w:r>
      <w:r>
        <w:rPr>
          <w:rFonts w:hint="eastAsia" w:asciiTheme="majorEastAsia" w:hAnsiTheme="majorEastAsia" w:eastAsiaTheme="majorEastAsia"/>
          <w:sz w:val="24"/>
          <w:szCs w:val="24"/>
          <w:lang w:eastAsia="zh-CN"/>
        </w:rPr>
        <w:t>必须具有中华人民共和国独立法人资格，</w:t>
      </w:r>
      <w:r>
        <w:rPr>
          <w:rFonts w:hint="eastAsia"/>
          <w:sz w:val="24"/>
          <w:szCs w:val="24"/>
          <w:lang w:eastAsia="zh-CN"/>
        </w:rPr>
        <w:t>具备有效的企业法人营业执照；</w:t>
      </w:r>
    </w:p>
    <w:p>
      <w:pPr>
        <w:ind w:firstLine="600" w:firstLineChars="250"/>
        <w:rPr>
          <w:sz w:val="24"/>
          <w:szCs w:val="24"/>
          <w:lang w:eastAsia="zh-CN"/>
        </w:rPr>
      </w:pPr>
      <w:r>
        <w:rPr>
          <w:rFonts w:hint="eastAsia"/>
          <w:sz w:val="24"/>
          <w:szCs w:val="24"/>
          <w:lang w:eastAsia="zh-CN"/>
        </w:rPr>
        <w:t xml:space="preserve">2. </w:t>
      </w:r>
      <w:r>
        <w:rPr>
          <w:rFonts w:hint="eastAsia"/>
          <w:sz w:val="24"/>
          <w:lang w:eastAsia="zh-CN"/>
        </w:rPr>
        <w:t>参选方应具有承装（修、试）电力设施许可证五级证书</w:t>
      </w:r>
      <w:r>
        <w:rPr>
          <w:rFonts w:hint="eastAsia"/>
          <w:sz w:val="24"/>
          <w:szCs w:val="24"/>
          <w:lang w:eastAsia="zh-CN"/>
        </w:rPr>
        <w:t>；</w:t>
      </w:r>
    </w:p>
    <w:p>
      <w:pPr>
        <w:ind w:firstLine="600" w:firstLineChars="250"/>
        <w:rPr>
          <w:sz w:val="24"/>
          <w:szCs w:val="24"/>
          <w:lang w:eastAsia="zh-CN"/>
        </w:rPr>
      </w:pPr>
      <w:r>
        <w:rPr>
          <w:rFonts w:hint="eastAsia"/>
          <w:sz w:val="24"/>
          <w:szCs w:val="24"/>
          <w:lang w:eastAsia="zh-CN"/>
        </w:rPr>
        <w:t>3. 参选方应具有</w:t>
      </w:r>
      <w:r>
        <w:rPr>
          <w:rFonts w:hint="eastAsia"/>
          <w:sz w:val="24"/>
          <w:lang w:eastAsia="zh-CN"/>
        </w:rPr>
        <w:t>安全生产许可证书及信用等级AAA级证书</w:t>
      </w:r>
      <w:r>
        <w:rPr>
          <w:rFonts w:hint="eastAsia"/>
          <w:sz w:val="24"/>
          <w:szCs w:val="24"/>
          <w:lang w:eastAsia="zh-CN"/>
        </w:rPr>
        <w:t>；</w:t>
      </w:r>
    </w:p>
    <w:p>
      <w:pPr>
        <w:pStyle w:val="2"/>
        <w:spacing w:line="360" w:lineRule="auto"/>
        <w:ind w:firstLine="583" w:firstLineChars="243"/>
        <w:rPr>
          <w:sz w:val="24"/>
          <w:szCs w:val="24"/>
        </w:rPr>
      </w:pPr>
      <w:r>
        <w:rPr>
          <w:rFonts w:hint="eastAsia"/>
          <w:sz w:val="24"/>
          <w:szCs w:val="24"/>
        </w:rPr>
        <w:t xml:space="preserve">4. </w:t>
      </w:r>
      <w:r>
        <w:rPr>
          <w:rFonts w:hint="eastAsia" w:hAnsi="宋体"/>
          <w:sz w:val="24"/>
        </w:rPr>
        <w:t>参选方应具有ISO9001质量管理体系认证证书、ISO14001环境管理体系认证证书、OHSAS18001职业健康安全管理体系认证证书</w:t>
      </w:r>
      <w:r>
        <w:rPr>
          <w:rFonts w:hint="eastAsia"/>
          <w:sz w:val="24"/>
          <w:szCs w:val="24"/>
        </w:rPr>
        <w:t>；</w:t>
      </w:r>
    </w:p>
    <w:p>
      <w:pPr>
        <w:pStyle w:val="2"/>
        <w:spacing w:line="360" w:lineRule="auto"/>
        <w:ind w:firstLine="583" w:firstLineChars="243"/>
        <w:rPr>
          <w:sz w:val="24"/>
          <w:szCs w:val="24"/>
        </w:rPr>
      </w:pPr>
      <w:r>
        <w:rPr>
          <w:rFonts w:hint="eastAsia"/>
          <w:sz w:val="24"/>
          <w:szCs w:val="24"/>
        </w:rPr>
        <w:t xml:space="preserve">5. </w:t>
      </w:r>
      <w:r>
        <w:rPr>
          <w:rFonts w:hint="eastAsia" w:hAnsi="宋体"/>
          <w:sz w:val="24"/>
        </w:rPr>
        <w:t>参选方应提供电力系统继电保护及自动化整定计算、电力系统仿真分析及计算等项目评估的业绩（附相关业绩证明）；</w:t>
      </w:r>
    </w:p>
    <w:p>
      <w:pPr>
        <w:pStyle w:val="2"/>
        <w:spacing w:line="360" w:lineRule="auto"/>
        <w:ind w:firstLine="583" w:firstLineChars="243"/>
        <w:rPr>
          <w:sz w:val="24"/>
          <w:szCs w:val="24"/>
        </w:rPr>
      </w:pPr>
      <w:r>
        <w:rPr>
          <w:rFonts w:hint="eastAsia"/>
          <w:sz w:val="24"/>
          <w:szCs w:val="24"/>
        </w:rPr>
        <w:t xml:space="preserve">6. </w:t>
      </w:r>
      <w:r>
        <w:rPr>
          <w:rFonts w:asciiTheme="majorEastAsia" w:hAnsiTheme="majorEastAsia" w:eastAsiaTheme="majorEastAsia"/>
          <w:sz w:val="24"/>
          <w:szCs w:val="24"/>
        </w:rPr>
        <w:t>没有失信黑名单记录（以最高院失信被执行人系统发布信息为准）；</w:t>
      </w:r>
    </w:p>
    <w:p>
      <w:pPr>
        <w:widowControl/>
        <w:autoSpaceDE/>
        <w:autoSpaceDN/>
        <w:ind w:firstLine="600" w:firstLineChars="250"/>
        <w:jc w:val="both"/>
        <w:rPr>
          <w:rFonts w:asciiTheme="majorEastAsia" w:hAnsiTheme="majorEastAsia" w:eastAsiaTheme="majorEastAsia"/>
          <w:sz w:val="24"/>
          <w:szCs w:val="24"/>
          <w:lang w:eastAsia="zh-CN"/>
        </w:rPr>
      </w:pPr>
      <w:r>
        <w:rPr>
          <w:rFonts w:hint="eastAsia"/>
          <w:sz w:val="24"/>
          <w:szCs w:val="24"/>
          <w:lang w:eastAsia="zh-CN"/>
        </w:rPr>
        <w:t xml:space="preserve">7.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3"/>
        <w:ind w:left="0" w:firstLine="597" w:firstLineChars="249"/>
        <w:rPr>
          <w:rFonts w:asciiTheme="majorEastAsia" w:hAnsiTheme="majorEastAsia" w:eastAsiaTheme="majorEastAsia"/>
          <w:b w:val="0"/>
          <w:bCs w:val="0"/>
          <w:sz w:val="24"/>
          <w:szCs w:val="24"/>
          <w:lang w:eastAsia="zh-CN"/>
        </w:rPr>
      </w:pPr>
      <w:r>
        <w:rPr>
          <w:rFonts w:hint="eastAsia" w:asciiTheme="majorEastAsia" w:hAnsiTheme="majorEastAsia" w:eastAsiaTheme="majorEastAsia"/>
          <w:b w:val="0"/>
          <w:sz w:val="24"/>
          <w:szCs w:val="24"/>
          <w:lang w:eastAsia="zh-CN"/>
        </w:rPr>
        <w:t xml:space="preserve">8. </w:t>
      </w:r>
      <w:r>
        <w:rPr>
          <w:rFonts w:hint="eastAsia"/>
          <w:b w:val="0"/>
          <w:sz w:val="24"/>
          <w:szCs w:val="24"/>
          <w:lang w:eastAsia="zh-CN"/>
        </w:rPr>
        <w:t>本项目不接受联合体参选，不允许分包。</w:t>
      </w:r>
    </w:p>
    <w:p>
      <w:pPr>
        <w:pStyle w:val="3"/>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七、参选保证金</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1、参选保证金的金额为：人民币壹万元整（10000.00元）；</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开户银行：福建福海创石油化工有限公司 </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w:t>
      </w:r>
      <w:r>
        <w:rPr>
          <w:rFonts w:hint="eastAsia"/>
          <w:sz w:val="24"/>
          <w:szCs w:val="24"/>
          <w:lang w:eastAsia="zh-CN"/>
        </w:rPr>
        <w:t>中国银行股份有限公司漳州古雷经济开发区支行</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w:t>
      </w:r>
      <w:r>
        <w:rPr>
          <w:rFonts w:hint="eastAsia"/>
          <w:sz w:val="24"/>
          <w:szCs w:val="24"/>
          <w:lang w:eastAsia="zh-CN"/>
        </w:rPr>
        <w:t>406574816628</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b/>
          <w:bCs/>
          <w:sz w:val="24"/>
          <w:szCs w:val="24"/>
          <w:lang w:eastAsia="zh-CN"/>
        </w:rPr>
        <w:t>全厂电力系统安全稳定评估</w:t>
      </w:r>
      <w:r>
        <w:rPr>
          <w:rFonts w:hint="eastAsia" w:asciiTheme="majorEastAsia" w:hAnsiTheme="majorEastAsia" w:eastAsiaTheme="majorEastAsia"/>
          <w:b/>
          <w:sz w:val="24"/>
          <w:szCs w:val="24"/>
          <w:lang w:eastAsia="zh-CN"/>
        </w:rPr>
        <w:t>项目</w:t>
      </w:r>
      <w:r>
        <w:rPr>
          <w:rFonts w:hint="eastAsia" w:cs="Arial" w:asciiTheme="majorEastAsia" w:hAnsiTheme="majorEastAsia" w:eastAsiaTheme="majorEastAsia"/>
          <w:b/>
          <w:color w:val="333333"/>
          <w:sz w:val="24"/>
          <w:szCs w:val="24"/>
          <w:lang w:eastAsia="zh-CN"/>
        </w:rPr>
        <w:t>参选保证金</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8"/>
        <w:ind w:right="121" w:firstLine="480" w:firstLineChars="200"/>
        <w:jc w:val="both"/>
        <w:rPr>
          <w:lang w:eastAsia="zh-CN"/>
        </w:rPr>
      </w:pPr>
      <w:r>
        <w:rPr>
          <w:rFonts w:hint="eastAsia"/>
          <w:lang w:eastAsia="zh-CN"/>
        </w:rPr>
        <w:t>5.对于未能按要求提交保证金的参选文件，比选单位可以视为不符合上面比选要求而予以拒绝；</w:t>
      </w:r>
    </w:p>
    <w:p>
      <w:pPr>
        <w:pStyle w:val="8"/>
        <w:ind w:right="121" w:firstLine="480" w:firstLineChars="200"/>
        <w:jc w:val="both"/>
        <w:rPr>
          <w:lang w:eastAsia="zh-CN"/>
        </w:rPr>
      </w:pPr>
      <w:r>
        <w:rPr>
          <w:rFonts w:hint="eastAsia"/>
          <w:lang w:eastAsia="zh-CN"/>
        </w:rPr>
        <w:t>6.</w:t>
      </w:r>
      <w:r>
        <w:rPr>
          <w:rFonts w:hint="eastAsia"/>
          <w:spacing w:val="8"/>
          <w:lang w:eastAsia="zh-CN"/>
        </w:rPr>
        <w:t xml:space="preserve"> 本项目比选结束后，未中选的参选人其所递交的参选保证金将于本项目合同签订后退回至参选人</w:t>
      </w:r>
      <w:r>
        <w:rPr>
          <w:rFonts w:hint="eastAsia"/>
          <w:lang w:eastAsia="zh-CN"/>
        </w:rPr>
        <w:t>基本账户</w:t>
      </w:r>
      <w:r>
        <w:rPr>
          <w:rFonts w:hint="eastAsia"/>
          <w:spacing w:val="8"/>
          <w:lang w:eastAsia="zh-CN"/>
        </w:rPr>
        <w:t>（无息）</w:t>
      </w:r>
      <w:r>
        <w:rPr>
          <w:rFonts w:hint="eastAsia"/>
          <w:lang w:eastAsia="zh-CN"/>
        </w:rPr>
        <w:t>，最迟不超过规定的比选有效期满后的20天；</w:t>
      </w:r>
    </w:p>
    <w:p>
      <w:pPr>
        <w:pStyle w:val="8"/>
        <w:ind w:right="121" w:firstLine="480" w:firstLineChars="200"/>
        <w:jc w:val="both"/>
        <w:rPr>
          <w:color w:val="000000" w:themeColor="text1"/>
          <w:lang w:eastAsia="zh-CN"/>
        </w:rPr>
      </w:pPr>
      <w:r>
        <w:rPr>
          <w:rFonts w:hint="eastAsia"/>
          <w:lang w:eastAsia="zh-CN"/>
        </w:rPr>
        <w:t>7.中选者的参选保证金（无息），将在合同签订后自动转为履约保证金，将于合同周期完成后1</w:t>
      </w:r>
      <w:r>
        <w:rPr>
          <w:lang w:eastAsia="zh-CN"/>
        </w:rPr>
        <w:t>5</w:t>
      </w:r>
      <w:r>
        <w:rPr>
          <w:rFonts w:hint="eastAsia"/>
          <w:lang w:eastAsia="zh-CN"/>
        </w:rPr>
        <w:t>个工作日内，甲方无息退还履约保证金；</w:t>
      </w:r>
    </w:p>
    <w:p>
      <w:pPr>
        <w:pStyle w:val="8"/>
        <w:ind w:right="121" w:firstLine="480" w:firstLineChars="200"/>
        <w:jc w:val="both"/>
        <w:rPr>
          <w:lang w:eastAsia="zh-CN"/>
        </w:rPr>
      </w:pPr>
      <w:r>
        <w:rPr>
          <w:rFonts w:hint="eastAsia"/>
          <w:lang w:eastAsia="zh-CN"/>
        </w:rPr>
        <w:t>8.如有下列情况发生，将被没收参选保证金：</w:t>
      </w:r>
    </w:p>
    <w:p>
      <w:pPr>
        <w:pStyle w:val="8"/>
        <w:ind w:right="121"/>
        <w:jc w:val="both"/>
        <w:rPr>
          <w:lang w:eastAsia="zh-CN"/>
        </w:rPr>
      </w:pPr>
      <w:r>
        <w:rPr>
          <w:rFonts w:hint="eastAsia"/>
          <w:lang w:eastAsia="zh-CN"/>
        </w:rPr>
        <w:t xml:space="preserve">   （1）参选单位在参选有效期内撤回参选文件；</w:t>
      </w:r>
    </w:p>
    <w:p>
      <w:pPr>
        <w:pStyle w:val="8"/>
        <w:ind w:right="-49" w:firstLine="360" w:firstLineChars="150"/>
        <w:rPr>
          <w:rFonts w:asciiTheme="majorEastAsia" w:hAnsiTheme="majorEastAsia" w:eastAsiaTheme="majorEastAsia"/>
          <w:lang w:eastAsia="zh-CN"/>
        </w:rPr>
      </w:pPr>
      <w:r>
        <w:rPr>
          <w:rFonts w:hint="eastAsia"/>
          <w:lang w:eastAsia="zh-CN"/>
        </w:rPr>
        <w:t>（2）参选单位未能按接到中标通知书后规定的时间内签定合同。</w:t>
      </w:r>
    </w:p>
    <w:p>
      <w:pPr>
        <w:pStyle w:val="8"/>
        <w:ind w:right="-49" w:firstLine="458" w:firstLineChars="200"/>
        <w:rPr>
          <w:rFonts w:asciiTheme="majorEastAsia" w:hAnsiTheme="majorEastAsia" w:eastAsiaTheme="majorEastAsia"/>
          <w:b/>
          <w:w w:val="95"/>
          <w:lang w:eastAsia="zh-CN"/>
        </w:rPr>
      </w:pPr>
      <w:r>
        <w:rPr>
          <w:rFonts w:asciiTheme="majorEastAsia" w:hAnsiTheme="majorEastAsia" w:eastAsiaTheme="majorEastAsia"/>
          <w:b/>
          <w:w w:val="95"/>
          <w:lang w:eastAsia="zh-CN"/>
        </w:rPr>
        <w:t>八、参选文件的递交</w:t>
      </w:r>
    </w:p>
    <w:p>
      <w:pPr>
        <w:pStyle w:val="4"/>
        <w:tabs>
          <w:tab w:val="left" w:pos="6879"/>
        </w:tabs>
        <w:ind w:left="0" w:right="106" w:firstLine="472" w:firstLineChars="196"/>
        <w:rPr>
          <w:lang w:eastAsia="zh-CN"/>
        </w:rPr>
      </w:pPr>
      <w:r>
        <w:rPr>
          <w:lang w:eastAsia="zh-CN"/>
        </w:rPr>
        <w:t>1.参选文件递交的截止时间：</w:t>
      </w:r>
      <w:r>
        <w:rPr>
          <w:rFonts w:hint="eastAsia"/>
          <w:lang w:eastAsia="zh-CN"/>
        </w:rPr>
        <w:t>见比选公告</w:t>
      </w:r>
    </w:p>
    <w:p>
      <w:pPr>
        <w:pStyle w:val="4"/>
        <w:tabs>
          <w:tab w:val="left" w:pos="6879"/>
        </w:tabs>
        <w:ind w:left="0" w:right="106" w:firstLine="472" w:firstLineChars="196"/>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漳州市漳浦县杜浔镇杜昌路9号</w:t>
      </w:r>
    </w:p>
    <w:p>
      <w:pPr>
        <w:pStyle w:val="4"/>
        <w:tabs>
          <w:tab w:val="left" w:pos="6879"/>
        </w:tabs>
        <w:ind w:left="119" w:leftChars="54" w:right="106" w:firstLine="834" w:firstLineChars="346"/>
        <w:rPr>
          <w:spacing w:val="-4"/>
          <w:lang w:eastAsia="zh-CN"/>
        </w:rPr>
      </w:pPr>
      <w:r>
        <w:rPr>
          <w:rFonts w:hint="eastAsia"/>
          <w:lang w:eastAsia="zh-CN"/>
        </w:rPr>
        <w:t>商务</w:t>
      </w:r>
      <w:r>
        <w:rPr>
          <w:lang w:eastAsia="zh-CN"/>
        </w:rPr>
        <w:t>联系人</w:t>
      </w:r>
      <w:r>
        <w:rPr>
          <w:spacing w:val="-56"/>
          <w:lang w:eastAsia="zh-CN"/>
        </w:rPr>
        <w:t>：</w:t>
      </w:r>
      <w:r>
        <w:rPr>
          <w:rFonts w:hint="eastAsia"/>
          <w:lang w:eastAsia="zh-CN"/>
        </w:rPr>
        <w:t xml:space="preserve">纪捍政    </w:t>
      </w:r>
      <w:r>
        <w:rPr>
          <w:spacing w:val="-6"/>
          <w:lang w:eastAsia="zh-CN"/>
        </w:rPr>
        <w:t xml:space="preserve"> </w:t>
      </w:r>
      <w:r>
        <w:rPr>
          <w:lang w:eastAsia="zh-CN"/>
        </w:rPr>
        <w:t>电话</w:t>
      </w:r>
      <w:r>
        <w:rPr>
          <w:spacing w:val="-4"/>
          <w:lang w:eastAsia="zh-CN"/>
        </w:rPr>
        <w:t>：</w:t>
      </w:r>
      <w:r>
        <w:rPr>
          <w:rFonts w:hint="eastAsia"/>
          <w:spacing w:val="-4"/>
          <w:lang w:eastAsia="zh-CN"/>
        </w:rPr>
        <w:t>0596-6311823</w:t>
      </w:r>
    </w:p>
    <w:p>
      <w:pPr>
        <w:pStyle w:val="4"/>
        <w:tabs>
          <w:tab w:val="left" w:pos="6879"/>
        </w:tabs>
        <w:ind w:left="119" w:leftChars="54" w:right="106" w:firstLine="806" w:firstLineChars="346"/>
        <w:rPr>
          <w:spacing w:val="-6"/>
          <w:lang w:eastAsia="zh-CN"/>
        </w:rPr>
      </w:pPr>
      <w:r>
        <w:rPr>
          <w:rFonts w:hint="eastAsia"/>
          <w:spacing w:val="-4"/>
          <w:lang w:eastAsia="zh-CN"/>
        </w:rPr>
        <w:t xml:space="preserve">技术联系人：李永其     电话：13615098802 </w:t>
      </w:r>
    </w:p>
    <w:p>
      <w:pPr>
        <w:ind w:left="598" w:leftChars="272" w:firstLine="236" w:firstLineChars="98"/>
        <w:rPr>
          <w:b/>
          <w:sz w:val="24"/>
          <w:lang w:eastAsia="zh-CN"/>
        </w:rPr>
      </w:pPr>
      <w:r>
        <w:rPr>
          <w:b/>
          <w:sz w:val="24"/>
          <w:lang w:eastAsia="zh-CN"/>
        </w:rPr>
        <w:t>注：请使用顺丰快递或中国邮政 EMS 快递，其他快递不能保证送达目的地。</w:t>
      </w:r>
    </w:p>
    <w:p>
      <w:pPr>
        <w:pStyle w:val="8"/>
        <w:ind w:firstLine="480" w:firstLineChars="200"/>
        <w:rPr>
          <w:lang w:eastAsia="zh-CN"/>
        </w:rPr>
      </w:pPr>
      <w:r>
        <w:rPr>
          <w:lang w:eastAsia="zh-CN"/>
        </w:rPr>
        <w:t>3.只允许参选人有一个参选方案，否则将被视为无效参选。</w:t>
      </w:r>
    </w:p>
    <w:p>
      <w:pPr>
        <w:pStyle w:val="8"/>
        <w:ind w:right="106" w:firstLine="480" w:firstLineChars="20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8"/>
        <w:spacing w:before="21"/>
        <w:ind w:right="106" w:firstLine="480" w:firstLineChars="200"/>
        <w:jc w:val="both"/>
        <w:rPr>
          <w:lang w:eastAsia="zh-CN"/>
        </w:rPr>
      </w:pPr>
      <w:r>
        <w:rPr>
          <w:lang w:eastAsia="zh-CN"/>
        </w:rPr>
        <w:t>5.</w:t>
      </w:r>
      <w:r>
        <w:rPr>
          <w:spacing w:val="-9"/>
          <w:lang w:eastAsia="zh-CN"/>
        </w:rPr>
        <w:t>参选人收到比选文件后，如有疑问要澄清，请以书面形式在规定时间内报比选人汇总。</w:t>
      </w:r>
    </w:p>
    <w:p>
      <w:pPr>
        <w:pStyle w:val="8"/>
        <w:ind w:right="-49" w:firstLine="480" w:firstLineChars="200"/>
        <w:rPr>
          <w:rFonts w:asciiTheme="majorEastAsia" w:hAnsiTheme="majorEastAsia" w:eastAsiaTheme="majorEastAsia"/>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3"/>
        <w:ind w:left="0" w:firstLine="458" w:firstLineChars="200"/>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九</w:t>
      </w:r>
      <w:r>
        <w:rPr>
          <w:rFonts w:asciiTheme="majorEastAsia" w:hAnsiTheme="majorEastAsia" w:eastAsiaTheme="majorEastAsia"/>
          <w:w w:val="95"/>
          <w:sz w:val="24"/>
          <w:szCs w:val="24"/>
          <w:lang w:eastAsia="zh-CN"/>
        </w:rPr>
        <w:t>、</w:t>
      </w:r>
      <w:r>
        <w:rPr>
          <w:rFonts w:hint="eastAsia" w:asciiTheme="majorEastAsia" w:hAnsiTheme="majorEastAsia" w:eastAsiaTheme="majorEastAsia"/>
          <w:w w:val="95"/>
          <w:sz w:val="24"/>
          <w:szCs w:val="24"/>
          <w:lang w:eastAsia="zh-CN"/>
        </w:rPr>
        <w:t>异议</w:t>
      </w:r>
    </w:p>
    <w:p>
      <w:pPr>
        <w:pStyle w:val="10"/>
        <w:tabs>
          <w:tab w:val="left" w:pos="0"/>
          <w:tab w:val="left" w:pos="567"/>
          <w:tab w:val="left" w:pos="993"/>
          <w:tab w:val="left" w:pos="1135"/>
        </w:tabs>
        <w:ind w:firstLine="482"/>
        <w:rPr>
          <w:rFonts w:cs="宋体"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中选人确定后，比选人不对未中选人就比选过程以及未能中选的原因做出任何解释。</w:t>
      </w:r>
    </w:p>
    <w:p>
      <w:pPr>
        <w:pStyle w:val="10"/>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sz w:val="24"/>
          <w:szCs w:val="24"/>
          <w:lang w:eastAsia="zh-CN"/>
        </w:rPr>
        <w:t>潜在参选人或参选人及其他利害关系人对比选文件或比选结果有异议的，应当在规定的期限内以书面的形式向比选人提出。</w:t>
      </w:r>
      <w:r>
        <w:rPr>
          <w:rFonts w:hint="eastAsia" w:cs="宋体" w:asciiTheme="majorEastAsia" w:hAnsiTheme="majorEastAsia" w:eastAsiaTheme="major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0"/>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（1）异议人的名称、地址及有效联系方式；</w:t>
      </w:r>
    </w:p>
    <w:p>
      <w:pPr>
        <w:pStyle w:val="10"/>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（2）被异议人的名称（仅适用于对比选结果的异议）；</w:t>
      </w:r>
    </w:p>
    <w:p>
      <w:pPr>
        <w:pStyle w:val="10"/>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（3）异议事项的基本事实；</w:t>
      </w:r>
    </w:p>
    <w:p>
      <w:pPr>
        <w:pStyle w:val="10"/>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（4）相关请求及主张；</w:t>
      </w:r>
    </w:p>
    <w:p>
      <w:pPr>
        <w:pStyle w:val="10"/>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 xml:space="preserve">（5）有效线索和相关证明材料。 </w:t>
      </w:r>
    </w:p>
    <w:p>
      <w:pPr>
        <w:pStyle w:val="10"/>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0"/>
        <w:tabs>
          <w:tab w:val="left" w:pos="0"/>
          <w:tab w:val="left" w:pos="567"/>
          <w:tab w:val="left" w:pos="993"/>
          <w:tab w:val="left" w:pos="1135"/>
        </w:tabs>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sz w:val="24"/>
          <w:szCs w:val="24"/>
          <w:lang w:eastAsia="zh-CN"/>
        </w:rPr>
        <w:t>有下列情形之一的异议，不予受理：</w:t>
      </w:r>
    </w:p>
    <w:p>
      <w:pPr>
        <w:pStyle w:val="10"/>
        <w:tabs>
          <w:tab w:val="left" w:pos="0"/>
          <w:tab w:val="left" w:pos="567"/>
          <w:tab w:val="left" w:pos="993"/>
          <w:tab w:val="left" w:pos="1135"/>
        </w:tabs>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（1）</w:t>
      </w:r>
      <w:r>
        <w:rPr>
          <w:rFonts w:hint="eastAsia" w:cs="宋体" w:asciiTheme="majorEastAsia" w:hAnsiTheme="majorEastAsia" w:eastAsiaTheme="majorEastAsia"/>
          <w:bCs/>
          <w:sz w:val="24"/>
          <w:szCs w:val="24"/>
          <w:lang w:eastAsia="zh-CN"/>
        </w:rPr>
        <w:t>对比选结果有异议的异议人不是本项目的参与者，或者与本项目无任何利害关系；</w:t>
      </w:r>
    </w:p>
    <w:p>
      <w:pPr>
        <w:pStyle w:val="10"/>
        <w:tabs>
          <w:tab w:val="left" w:pos="0"/>
          <w:tab w:val="left" w:pos="567"/>
          <w:tab w:val="left" w:pos="993"/>
          <w:tab w:val="left" w:pos="1135"/>
        </w:tabs>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（2）</w:t>
      </w:r>
      <w:r>
        <w:rPr>
          <w:rFonts w:hint="eastAsia" w:cs="宋体" w:asciiTheme="majorEastAsia" w:hAnsiTheme="majorEastAsia" w:eastAsiaTheme="majorEastAsia"/>
          <w:bCs/>
          <w:sz w:val="24"/>
          <w:szCs w:val="24"/>
          <w:lang w:eastAsia="zh-CN"/>
        </w:rPr>
        <w:t xml:space="preserve">异议事项不具体，且未提供有效线索，难以查证的； </w:t>
      </w:r>
    </w:p>
    <w:p>
      <w:pPr>
        <w:pStyle w:val="10"/>
        <w:tabs>
          <w:tab w:val="left" w:pos="0"/>
          <w:tab w:val="left" w:pos="567"/>
          <w:tab w:val="left" w:pos="993"/>
          <w:tab w:val="left" w:pos="1135"/>
        </w:tabs>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（3）</w:t>
      </w:r>
      <w:r>
        <w:rPr>
          <w:rFonts w:hint="eastAsia" w:cs="宋体" w:asciiTheme="majorEastAsia" w:hAnsiTheme="majorEastAsia" w:eastAsiaTheme="majorEastAsia"/>
          <w:bCs/>
          <w:sz w:val="24"/>
          <w:szCs w:val="24"/>
          <w:lang w:eastAsia="zh-CN"/>
        </w:rPr>
        <w:t>异议未签署异议人真实姓名、签字和有效联系方式的；以法人名义提出异议的，异议未经法定代表人签字并加盖公章的；</w:t>
      </w:r>
    </w:p>
    <w:p>
      <w:pPr>
        <w:pStyle w:val="8"/>
        <w:ind w:right="-49" w:firstLine="600" w:firstLineChars="250"/>
        <w:rPr>
          <w:rFonts w:asciiTheme="majorEastAsia" w:hAnsiTheme="majorEastAsia" w:eastAsiaTheme="majorEastAsia"/>
          <w:spacing w:val="-9"/>
          <w:lang w:eastAsia="zh-CN"/>
        </w:rPr>
      </w:pPr>
      <w:r>
        <w:rPr>
          <w:rFonts w:hint="eastAsia" w:asciiTheme="majorEastAsia" w:hAnsiTheme="majorEastAsia" w:eastAsiaTheme="majorEastAsia"/>
          <w:bCs/>
          <w:color w:val="000000"/>
          <w:lang w:eastAsia="zh-CN"/>
        </w:rPr>
        <w:t>（4）</w:t>
      </w:r>
      <w:r>
        <w:rPr>
          <w:rFonts w:hint="eastAsia" w:asciiTheme="majorEastAsia" w:hAnsiTheme="majorEastAsia" w:eastAsiaTheme="majorEastAsia"/>
          <w:bCs/>
          <w:lang w:eastAsia="zh-CN"/>
        </w:rPr>
        <w:t>超过异议时效的。</w:t>
      </w:r>
    </w:p>
    <w:p>
      <w:pPr>
        <w:pStyle w:val="4"/>
        <w:ind w:left="0" w:firstLine="458" w:firstLineChars="200"/>
        <w:rPr>
          <w:rFonts w:asciiTheme="majorEastAsia" w:hAnsiTheme="majorEastAsia" w:eastAsiaTheme="majorEastAsia"/>
          <w:lang w:eastAsia="zh-CN"/>
        </w:rPr>
      </w:pPr>
      <w:r>
        <w:rPr>
          <w:rFonts w:hint="eastAsia" w:asciiTheme="majorEastAsia" w:hAnsiTheme="majorEastAsia" w:eastAsiaTheme="majorEastAsia"/>
          <w:w w:val="95"/>
          <w:lang w:eastAsia="zh-CN"/>
        </w:rPr>
        <w:t>十</w:t>
      </w:r>
      <w:r>
        <w:rPr>
          <w:rFonts w:asciiTheme="majorEastAsia" w:hAnsiTheme="majorEastAsia" w:eastAsiaTheme="majorEastAsia"/>
          <w:w w:val="95"/>
          <w:lang w:eastAsia="zh-CN"/>
        </w:rPr>
        <w:t>、</w:t>
      </w:r>
      <w:r>
        <w:rPr>
          <w:rFonts w:hint="eastAsia" w:asciiTheme="majorEastAsia" w:hAnsiTheme="majorEastAsia" w:eastAsiaTheme="majorEastAsia"/>
          <w:lang w:eastAsia="zh-CN"/>
        </w:rPr>
        <w:t>最高控制价及投标报价要求</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1、本项目最高限价为人民币50万元。参选人所填报的参选总价高于本项目最高限价的,视为无效报价，其参选将被评标委员会予以否决</w:t>
      </w:r>
      <w:r>
        <w:rPr>
          <w:rFonts w:hint="eastAsia" w:asciiTheme="majorEastAsia" w:hAnsiTheme="majorEastAsia" w:eastAsiaTheme="majorEastAsia"/>
          <w:sz w:val="24"/>
          <w:szCs w:val="24"/>
          <w:lang w:eastAsia="zh-CN"/>
        </w:rPr>
        <w:t>。</w:t>
      </w:r>
    </w:p>
    <w:p>
      <w:pPr>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参选人应以完成本比选文件“发包说明书”所述的所有内容所涉及的全部费用进行报价。中标后，参选报价不予调整。参选人在填报参选报价单时，应充分考虑合同实施过程中因人力成本的增加、国家宏观调控、经济环境变化等因素所产生费用的增加。比选文件中要求列入参选的费用，漏（缺）报的视同已含在参选总价中。</w:t>
      </w:r>
    </w:p>
    <w:p>
      <w:pPr>
        <w:pStyle w:val="2"/>
        <w:spacing w:line="360" w:lineRule="auto"/>
        <w:ind w:firstLine="472" w:firstLineChars="200"/>
        <w:rPr>
          <w:rFonts w:asciiTheme="majorEastAsia" w:hAnsiTheme="majorEastAsia" w:eastAsiaTheme="majorEastAsia"/>
          <w:sz w:val="24"/>
          <w:szCs w:val="24"/>
        </w:rPr>
      </w:pPr>
      <w:r>
        <w:rPr>
          <w:rFonts w:hint="eastAsia" w:asciiTheme="majorEastAsia" w:hAnsiTheme="majorEastAsia" w:eastAsiaTheme="majorEastAsia"/>
          <w:bCs/>
          <w:spacing w:val="-2"/>
          <w:sz w:val="24"/>
          <w:szCs w:val="24"/>
        </w:rPr>
        <w:t>备注：如依据我国法律法规及税收政策，本合同项下服务所涉及的增值税税率发生调整，双方一致同意按照调整后的增值税税率相应调整合同价款。</w:t>
      </w: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ind w:left="538"/>
        <w:rPr>
          <w:b/>
          <w:sz w:val="24"/>
          <w:szCs w:val="24"/>
          <w:lang w:eastAsia="zh-CN"/>
        </w:rPr>
      </w:pPr>
      <w:r>
        <w:rPr>
          <w:b/>
          <w:w w:val="95"/>
          <w:sz w:val="24"/>
          <w:szCs w:val="24"/>
          <w:lang w:eastAsia="zh-CN"/>
        </w:rPr>
        <w:t>一、参选文件的组成：</w:t>
      </w:r>
    </w:p>
    <w:p>
      <w:pPr>
        <w:pStyle w:val="8"/>
        <w:ind w:left="118" w:right="92" w:firstLine="480"/>
        <w:rPr>
          <w:lang w:eastAsia="zh-CN"/>
        </w:rPr>
      </w:pPr>
      <w:r>
        <w:rPr>
          <w:lang w:eastAsia="zh-CN"/>
        </w:rPr>
        <w:t>①参选单位企业概况（企业简介、经营状况</w:t>
      </w:r>
      <w:r>
        <w:rPr>
          <w:rFonts w:hint="eastAsia"/>
          <w:lang w:eastAsia="zh-CN"/>
        </w:rPr>
        <w:t>、业绩情况（如有相关业绩需提供相应合同盖章页）</w:t>
      </w:r>
      <w:r>
        <w:rPr>
          <w:lang w:eastAsia="zh-CN"/>
        </w:rPr>
        <w:t>）、营业执照、资质证书、组织机构代码证、税务登记证（经年检或年审合格的）等</w:t>
      </w:r>
      <w:r>
        <w:rPr>
          <w:rFonts w:hint="eastAsia"/>
          <w:lang w:eastAsia="zh-CN"/>
        </w:rPr>
        <w:t>，以及</w:t>
      </w:r>
      <w:r>
        <w:rPr>
          <w:spacing w:val="-5"/>
          <w:lang w:eastAsia="zh-CN"/>
        </w:rPr>
        <w:t>其他可以证明参选单位具有类似</w:t>
      </w:r>
      <w:r>
        <w:rPr>
          <w:rFonts w:hint="eastAsia"/>
          <w:spacing w:val="-5"/>
          <w:lang w:eastAsia="zh-CN"/>
        </w:rPr>
        <w:t>项目</w:t>
      </w:r>
      <w:r>
        <w:rPr>
          <w:spacing w:val="-5"/>
          <w:lang w:eastAsia="zh-CN"/>
        </w:rPr>
        <w:t>良好业绩的相关材料；凡弄虚作假的，一经查实，比选人有权取消其中选资格。</w:t>
      </w:r>
    </w:p>
    <w:p>
      <w:pPr>
        <w:pStyle w:val="8"/>
        <w:ind w:left="118" w:right="92" w:firstLine="480"/>
        <w:rPr>
          <w:lang w:eastAsia="zh-CN"/>
        </w:rPr>
      </w:pPr>
      <w:r>
        <w:rPr>
          <w:spacing w:val="-7"/>
          <w:lang w:eastAsia="zh-CN"/>
        </w:rPr>
        <w:t>②</w:t>
      </w:r>
      <w:r>
        <w:rPr>
          <w:rFonts w:hint="eastAsia"/>
          <w:spacing w:val="-7"/>
          <w:lang w:eastAsia="zh-CN"/>
        </w:rPr>
        <w:t>参选人资格要求中所有的资质材料。（</w:t>
      </w:r>
      <w:r>
        <w:rPr>
          <w:rFonts w:hint="eastAsia"/>
          <w:b/>
          <w:spacing w:val="-7"/>
          <w:lang w:eastAsia="zh-CN"/>
        </w:rPr>
        <w:t>参选人需根据发包说明编制相关方案，以及工作计划安排等内容。</w:t>
      </w:r>
      <w:r>
        <w:rPr>
          <w:rFonts w:hint="eastAsia"/>
          <w:spacing w:val="-7"/>
          <w:lang w:eastAsia="zh-CN"/>
        </w:rPr>
        <w:t>）</w:t>
      </w:r>
    </w:p>
    <w:p>
      <w:pPr>
        <w:pStyle w:val="8"/>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pPr>
        <w:pStyle w:val="8"/>
        <w:ind w:left="595"/>
        <w:rPr>
          <w:lang w:eastAsia="zh-CN"/>
        </w:rPr>
      </w:pPr>
      <w:r>
        <w:rPr>
          <w:lang w:eastAsia="zh-CN"/>
        </w:rPr>
        <w:t>④提供参选报价表(详见附件)。</w:t>
      </w:r>
    </w:p>
    <w:p>
      <w:pPr>
        <w:pStyle w:val="8"/>
        <w:spacing w:before="26"/>
        <w:ind w:firstLine="480" w:firstLineChars="200"/>
        <w:rPr>
          <w:b/>
          <w:lang w:eastAsia="zh-CN"/>
        </w:rPr>
      </w:pPr>
      <w:r>
        <w:rPr>
          <w:lang w:eastAsia="zh-CN"/>
        </w:rPr>
        <w:t>⑤以上①至</w:t>
      </w:r>
      <w:r>
        <w:rPr>
          <w:spacing w:val="-6"/>
          <w:lang w:eastAsia="zh-CN"/>
        </w:rPr>
        <w:t>③</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8"/>
        <w:ind w:firstLine="602" w:firstLineChars="250"/>
        <w:rPr>
          <w:lang w:eastAsia="zh-CN"/>
        </w:rPr>
      </w:pPr>
      <w:r>
        <w:rPr>
          <w:rFonts w:hint="eastAsia"/>
          <w:b/>
          <w:lang w:eastAsia="zh-CN"/>
        </w:rPr>
        <w:t>注：需提供参选文件及报价表电子版一份（盖章PDF版），报价表须独立盖章密封</w:t>
      </w:r>
    </w:p>
    <w:p>
      <w:pPr>
        <w:pStyle w:val="3"/>
        <w:ind w:left="680"/>
        <w:rPr>
          <w:sz w:val="24"/>
          <w:szCs w:val="24"/>
          <w:lang w:eastAsia="zh-CN"/>
        </w:rPr>
      </w:pPr>
      <w:r>
        <w:rPr>
          <w:w w:val="95"/>
          <w:sz w:val="24"/>
          <w:szCs w:val="24"/>
          <w:lang w:eastAsia="zh-CN"/>
        </w:rPr>
        <w:t>二、参选书格式内容</w:t>
      </w:r>
    </w:p>
    <w:p>
      <w:pPr>
        <w:pStyle w:val="8"/>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8"/>
        <w:ind w:left="598"/>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rPr>
          <w:sz w:val="24"/>
          <w:szCs w:val="24"/>
          <w:lang w:eastAsia="zh-CN"/>
        </w:rPr>
      </w:pPr>
      <w:r>
        <w:rPr>
          <w:w w:val="95"/>
          <w:sz w:val="24"/>
          <w:szCs w:val="24"/>
          <w:lang w:eastAsia="zh-CN"/>
        </w:rPr>
        <w:t>三、参选报价</w:t>
      </w:r>
    </w:p>
    <w:p>
      <w:pPr>
        <w:pStyle w:val="8"/>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rPr>
          <w:sz w:val="24"/>
          <w:szCs w:val="24"/>
          <w:lang w:eastAsia="zh-CN"/>
        </w:rPr>
      </w:pPr>
      <w:r>
        <w:rPr>
          <w:w w:val="95"/>
          <w:sz w:val="24"/>
          <w:szCs w:val="24"/>
          <w:lang w:eastAsia="zh-CN"/>
        </w:rPr>
        <w:t>四、特别说明</w:t>
      </w:r>
    </w:p>
    <w:p>
      <w:pPr>
        <w:pStyle w:val="8"/>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8"/>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8"/>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9"/>
        <w:spacing w:after="0"/>
        <w:ind w:left="0" w:leftChars="0" w:firstLine="435" w:firstLineChars="196"/>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8"/>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8"/>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92133"/>
      <w:bookmarkStart w:id="1" w:name="_Toc177186249"/>
      <w:bookmarkStart w:id="2" w:name="_Toc430488651"/>
      <w:bookmarkStart w:id="3" w:name="_Toc304357904"/>
      <w:bookmarkStart w:id="4" w:name="_Toc430490619"/>
      <w:bookmarkStart w:id="5" w:name="_Toc430488858"/>
      <w:bookmarkStart w:id="6" w:name="_Toc430422420"/>
      <w:bookmarkStart w:id="7" w:name="_Toc430489126"/>
      <w:bookmarkStart w:id="8" w:name="_Toc415567504"/>
    </w:p>
    <w:p>
      <w:pPr>
        <w:pStyle w:val="8"/>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ind w:firstLine="480" w:firstLineChars="200"/>
        <w:rPr>
          <w:rFonts w:cs="黑体"/>
          <w:b/>
          <w:sz w:val="24"/>
          <w:szCs w:val="24"/>
          <w:lang w:eastAsia="zh-CN"/>
        </w:rPr>
      </w:pPr>
      <w:r>
        <w:rPr>
          <w:rFonts w:hint="eastAsia"/>
          <w:sz w:val="24"/>
          <w:szCs w:val="24"/>
          <w:lang w:eastAsia="zh-CN"/>
        </w:rPr>
        <w:t>7.1 参选人应在参选文件所附的参选报价表上写明参选项目的参选总价。</w:t>
      </w:r>
    </w:p>
    <w:p>
      <w:pPr>
        <w:ind w:firstLine="480" w:firstLineChars="200"/>
        <w:rPr>
          <w:sz w:val="24"/>
          <w:szCs w:val="24"/>
          <w:lang w:eastAsia="zh-CN"/>
        </w:rPr>
      </w:pPr>
      <w:r>
        <w:rPr>
          <w:rFonts w:hint="eastAsia"/>
          <w:sz w:val="24"/>
          <w:szCs w:val="24"/>
          <w:lang w:eastAsia="zh-CN"/>
        </w:rPr>
        <w:t>7.2 参选报价将按照参选文件第</w:t>
      </w:r>
      <w:r>
        <w:rPr>
          <w:rFonts w:hint="eastAsia"/>
          <w:b/>
          <w:sz w:val="24"/>
          <w:szCs w:val="24"/>
          <w:lang w:eastAsia="zh-CN"/>
        </w:rPr>
        <w:t>4</w:t>
      </w:r>
      <w:r>
        <w:rPr>
          <w:rFonts w:hint="eastAsia"/>
          <w:sz w:val="24"/>
          <w:szCs w:val="24"/>
          <w:lang w:eastAsia="zh-CN"/>
        </w:rPr>
        <w:t>章“评选规则”的规定进行。</w:t>
      </w:r>
    </w:p>
    <w:p>
      <w:pPr>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参选人对项目内容只允许有一个报价，比选人不接受有任何选择的报价。</w:t>
      </w:r>
    </w:p>
    <w:p>
      <w:pPr>
        <w:pStyle w:val="8"/>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8"/>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ind w:firstLine="480" w:firstLineChars="200"/>
        <w:rPr>
          <w:sz w:val="24"/>
          <w:szCs w:val="24"/>
          <w:lang w:eastAsia="zh-CN"/>
        </w:rPr>
      </w:pPr>
      <w:r>
        <w:rPr>
          <w:rFonts w:hint="eastAsia"/>
          <w:sz w:val="24"/>
          <w:szCs w:val="24"/>
          <w:lang w:eastAsia="zh-CN"/>
        </w:rPr>
        <w:t>9.参选文件的正本和副本均需打（复）印或使用不褪色的蓝、黑墨水笔书写，字迹应清晰易于辨认，并应在投标文件封面上清楚的注明“正本”或“副本”。正本与副本如有不一致之处，则以正本为准。</w:t>
      </w:r>
    </w:p>
    <w:p>
      <w:pPr>
        <w:pStyle w:val="8"/>
        <w:ind w:right="226" w:firstLine="480"/>
        <w:jc w:val="both"/>
        <w:rPr>
          <w:lang w:eastAsia="zh-CN"/>
        </w:rPr>
      </w:pPr>
      <w:r>
        <w:rPr>
          <w:rFonts w:hint="eastAsia"/>
          <w:lang w:eastAsia="zh-CN"/>
        </w:rPr>
        <w:t>10. 参选文件正本应按要求由经正式授权的参选人代表签字并加盖参选人公章。副本可以用复印件。</w:t>
      </w: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pStyle w:val="3"/>
        <w:rPr>
          <w:sz w:val="24"/>
          <w:szCs w:val="24"/>
          <w:lang w:eastAsia="zh-CN"/>
        </w:rPr>
      </w:pPr>
      <w:r>
        <w:rPr>
          <w:rFonts w:hint="eastAsia"/>
          <w:w w:val="95"/>
          <w:sz w:val="24"/>
          <w:szCs w:val="24"/>
          <w:lang w:eastAsia="zh-CN"/>
        </w:rPr>
        <w:t>一、</w:t>
      </w:r>
      <w:r>
        <w:rPr>
          <w:w w:val="95"/>
          <w:sz w:val="24"/>
          <w:szCs w:val="24"/>
          <w:lang w:eastAsia="zh-CN"/>
        </w:rPr>
        <w:t>评选</w:t>
      </w:r>
    </w:p>
    <w:p>
      <w:pPr>
        <w:pStyle w:val="8"/>
        <w:ind w:left="1" w:firstLine="480" w:firstLineChars="200"/>
        <w:rPr>
          <w:lang w:eastAsia="zh-CN"/>
        </w:rPr>
      </w:pPr>
      <w:r>
        <w:rPr>
          <w:lang w:eastAsia="zh-CN"/>
        </w:rPr>
        <w:t>1.</w:t>
      </w:r>
      <w:r>
        <w:rPr>
          <w:spacing w:val="-5"/>
          <w:lang w:eastAsia="zh-CN"/>
        </w:rPr>
        <w:t>比选人将在参选文件截止日期后组织比选会，参选人选定工作在比选人有关部门监督下，由比选人依法组建的评选</w:t>
      </w:r>
      <w:r>
        <w:rPr>
          <w:rFonts w:hint="eastAsia"/>
          <w:spacing w:val="-5"/>
          <w:lang w:eastAsia="zh-CN"/>
        </w:rPr>
        <w:t>小组</w:t>
      </w:r>
      <w:r>
        <w:rPr>
          <w:spacing w:val="-5"/>
          <w:lang w:eastAsia="zh-CN"/>
        </w:rPr>
        <w:t>负责。</w:t>
      </w:r>
    </w:p>
    <w:p>
      <w:pPr>
        <w:pStyle w:val="8"/>
        <w:ind w:left="1" w:firstLine="480" w:firstLineChars="200"/>
        <w:rPr>
          <w:lang w:eastAsia="zh-CN"/>
        </w:rPr>
      </w:pPr>
      <w:r>
        <w:rPr>
          <w:lang w:eastAsia="zh-CN"/>
        </w:rPr>
        <w:t>2.在开选时有启封和没</w:t>
      </w:r>
      <w:r>
        <w:rPr>
          <w:rFonts w:hint="eastAsia"/>
          <w:lang w:eastAsia="zh-CN"/>
        </w:rPr>
        <w:t>公章</w:t>
      </w:r>
      <w:r>
        <w:rPr>
          <w:lang w:eastAsia="zh-CN"/>
        </w:rPr>
        <w:t>的参选文件，在评选时将不予考虑。</w:t>
      </w:r>
    </w:p>
    <w:p>
      <w:pPr>
        <w:pStyle w:val="8"/>
        <w:ind w:left="1" w:firstLine="480" w:firstLineChars="200"/>
        <w:rPr>
          <w:lang w:eastAsia="zh-CN"/>
        </w:rPr>
      </w:pPr>
      <w:r>
        <w:rPr>
          <w:lang w:eastAsia="zh-CN"/>
        </w:rPr>
        <w:t>3.比选人将做开选记录</w:t>
      </w:r>
    </w:p>
    <w:p>
      <w:pPr>
        <w:ind w:left="680"/>
        <w:rPr>
          <w:b/>
          <w:w w:val="95"/>
          <w:sz w:val="24"/>
          <w:szCs w:val="24"/>
          <w:lang w:eastAsia="zh-CN"/>
        </w:rPr>
      </w:pPr>
      <w:r>
        <w:rPr>
          <w:rFonts w:hint="eastAsia"/>
          <w:b/>
          <w:w w:val="95"/>
          <w:sz w:val="24"/>
          <w:szCs w:val="24"/>
          <w:lang w:eastAsia="zh-CN"/>
        </w:rPr>
        <w:t>二</w:t>
      </w:r>
      <w:r>
        <w:rPr>
          <w:b/>
          <w:w w:val="95"/>
          <w:sz w:val="24"/>
          <w:szCs w:val="24"/>
          <w:lang w:eastAsia="zh-CN"/>
        </w:rPr>
        <w:t>、规则：</w:t>
      </w:r>
    </w:p>
    <w:p>
      <w:pPr>
        <w:ind w:firstLine="480" w:firstLineChars="200"/>
        <w:rPr>
          <w:sz w:val="24"/>
          <w:szCs w:val="24"/>
          <w:lang w:eastAsia="zh-CN"/>
        </w:rPr>
      </w:pPr>
      <w:r>
        <w:rPr>
          <w:rFonts w:hint="eastAsia"/>
          <w:sz w:val="24"/>
          <w:szCs w:val="24"/>
          <w:lang w:eastAsia="zh-CN"/>
        </w:rPr>
        <w:t>1．评标前准备工作</w:t>
      </w:r>
    </w:p>
    <w:p>
      <w:pPr>
        <w:pStyle w:val="2"/>
        <w:spacing w:line="360" w:lineRule="auto"/>
        <w:ind w:firstLine="480" w:firstLineChars="200"/>
        <w:rPr>
          <w:sz w:val="24"/>
          <w:szCs w:val="24"/>
        </w:rPr>
      </w:pPr>
      <w:r>
        <w:rPr>
          <w:rFonts w:hint="eastAsia"/>
          <w:sz w:val="24"/>
          <w:szCs w:val="24"/>
        </w:rPr>
        <w:t>评标小组成员在评标前应当认真审阅比选文件，至少应了解和熟悉本比选项目的目的、性质、范围和主要的技术要求、标准和商务条款，以及评标定标程序、标准、方法等内容，以及了解作为评标小组成员的权利、义务和评标纪律。</w:t>
      </w:r>
    </w:p>
    <w:p>
      <w:pPr>
        <w:snapToGrid w:val="0"/>
        <w:ind w:firstLine="480" w:firstLineChars="200"/>
        <w:rPr>
          <w:spacing w:val="-2"/>
          <w:sz w:val="24"/>
          <w:szCs w:val="24"/>
          <w:lang w:eastAsia="zh-CN"/>
        </w:rPr>
      </w:pPr>
      <w:r>
        <w:rPr>
          <w:rFonts w:hint="eastAsia"/>
          <w:sz w:val="24"/>
          <w:szCs w:val="24"/>
          <w:lang w:eastAsia="zh-CN"/>
        </w:rPr>
        <w:t>2．</w:t>
      </w:r>
      <w:r>
        <w:rPr>
          <w:sz w:val="24"/>
          <w:szCs w:val="24"/>
          <w:lang w:eastAsia="zh-CN"/>
        </w:rPr>
        <w:t>参选人串选、相互勾结故意压低标价以排挤竞争对手的公平竞争的，其参选无效。</w:t>
      </w:r>
    </w:p>
    <w:p>
      <w:pPr>
        <w:pStyle w:val="8"/>
        <w:ind w:right="-28" w:firstLine="504" w:firstLineChars="210"/>
        <w:rPr>
          <w:lang w:eastAsia="zh-CN"/>
        </w:rPr>
      </w:pPr>
      <w:r>
        <w:rPr>
          <w:rFonts w:hint="eastAsia"/>
          <w:lang w:eastAsia="zh-CN"/>
        </w:rPr>
        <w:t>3</w:t>
      </w:r>
      <w:r>
        <w:rPr>
          <w:lang w:eastAsia="zh-CN"/>
        </w:rPr>
        <w:t xml:space="preserve">. </w:t>
      </w:r>
      <w:r>
        <w:rPr>
          <w:rFonts w:asciiTheme="majorEastAsia" w:hAnsiTheme="majorEastAsia" w:eastAsiaTheme="majorEastAsia"/>
          <w:spacing w:val="-8"/>
          <w:lang w:eastAsia="zh-CN"/>
        </w:rPr>
        <w:t>替补候选人的设定与使用：在合同签订前，比选单位发现参选人的参选报价或供货</w:t>
      </w:r>
      <w:r>
        <w:rPr>
          <w:rFonts w:asciiTheme="majorEastAsia" w:hAnsiTheme="majorEastAsia" w:eastAsiaTheme="majorEastAsia"/>
          <w:spacing w:val="-12"/>
          <w:lang w:eastAsia="zh-CN"/>
        </w:rPr>
        <w:t>范围有缺漏、实际应标产品或服务存在重大偏差、或参选材料存在欺诈行为时、或参选人</w:t>
      </w:r>
      <w:r>
        <w:rPr>
          <w:rFonts w:asciiTheme="majorEastAsia" w:hAnsiTheme="majorEastAsia" w:eastAsiaTheme="majorEastAsia"/>
          <w:spacing w:val="-22"/>
          <w:lang w:eastAsia="zh-CN"/>
        </w:rPr>
        <w:t>因不可抗力或自身原因不能履行合同的，将有理由取消中选人资格，保留依法追究的权利；</w:t>
      </w:r>
      <w:r>
        <w:rPr>
          <w:lang w:eastAsia="zh-CN"/>
        </w:rPr>
        <w:t>并将依法</w:t>
      </w:r>
      <w:r>
        <w:rPr>
          <w:rFonts w:hint="eastAsia"/>
          <w:lang w:eastAsia="zh-CN"/>
        </w:rPr>
        <w:t>确定后续排名的中选候选人，或重新进行比选</w:t>
      </w:r>
      <w:r>
        <w:rPr>
          <w:lang w:eastAsia="zh-CN"/>
        </w:rPr>
        <w:t>。</w:t>
      </w:r>
    </w:p>
    <w:p>
      <w:pPr>
        <w:pStyle w:val="3"/>
        <w:rPr>
          <w:sz w:val="24"/>
          <w:szCs w:val="24"/>
          <w:lang w:eastAsia="zh-CN"/>
        </w:rPr>
      </w:pPr>
      <w:r>
        <w:rPr>
          <w:rFonts w:hint="eastAsia"/>
          <w:w w:val="95"/>
          <w:sz w:val="24"/>
          <w:szCs w:val="24"/>
          <w:lang w:eastAsia="zh-CN"/>
        </w:rPr>
        <w:t>三</w:t>
      </w:r>
      <w:r>
        <w:rPr>
          <w:w w:val="95"/>
          <w:sz w:val="24"/>
          <w:szCs w:val="24"/>
          <w:lang w:eastAsia="zh-CN"/>
        </w:rPr>
        <w:t>、资格审查：</w:t>
      </w:r>
    </w:p>
    <w:p>
      <w:pPr>
        <w:pStyle w:val="8"/>
        <w:ind w:right="226" w:firstLine="480"/>
        <w:jc w:val="both"/>
        <w:rPr>
          <w:lang w:eastAsia="zh-CN"/>
        </w:rPr>
      </w:pPr>
      <w:r>
        <w:rPr>
          <w:spacing w:val="-5"/>
          <w:lang w:eastAsia="zh-CN"/>
        </w:rPr>
        <w:t>由比选人依法组建的评选</w:t>
      </w:r>
      <w:r>
        <w:rPr>
          <w:rFonts w:hint="eastAsia"/>
          <w:spacing w:val="-5"/>
          <w:lang w:eastAsia="zh-CN"/>
        </w:rPr>
        <w:t>小组</w:t>
      </w:r>
      <w:r>
        <w:rPr>
          <w:spacing w:val="-5"/>
          <w:lang w:eastAsia="zh-CN"/>
        </w:rPr>
        <w:t>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Pr>
          <w:spacing w:val="-18"/>
          <w:lang w:eastAsia="zh-CN"/>
        </w:rPr>
        <w:t>予以否决。</w:t>
      </w:r>
    </w:p>
    <w:p>
      <w:pPr>
        <w:ind w:left="598"/>
        <w:rPr>
          <w:b/>
          <w:sz w:val="24"/>
          <w:szCs w:val="24"/>
          <w:lang w:eastAsia="zh-CN"/>
        </w:rPr>
      </w:pPr>
      <w:r>
        <w:rPr>
          <w:rFonts w:hint="eastAsia"/>
          <w:w w:val="95"/>
          <w:sz w:val="24"/>
          <w:szCs w:val="24"/>
          <w:lang w:eastAsia="zh-CN"/>
        </w:rPr>
        <w:t>四</w:t>
      </w:r>
      <w:r>
        <w:rPr>
          <w:w w:val="95"/>
          <w:sz w:val="24"/>
          <w:szCs w:val="24"/>
          <w:lang w:eastAsia="zh-CN"/>
        </w:rPr>
        <w:t>、</w:t>
      </w:r>
      <w:r>
        <w:rPr>
          <w:b/>
          <w:w w:val="95"/>
          <w:sz w:val="24"/>
          <w:szCs w:val="24"/>
          <w:lang w:eastAsia="zh-CN"/>
        </w:rPr>
        <w:t>评选办法：</w:t>
      </w:r>
    </w:p>
    <w:p>
      <w:pPr>
        <w:pStyle w:val="8"/>
        <w:ind w:left="121" w:leftChars="55" w:right="222" w:firstLine="480" w:firstLineChars="200"/>
        <w:rPr>
          <w:lang w:eastAsia="zh-CN"/>
        </w:rPr>
      </w:pPr>
      <w:r>
        <w:rPr>
          <w:lang w:eastAsia="zh-CN"/>
        </w:rPr>
        <w:t>评选</w:t>
      </w:r>
      <w:r>
        <w:rPr>
          <w:rFonts w:hint="eastAsia"/>
          <w:lang w:eastAsia="zh-CN"/>
        </w:rPr>
        <w:t>小组</w:t>
      </w:r>
      <w:r>
        <w:rPr>
          <w:lang w:eastAsia="zh-CN"/>
        </w:rPr>
        <w:t>将对通过资格审查的各参选人</w:t>
      </w:r>
      <w:r>
        <w:rPr>
          <w:rFonts w:hint="eastAsia"/>
          <w:lang w:eastAsia="zh-CN"/>
        </w:rPr>
        <w:t>，采用商务报价决标的评标办法，</w:t>
      </w:r>
      <w:r>
        <w:rPr>
          <w:lang w:eastAsia="zh-CN"/>
        </w:rPr>
        <w:t>评选委员会将对通过资格</w:t>
      </w:r>
      <w:r>
        <w:rPr>
          <w:rFonts w:hint="eastAsia"/>
          <w:lang w:eastAsia="zh-CN"/>
        </w:rPr>
        <w:t>审查</w:t>
      </w:r>
      <w:r>
        <w:rPr>
          <w:lang w:eastAsia="zh-CN"/>
        </w:rPr>
        <w:t>的各参选人，</w:t>
      </w:r>
      <w:r>
        <w:rPr>
          <w:rFonts w:hint="eastAsia"/>
          <w:lang w:eastAsia="zh-CN"/>
        </w:rPr>
        <w:t>进行商务报价的比选，未税总价最低者作为中选单位</w:t>
      </w:r>
      <w:r>
        <w:rPr>
          <w:lang w:eastAsia="zh-CN"/>
        </w:rPr>
        <w:t>。</w:t>
      </w:r>
    </w:p>
    <w:p>
      <w:pPr>
        <w:spacing w:before="15"/>
        <w:ind w:left="638"/>
        <w:rPr>
          <w:b/>
          <w:sz w:val="24"/>
          <w:szCs w:val="24"/>
          <w:lang w:eastAsia="zh-CN"/>
        </w:rPr>
      </w:pPr>
      <w:r>
        <w:rPr>
          <w:rFonts w:hint="eastAsia"/>
          <w:b/>
          <w:w w:val="95"/>
          <w:sz w:val="24"/>
          <w:szCs w:val="24"/>
          <w:lang w:eastAsia="zh-CN"/>
        </w:rPr>
        <w:t>五</w:t>
      </w:r>
      <w:r>
        <w:rPr>
          <w:b/>
          <w:w w:val="95"/>
          <w:sz w:val="24"/>
          <w:szCs w:val="24"/>
          <w:lang w:eastAsia="zh-CN"/>
        </w:rPr>
        <w:t>、以下情况作废选处理：</w:t>
      </w:r>
    </w:p>
    <w:p>
      <w:pPr>
        <w:pStyle w:val="8"/>
        <w:ind w:firstLine="480" w:firstLineChars="200"/>
        <w:rPr>
          <w:lang w:eastAsia="zh-CN"/>
        </w:rPr>
      </w:pPr>
      <w:r>
        <w:rPr>
          <w:lang w:eastAsia="zh-CN"/>
        </w:rPr>
        <w:t>1.对比选文件提出的实质性要求和条件，参选文件未能在实质上响应的。</w:t>
      </w:r>
    </w:p>
    <w:p>
      <w:pPr>
        <w:pStyle w:val="8"/>
        <w:ind w:firstLine="480" w:firstLineChars="200"/>
        <w:rPr>
          <w:lang w:eastAsia="zh-CN"/>
        </w:rPr>
      </w:pPr>
      <w:r>
        <w:rPr>
          <w:lang w:eastAsia="zh-CN"/>
        </w:rPr>
        <w:t>2.参选文件存在重大偏差的。</w:t>
      </w:r>
    </w:p>
    <w:p>
      <w:pPr>
        <w:pStyle w:val="8"/>
        <w:ind w:firstLine="480" w:firstLineChars="200"/>
        <w:rPr>
          <w:lang w:eastAsia="zh-CN"/>
        </w:rPr>
      </w:pPr>
      <w:r>
        <w:rPr>
          <w:rFonts w:hint="eastAsia"/>
          <w:lang w:eastAsia="zh-CN"/>
        </w:rPr>
        <w:t>3</w:t>
      </w:r>
      <w:r>
        <w:rPr>
          <w:lang w:eastAsia="zh-CN"/>
        </w:rPr>
        <w:t>.违反规定影响开选评选工作或采取其他方式对比选人施加影响的。</w:t>
      </w:r>
    </w:p>
    <w:p>
      <w:pPr>
        <w:pStyle w:val="3"/>
        <w:tabs>
          <w:tab w:val="left" w:pos="1632"/>
        </w:tabs>
        <w:ind w:left="367" w:leftChars="167" w:firstLine="120" w:firstLineChars="50"/>
        <w:jc w:val="both"/>
        <w:rPr>
          <w:lang w:eastAsia="zh-CN"/>
        </w:rPr>
      </w:pPr>
      <w:r>
        <w:rPr>
          <w:rFonts w:hint="eastAsia"/>
          <w:b w:val="0"/>
          <w:sz w:val="24"/>
          <w:szCs w:val="24"/>
          <w:lang w:eastAsia="zh-CN"/>
        </w:rPr>
        <w:t>4</w:t>
      </w:r>
      <w:r>
        <w:rPr>
          <w:b w:val="0"/>
          <w:sz w:val="24"/>
          <w:szCs w:val="24"/>
          <w:lang w:eastAsia="zh-CN"/>
        </w:rPr>
        <w:t>.参选人串标、相互勾结故意压低标价以排挤竞争对手的公平竞争的，其参选无效。</w:t>
      </w:r>
    </w:p>
    <w:p>
      <w:pPr>
        <w:pStyle w:val="3"/>
        <w:tabs>
          <w:tab w:val="left" w:pos="1632"/>
        </w:tabs>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8"/>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8"/>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8"/>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 xml:space="preserve">中选通知对比选人和参选人具有法律效力。中选单位需在比选人通知中选后 </w:t>
      </w:r>
      <w:r>
        <w:rPr>
          <w:lang w:eastAsia="zh-CN"/>
        </w:rPr>
        <w:t>1</w:t>
      </w:r>
      <w:r>
        <w:rPr>
          <w:rFonts w:hint="eastAsia"/>
          <w:lang w:eastAsia="zh-CN"/>
        </w:rPr>
        <w:t>5</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8"/>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8"/>
        <w:spacing w:before="24"/>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8"/>
        <w:spacing w:before="24"/>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p>
    <w:p>
      <w:pPr>
        <w:spacing w:line="321" w:lineRule="auto"/>
        <w:jc w:val="both"/>
        <w:rPr>
          <w:lang w:eastAsia="zh-CN"/>
        </w:rPr>
        <w:sectPr>
          <w:footerReference r:id="rId6" w:type="default"/>
          <w:pgSz w:w="11910" w:h="16840"/>
          <w:pgMar w:top="1500" w:right="1020" w:bottom="740" w:left="1300" w:header="0" w:footer="551" w:gutter="0"/>
          <w:pgNumType w:start="10"/>
          <w:cols w:space="720" w:num="1"/>
        </w:sectPr>
      </w:pPr>
    </w:p>
    <w:p>
      <w:pPr>
        <w:pStyle w:val="3"/>
        <w:tabs>
          <w:tab w:val="left" w:pos="4344"/>
        </w:tabs>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8"/>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8"/>
        <w:ind w:right="108" w:firstLine="480" w:firstLineChars="200"/>
        <w:jc w:val="both"/>
        <w:rPr>
          <w:lang w:eastAsia="zh-CN"/>
        </w:rPr>
      </w:pPr>
      <w:r>
        <w:rPr>
          <w:lang w:eastAsia="zh-CN"/>
        </w:rPr>
        <w:t>2.</w:t>
      </w:r>
      <w:r>
        <w:rPr>
          <w:spacing w:val="-2"/>
          <w:lang w:eastAsia="zh-CN"/>
        </w:rPr>
        <w:t>中选单位必须严格执行</w:t>
      </w:r>
      <w:r>
        <w:rPr>
          <w:rFonts w:hint="eastAsia" w:asciiTheme="majorEastAsia" w:hAnsiTheme="majorEastAsia" w:eastAsiaTheme="majorEastAsia"/>
          <w:b/>
          <w:bCs/>
          <w:lang w:eastAsia="zh-CN"/>
        </w:rPr>
        <w:t>全厂电力系统安全稳定评估</w:t>
      </w:r>
      <w:r>
        <w:rPr>
          <w:rFonts w:hint="eastAsia" w:asciiTheme="majorEastAsia" w:hAnsiTheme="majorEastAsia" w:eastAsiaTheme="majorEastAsia"/>
          <w:b/>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8"/>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pStyle w:val="3"/>
        <w:tabs>
          <w:tab w:val="left" w:pos="1912"/>
        </w:tabs>
        <w:ind w:left="647" w:firstLine="3092" w:firstLineChars="1100"/>
        <w:jc w:val="both"/>
        <w:rPr>
          <w:lang w:eastAsia="zh-CN"/>
        </w:rPr>
      </w:pPr>
    </w:p>
    <w:p>
      <w:pPr>
        <w:pStyle w:val="3"/>
        <w:tabs>
          <w:tab w:val="left" w:pos="1912"/>
        </w:tabs>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8"/>
        <w:ind w:left="218" w:leftChars="99" w:firstLine="240" w:firstLineChars="100"/>
        <w:rPr>
          <w:lang w:eastAsia="zh-CN"/>
        </w:rPr>
      </w:pPr>
      <w:r>
        <w:rPr>
          <w:lang w:eastAsia="zh-CN"/>
        </w:rPr>
        <w:t>1.参选人的参选文件无论其是否中选，均不退回。</w:t>
      </w:r>
    </w:p>
    <w:p>
      <w:pPr>
        <w:pStyle w:val="8"/>
        <w:ind w:left="218" w:leftChars="99" w:firstLine="240" w:firstLineChars="100"/>
        <w:rPr>
          <w:lang w:eastAsia="zh-CN"/>
        </w:rPr>
      </w:pPr>
      <w:r>
        <w:rPr>
          <w:lang w:eastAsia="zh-CN"/>
        </w:rPr>
        <w:t>2.比选人郑重承诺：参选人所提交的参选文件及相关资料不向第三方泄露。</w:t>
      </w:r>
    </w:p>
    <w:p>
      <w:pPr>
        <w:pStyle w:val="8"/>
        <w:ind w:left="218" w:leftChars="99" w:firstLine="240" w:firstLineChars="100"/>
        <w:rPr>
          <w:lang w:eastAsia="zh-CN"/>
        </w:rPr>
      </w:pPr>
      <w:r>
        <w:rPr>
          <w:lang w:eastAsia="zh-CN"/>
        </w:rPr>
        <w:t>3.本比选文件的解释权归福建福海创石油化工有限公司。</w:t>
      </w:r>
    </w:p>
    <w:p>
      <w:pPr>
        <w:pStyle w:val="8"/>
        <w:ind w:left="218"/>
        <w:rPr>
          <w:lang w:eastAsia="zh-CN"/>
        </w:rPr>
      </w:pPr>
      <w:r>
        <w:rPr>
          <w:lang w:eastAsia="zh-CN"/>
        </w:rPr>
        <w:br w:type="page"/>
      </w:r>
    </w:p>
    <w:p>
      <w:pPr>
        <w:pStyle w:val="8"/>
        <w:rPr>
          <w:rFonts w:ascii="Times New Roman"/>
          <w:b/>
          <w:bCs/>
          <w:lang w:eastAsia="zh-CN"/>
        </w:rPr>
      </w:pPr>
      <w:bookmarkStart w:id="9" w:name="_Toc251742852"/>
      <w:r>
        <w:rPr>
          <w:rFonts w:hint="eastAsia" w:ascii="Times New Roman"/>
          <w:b/>
          <w:bCs/>
          <w:lang w:eastAsia="zh-CN"/>
        </w:rPr>
        <w:t>附件一</w:t>
      </w:r>
    </w:p>
    <w:p>
      <w:pPr>
        <w:pStyle w:val="10"/>
        <w:spacing w:line="400" w:lineRule="exact"/>
        <w:jc w:val="center"/>
        <w:rPr>
          <w:rFonts w:hAnsi="宋体"/>
          <w:b/>
          <w:sz w:val="32"/>
          <w:szCs w:val="32"/>
          <w:lang w:eastAsia="zh-CN"/>
        </w:rPr>
      </w:pPr>
      <w:r>
        <w:rPr>
          <w:rFonts w:hint="eastAsia" w:hAnsi="宋体"/>
          <w:b/>
          <w:sz w:val="32"/>
          <w:szCs w:val="32"/>
          <w:lang w:eastAsia="zh-CN"/>
        </w:rPr>
        <w:t>福建福海创石油化工有限公司</w:t>
      </w:r>
    </w:p>
    <w:p>
      <w:pPr>
        <w:pStyle w:val="10"/>
        <w:spacing w:line="400" w:lineRule="exact"/>
        <w:jc w:val="center"/>
        <w:rPr>
          <w:rFonts w:hAnsi="宋体"/>
          <w:b/>
          <w:sz w:val="32"/>
          <w:szCs w:val="32"/>
          <w:lang w:eastAsia="zh-CN"/>
        </w:rPr>
      </w:pPr>
      <w:r>
        <w:rPr>
          <w:rFonts w:hint="eastAsia" w:hAnsi="宋体"/>
          <w:b/>
          <w:sz w:val="32"/>
          <w:szCs w:val="32"/>
          <w:lang w:eastAsia="zh-CN"/>
        </w:rPr>
        <w:t>全厂电力系统安全稳定评估项目</w:t>
      </w:r>
    </w:p>
    <w:p>
      <w:pPr>
        <w:pStyle w:val="10"/>
        <w:spacing w:line="400" w:lineRule="exact"/>
        <w:jc w:val="center"/>
        <w:rPr>
          <w:rFonts w:hAnsi="宋体"/>
          <w:b/>
          <w:sz w:val="32"/>
          <w:szCs w:val="32"/>
          <w:lang w:eastAsia="zh-CN"/>
        </w:rPr>
      </w:pPr>
      <w:r>
        <w:rPr>
          <w:rFonts w:hint="eastAsia" w:hAnsi="宋体"/>
          <w:b/>
          <w:sz w:val="32"/>
          <w:szCs w:val="32"/>
          <w:lang w:eastAsia="zh-CN"/>
        </w:rPr>
        <w:t>技术服务合同</w:t>
      </w:r>
    </w:p>
    <w:p>
      <w:pPr>
        <w:pStyle w:val="10"/>
        <w:spacing w:line="400" w:lineRule="exact"/>
        <w:jc w:val="center"/>
        <w:rPr>
          <w:rFonts w:hAnsi="宋体"/>
          <w:sz w:val="24"/>
          <w:szCs w:val="24"/>
          <w:lang w:eastAsia="zh-CN"/>
        </w:rPr>
      </w:pPr>
      <w:r>
        <w:rPr>
          <w:rFonts w:hint="eastAsia" w:hAnsi="宋体"/>
          <w:sz w:val="28"/>
          <w:szCs w:val="28"/>
          <w:lang w:eastAsia="zh-CN"/>
        </w:rPr>
        <w:t xml:space="preserve">              </w:t>
      </w:r>
      <w:r>
        <w:rPr>
          <w:rFonts w:hint="eastAsia" w:hAnsi="宋体"/>
          <w:sz w:val="24"/>
          <w:szCs w:val="24"/>
          <w:lang w:eastAsia="zh-CN"/>
        </w:rPr>
        <w:t>合同编号：</w:t>
      </w:r>
    </w:p>
    <w:p>
      <w:pPr>
        <w:pStyle w:val="10"/>
        <w:spacing w:line="400" w:lineRule="exact"/>
        <w:jc w:val="center"/>
        <w:rPr>
          <w:rFonts w:hAnsi="宋体"/>
          <w:sz w:val="24"/>
          <w:szCs w:val="24"/>
          <w:lang w:eastAsia="zh-CN"/>
        </w:rPr>
      </w:pPr>
      <w:r>
        <w:rPr>
          <w:rFonts w:hint="eastAsia" w:hAnsi="宋体"/>
          <w:sz w:val="24"/>
          <w:szCs w:val="24"/>
          <w:lang w:eastAsia="zh-CN"/>
        </w:rPr>
        <w:t xml:space="preserve">                                      签订时间：      年    月    日</w:t>
      </w:r>
    </w:p>
    <w:p>
      <w:pPr>
        <w:pStyle w:val="1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委托方（甲方）</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福建福海创石油化工有限公司</w:t>
      </w:r>
    </w:p>
    <w:p>
      <w:pPr>
        <w:pStyle w:val="1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住  所  地：</w:t>
      </w:r>
      <w:r>
        <w:rPr>
          <w:rFonts w:hint="eastAsia" w:asciiTheme="minorEastAsia" w:hAnsiTheme="minorEastAsia" w:eastAsiaTheme="minorEastAsia"/>
          <w:sz w:val="24"/>
          <w:szCs w:val="24"/>
          <w:lang w:eastAsia="zh-CN"/>
        </w:rPr>
        <w:t xml:space="preserve">福建省漳州市漳浦县古雷开发区腾龙路86号 </w:t>
      </w:r>
    </w:p>
    <w:p>
      <w:pPr>
        <w:pStyle w:val="1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项目联系人</w:t>
      </w:r>
      <w:r>
        <w:rPr>
          <w:rFonts w:hint="eastAsia" w:asciiTheme="minorEastAsia" w:hAnsiTheme="minorEastAsia" w:eastAsiaTheme="minorEastAsia"/>
          <w:sz w:val="24"/>
          <w:szCs w:val="24"/>
          <w:lang w:eastAsia="zh-CN"/>
        </w:rPr>
        <w:t>：李永其</w:t>
      </w:r>
    </w:p>
    <w:p>
      <w:pPr>
        <w:pStyle w:val="1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通讯地址</w:t>
      </w:r>
      <w:r>
        <w:rPr>
          <w:rFonts w:hint="eastAsia" w:asciiTheme="minorEastAsia" w:hAnsiTheme="minorEastAsia" w:eastAsiaTheme="minorEastAsia"/>
          <w:sz w:val="24"/>
          <w:szCs w:val="24"/>
          <w:lang w:eastAsia="zh-CN"/>
        </w:rPr>
        <w:t>：福建省漳州市漳浦县古雷开发区腾龙路86号</w:t>
      </w:r>
    </w:p>
    <w:p>
      <w:pPr>
        <w:pStyle w:val="1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    话</w:t>
      </w:r>
      <w:r>
        <w:rPr>
          <w:rFonts w:hint="eastAsia" w:asciiTheme="minorEastAsia" w:hAnsiTheme="minorEastAsia" w:eastAsiaTheme="minorEastAsia"/>
          <w:sz w:val="24"/>
          <w:szCs w:val="24"/>
          <w:lang w:eastAsia="zh-CN"/>
        </w:rPr>
        <w:t xml:space="preserve">： </w:t>
      </w:r>
      <w:r>
        <w:rPr>
          <w:rFonts w:hint="eastAsia"/>
          <w:sz w:val="24"/>
          <w:szCs w:val="24"/>
          <w:shd w:val="clear" w:color="auto" w:fill="FFFFFF"/>
          <w:lang w:eastAsia="zh-CN"/>
        </w:rPr>
        <w:t>13615098802</w:t>
      </w:r>
    </w:p>
    <w:p>
      <w:pPr>
        <w:pStyle w:val="1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电子信箱</w:t>
      </w:r>
      <w:r>
        <w:rPr>
          <w:rFonts w:hint="eastAsia" w:asciiTheme="minorEastAsia" w:hAnsiTheme="minorEastAsia" w:eastAsiaTheme="minorEastAsia"/>
          <w:sz w:val="24"/>
          <w:szCs w:val="24"/>
          <w:lang w:eastAsia="zh-CN"/>
        </w:rPr>
        <w:t>：yqli@fhcpec.com.cn</w:t>
      </w:r>
    </w:p>
    <w:p>
      <w:pPr>
        <w:pStyle w:val="10"/>
        <w:rPr>
          <w:rFonts w:asciiTheme="minorEastAsia" w:hAnsiTheme="minorEastAsia" w:eastAsiaTheme="minorEastAsia"/>
          <w:sz w:val="24"/>
          <w:szCs w:val="24"/>
          <w:lang w:eastAsia="zh-CN"/>
        </w:rPr>
      </w:pPr>
    </w:p>
    <w:p>
      <w:pPr>
        <w:pStyle w:val="1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受托方（乙方）</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 xml:space="preserve"> </w:t>
      </w:r>
    </w:p>
    <w:p>
      <w:pPr>
        <w:pStyle w:val="10"/>
        <w:rPr>
          <w:rFonts w:asciiTheme="majorEastAsia" w:hAnsiTheme="majorEastAsia" w:eastAsiaTheme="majorEastAsia"/>
          <w:sz w:val="24"/>
          <w:szCs w:val="24"/>
          <w:lang w:eastAsia="zh-CN"/>
        </w:rPr>
      </w:pPr>
      <w:r>
        <w:rPr>
          <w:rFonts w:asciiTheme="minorEastAsia" w:hAnsiTheme="minorEastAsia" w:eastAsiaTheme="minorEastAsia"/>
          <w:sz w:val="24"/>
          <w:szCs w:val="24"/>
          <w:lang w:eastAsia="zh-CN"/>
        </w:rPr>
        <w:t>住  所  地</w:t>
      </w:r>
      <w:r>
        <w:rPr>
          <w:rFonts w:hint="eastAsia" w:asciiTheme="minorEastAsia" w:hAnsiTheme="minorEastAsia" w:eastAsiaTheme="minorEastAsia"/>
          <w:sz w:val="24"/>
          <w:szCs w:val="24"/>
          <w:lang w:eastAsia="zh-CN"/>
        </w:rPr>
        <w:t>：</w:t>
      </w:r>
      <w:r>
        <w:rPr>
          <w:rFonts w:asciiTheme="majorEastAsia" w:hAnsiTheme="majorEastAsia" w:eastAsiaTheme="majorEastAsia"/>
          <w:sz w:val="24"/>
          <w:szCs w:val="24"/>
          <w:lang w:eastAsia="zh-CN"/>
        </w:rPr>
        <w:t xml:space="preserve"> </w:t>
      </w:r>
    </w:p>
    <w:p>
      <w:pPr>
        <w:pStyle w:val="10"/>
        <w:rPr>
          <w:rFonts w:asciiTheme="majorEastAsia" w:hAnsiTheme="majorEastAsia" w:eastAsiaTheme="majorEastAsia"/>
          <w:sz w:val="24"/>
          <w:szCs w:val="24"/>
          <w:lang w:eastAsia="zh-CN"/>
        </w:rPr>
      </w:pPr>
      <w:r>
        <w:rPr>
          <w:rFonts w:asciiTheme="minorEastAsia" w:hAnsiTheme="minorEastAsia" w:eastAsiaTheme="minorEastAsia"/>
          <w:sz w:val="24"/>
          <w:szCs w:val="24"/>
          <w:lang w:eastAsia="zh-CN"/>
        </w:rPr>
        <w:t>项目联系人</w:t>
      </w:r>
      <w:r>
        <w:rPr>
          <w:rFonts w:hint="eastAsia" w:asciiTheme="minorEastAsia" w:hAnsiTheme="minorEastAsia" w:eastAsiaTheme="minorEastAsia"/>
          <w:sz w:val="24"/>
          <w:szCs w:val="24"/>
          <w:lang w:eastAsia="zh-CN"/>
        </w:rPr>
        <w:t>：</w:t>
      </w:r>
      <w:r>
        <w:rPr>
          <w:rFonts w:asciiTheme="majorEastAsia" w:hAnsiTheme="majorEastAsia" w:eastAsiaTheme="majorEastAsia"/>
          <w:sz w:val="24"/>
          <w:szCs w:val="24"/>
          <w:lang w:eastAsia="zh-CN"/>
        </w:rPr>
        <w:t xml:space="preserve"> </w:t>
      </w:r>
    </w:p>
    <w:p>
      <w:pPr>
        <w:pStyle w:val="1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通讯地址</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 xml:space="preserve"> </w:t>
      </w:r>
    </w:p>
    <w:p>
      <w:pPr>
        <w:pStyle w:val="1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    话</w:t>
      </w:r>
      <w:r>
        <w:rPr>
          <w:rFonts w:hint="eastAsia" w:asciiTheme="minorEastAsia" w:hAnsiTheme="minorEastAsia" w:eastAsiaTheme="minorEastAsia"/>
          <w:sz w:val="24"/>
          <w:szCs w:val="24"/>
          <w:lang w:eastAsia="zh-CN"/>
        </w:rPr>
        <w:t>：</w:t>
      </w:r>
    </w:p>
    <w:p>
      <w:pPr>
        <w:pStyle w:val="1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电子信箱</w:t>
      </w:r>
      <w:r>
        <w:rPr>
          <w:rFonts w:hint="eastAsia" w:asciiTheme="minorEastAsia" w:hAnsiTheme="minorEastAsia" w:eastAsiaTheme="minorEastAsia"/>
          <w:sz w:val="24"/>
          <w:szCs w:val="24"/>
          <w:lang w:eastAsia="zh-CN"/>
        </w:rPr>
        <w:t>：</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本合同由甲方委托乙方就</w:t>
      </w:r>
      <w:r>
        <w:rPr>
          <w:rFonts w:hint="eastAsia" w:asciiTheme="minorEastAsia" w:hAnsiTheme="minorEastAsia" w:eastAsiaTheme="minorEastAsia"/>
          <w:sz w:val="24"/>
          <w:szCs w:val="24"/>
          <w:u w:val="single"/>
          <w:lang w:eastAsia="zh-CN"/>
        </w:rPr>
        <w:t xml:space="preserve"> </w:t>
      </w:r>
      <w:r>
        <w:rPr>
          <w:rFonts w:hint="eastAsia" w:hAnsi="宋体"/>
          <w:sz w:val="24"/>
          <w:szCs w:val="24"/>
          <w:u w:val="single"/>
          <w:lang w:eastAsia="zh-CN"/>
        </w:rPr>
        <w:t>全厂电力系统安全稳定评估</w:t>
      </w:r>
      <w:r>
        <w:rPr>
          <w:rFonts w:hint="eastAsia" w:asciiTheme="minorEastAsia" w:hAnsiTheme="minorEastAsia" w:eastAsiaTheme="minorEastAsia"/>
          <w:sz w:val="24"/>
          <w:szCs w:val="24"/>
          <w:lang w:eastAsia="zh-CN"/>
        </w:rPr>
        <w:t>进行技术服务及咨询，并支付技术服务及咨询报酬。双方经过平等协商，在真实、充分地表达各自意愿的基础上，根据《中华人民共和国民法典》的规定，达成如下协议，并由双方共同恪守。</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第一条</w:t>
      </w:r>
      <w:r>
        <w:rPr>
          <w:rFonts w:hint="eastAsia" w:asciiTheme="minorEastAsia" w:hAnsiTheme="minorEastAsia" w:eastAsiaTheme="minorEastAsia"/>
          <w:sz w:val="24"/>
          <w:szCs w:val="24"/>
          <w:lang w:eastAsia="zh-CN"/>
        </w:rPr>
        <w:t>　乙方进行技术咨询的内容、要求及期限：</w:t>
      </w:r>
    </w:p>
    <w:p>
      <w:pPr>
        <w:pStyle w:val="10"/>
        <w:ind w:left="3224" w:leftChars="211" w:hanging="2760" w:hangingChars="115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1. 技术服务及咨询内容：</w:t>
      </w:r>
      <w:r>
        <w:rPr>
          <w:rFonts w:hint="eastAsia" w:asciiTheme="minorEastAsia" w:hAnsiTheme="minorEastAsia" w:eastAsiaTheme="minorEastAsia"/>
          <w:sz w:val="24"/>
          <w:szCs w:val="24"/>
          <w:u w:val="single"/>
          <w:lang w:eastAsia="zh-CN"/>
        </w:rPr>
        <w:t xml:space="preserve"> </w:t>
      </w:r>
      <w:r>
        <w:rPr>
          <w:rFonts w:hint="eastAsia" w:hAnsi="宋体"/>
          <w:sz w:val="24"/>
          <w:szCs w:val="24"/>
          <w:u w:val="single"/>
          <w:lang w:eastAsia="zh-CN"/>
        </w:rPr>
        <w:t>全厂电力系统安全稳定评估</w:t>
      </w:r>
      <w:r>
        <w:rPr>
          <w:rFonts w:hint="eastAsia" w:asciiTheme="minorEastAsia" w:hAnsiTheme="minorEastAsia" w:eastAsiaTheme="minorEastAsia"/>
          <w:sz w:val="24"/>
          <w:szCs w:val="24"/>
          <w:u w:val="single"/>
          <w:lang w:eastAsia="zh-CN"/>
        </w:rPr>
        <w:t>服务（见附件1发包说明）</w:t>
      </w:r>
    </w:p>
    <w:p>
      <w:pPr>
        <w:pStyle w:val="10"/>
        <w:ind w:firstLine="465"/>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2. 技术服务及咨询要求：</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color w:val="000000" w:themeColor="text1"/>
          <w:sz w:val="24"/>
          <w:u w:val="single"/>
          <w:lang w:eastAsia="zh-CN"/>
        </w:rPr>
        <w:t>满足发包说明中的各项技术服务内容</w:t>
      </w:r>
      <w:r>
        <w:rPr>
          <w:rFonts w:hint="eastAsia" w:asciiTheme="minorEastAsia" w:hAnsiTheme="minorEastAsia" w:eastAsiaTheme="minorEastAsia"/>
          <w:sz w:val="24"/>
          <w:szCs w:val="24"/>
          <w:u w:val="single"/>
          <w:lang w:eastAsia="zh-CN"/>
        </w:rPr>
        <w:t xml:space="preserve"> </w:t>
      </w:r>
    </w:p>
    <w:p>
      <w:pPr>
        <w:pStyle w:val="10"/>
        <w:ind w:firstLine="465"/>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 本技术服务合同期限：合同生效后90天</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第二条</w:t>
      </w:r>
      <w:r>
        <w:rPr>
          <w:rFonts w:hint="eastAsia" w:asciiTheme="minorEastAsia" w:hAnsiTheme="minorEastAsia" w:eastAsiaTheme="minorEastAsia"/>
          <w:sz w:val="24"/>
          <w:szCs w:val="24"/>
          <w:lang w:eastAsia="zh-CN"/>
        </w:rPr>
        <w:t xml:space="preserve"> 乙方按照下列要求进行本合同项目的技术服务工作：</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1. 技术服务及咨询地点：</w:t>
      </w:r>
      <w:r>
        <w:rPr>
          <w:rFonts w:hint="eastAsia" w:asciiTheme="minorEastAsia" w:hAnsiTheme="minorEastAsia" w:eastAsiaTheme="minorEastAsia"/>
          <w:sz w:val="24"/>
          <w:szCs w:val="24"/>
          <w:u w:val="single"/>
          <w:lang w:eastAsia="zh-CN"/>
        </w:rPr>
        <w:t xml:space="preserve">  福建福海创石油化工有限公司   </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2. 技术服务及咨询期限：</w:t>
      </w:r>
      <w:r>
        <w:rPr>
          <w:rFonts w:hint="eastAsia" w:asciiTheme="minorEastAsia" w:hAnsiTheme="minorEastAsia" w:eastAsiaTheme="minorEastAsia"/>
          <w:sz w:val="24"/>
          <w:szCs w:val="24"/>
          <w:u w:val="single"/>
          <w:lang w:eastAsia="zh-CN"/>
        </w:rPr>
        <w:t xml:space="preserve">  服务期限90天 </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3. 技术服务及咨询进度：</w:t>
      </w:r>
      <w:r>
        <w:rPr>
          <w:rFonts w:hint="eastAsia" w:asciiTheme="minorEastAsia" w:hAnsiTheme="minorEastAsia" w:eastAsiaTheme="minorEastAsia"/>
          <w:sz w:val="24"/>
          <w:szCs w:val="24"/>
          <w:u w:val="single"/>
          <w:lang w:eastAsia="zh-CN"/>
        </w:rPr>
        <w:t xml:space="preserve">  依据现场情况，甲方确定   </w:t>
      </w:r>
    </w:p>
    <w:p>
      <w:pPr>
        <w:pStyle w:val="10"/>
        <w:ind w:left="1"/>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4. 技术服务及咨询质量要求：</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color w:val="000000" w:themeColor="text1"/>
          <w:sz w:val="24"/>
          <w:u w:val="single"/>
          <w:lang w:eastAsia="zh-CN"/>
        </w:rPr>
        <w:t xml:space="preserve">见附件1发包说明 </w:t>
      </w:r>
      <w:r>
        <w:rPr>
          <w:rFonts w:hint="eastAsia" w:asciiTheme="minorEastAsia" w:hAnsiTheme="minorEastAsia" w:eastAsiaTheme="minorEastAsia"/>
          <w:sz w:val="24"/>
          <w:szCs w:val="24"/>
          <w:lang w:eastAsia="zh-CN"/>
        </w:rPr>
        <w:t xml:space="preserve">  </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第三条</w:t>
      </w:r>
      <w:r>
        <w:rPr>
          <w:rFonts w:hint="eastAsia" w:asciiTheme="minorEastAsia" w:hAnsiTheme="minorEastAsia" w:eastAsiaTheme="minorEastAsia"/>
          <w:sz w:val="24"/>
          <w:szCs w:val="24"/>
          <w:lang w:eastAsia="zh-CN"/>
        </w:rPr>
        <w:t xml:space="preserve"> 为保证乙方有效进行技术服务工作，甲方应当向乙方提供下列协作事项：</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提供技术资料：</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color w:val="000000" w:themeColor="text1"/>
          <w:sz w:val="24"/>
          <w:u w:val="single"/>
          <w:lang w:eastAsia="zh-CN"/>
        </w:rPr>
        <w:t>目前应用电力系统的资料</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 xml:space="preserve"> </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提供工作条件：</w:t>
      </w:r>
      <w:r>
        <w:rPr>
          <w:rFonts w:hint="eastAsia" w:asciiTheme="minorEastAsia" w:hAnsiTheme="minorEastAsia" w:eastAsiaTheme="minorEastAsia"/>
          <w:sz w:val="24"/>
          <w:szCs w:val="24"/>
          <w:u w:val="single"/>
          <w:lang w:eastAsia="zh-CN"/>
        </w:rPr>
        <w:t xml:space="preserve"> </w:t>
      </w:r>
      <w:r>
        <w:rPr>
          <w:rFonts w:hint="eastAsia" w:asciiTheme="majorEastAsia" w:hAnsiTheme="majorEastAsia" w:eastAsiaTheme="majorEastAsia"/>
          <w:sz w:val="24"/>
          <w:szCs w:val="24"/>
          <w:u w:val="single"/>
          <w:lang w:eastAsia="zh-CN"/>
        </w:rPr>
        <w:t>负责办理入厂通行证、工作票等</w:t>
      </w:r>
      <w:r>
        <w:rPr>
          <w:rFonts w:hint="eastAsia" w:asciiTheme="minorEastAsia" w:hAnsiTheme="minorEastAsia" w:eastAsiaTheme="minorEastAsia"/>
          <w:sz w:val="24"/>
          <w:szCs w:val="24"/>
          <w:u w:val="single"/>
          <w:lang w:eastAsia="zh-CN"/>
        </w:rPr>
        <w:t xml:space="preserve"> </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其他：</w:t>
      </w:r>
      <w:r>
        <w:rPr>
          <w:rFonts w:hint="eastAsia" w:asciiTheme="minorEastAsia" w:hAnsiTheme="minorEastAsia" w:eastAsiaTheme="minorEastAsia"/>
          <w:sz w:val="24"/>
          <w:szCs w:val="24"/>
          <w:u w:val="single"/>
          <w:lang w:eastAsia="zh-CN"/>
        </w:rPr>
        <w:t xml:space="preserve"> 无 </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甲方提供上述协作事项的时间及方式：</w:t>
      </w:r>
      <w:r>
        <w:rPr>
          <w:rFonts w:hint="eastAsia" w:asciiTheme="minorEastAsia" w:hAnsiTheme="minorEastAsia" w:eastAsiaTheme="minorEastAsia"/>
          <w:sz w:val="24"/>
          <w:szCs w:val="24"/>
          <w:u w:val="single"/>
          <w:lang w:eastAsia="zh-CN"/>
        </w:rPr>
        <w:t xml:space="preserve"> 甲方确定  </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第四条</w:t>
      </w:r>
      <w:r>
        <w:rPr>
          <w:rFonts w:hint="eastAsia" w:asciiTheme="minorEastAsia" w:hAnsiTheme="minorEastAsia" w:eastAsiaTheme="minorEastAsia"/>
          <w:sz w:val="24"/>
          <w:szCs w:val="24"/>
          <w:lang w:eastAsia="zh-CN"/>
        </w:rPr>
        <w:t xml:space="preserve"> 甲方向乙方支付技术服务及咨询报酬及支付方式为：</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技术服务报酬总价款为：</w:t>
      </w:r>
      <w:r>
        <w:rPr>
          <w:rFonts w:asciiTheme="minorEastAsia" w:hAnsiTheme="minorEastAsia" w:eastAsiaTheme="minorEastAsia"/>
          <w:sz w:val="24"/>
          <w:szCs w:val="24"/>
          <w:lang w:eastAsia="zh-CN"/>
        </w:rPr>
        <w:t>人民币</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元整（含</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增值税）。无预付款，乙方对全厂电力系统安全稳定评估技术服务完成，提交报告及解决方案，并得到甲方验收合格（以甲方签字的工程师服务报告为依据结算），同时收到全额增值税专用发票后，甲方支付全额服务费用。</w:t>
      </w:r>
    </w:p>
    <w:p>
      <w:pPr>
        <w:pStyle w:val="10"/>
        <w:rPr>
          <w:rFonts w:asciiTheme="majorEastAsia" w:hAnsiTheme="majorEastAsia" w:eastAsiaTheme="majorEastAsia"/>
          <w:sz w:val="24"/>
          <w:szCs w:val="24"/>
          <w:lang w:eastAsia="zh-CN"/>
        </w:rPr>
      </w:pP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   </w:t>
      </w:r>
      <w:r>
        <w:rPr>
          <w:rFonts w:hint="eastAsia" w:asciiTheme="majorEastAsia" w:hAnsiTheme="majorEastAsia" w:eastAsiaTheme="majorEastAsia"/>
          <w:sz w:val="24"/>
          <w:szCs w:val="24"/>
          <w:lang w:eastAsia="zh-CN"/>
        </w:rPr>
        <w:t>技术服务报酬直接支付至乙方指定的下列账号：</w:t>
      </w:r>
    </w:p>
    <w:p>
      <w:pPr>
        <w:ind w:firstLine="360" w:firstLineChars="15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乙方开户银行名称、地址和帐号为：</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名称：</w:t>
      </w:r>
      <w:r>
        <w:rPr>
          <w:rFonts w:asciiTheme="majorEastAsia" w:hAnsiTheme="majorEastAsia" w:eastAsiaTheme="majorEastAsia"/>
          <w:sz w:val="24"/>
          <w:szCs w:val="24"/>
          <w:lang w:eastAsia="zh-CN"/>
        </w:rPr>
        <w:t xml:space="preserve"> </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税号：</w:t>
      </w:r>
      <w:r>
        <w:rPr>
          <w:rFonts w:hint="eastAsia" w:asciiTheme="majorEastAsia" w:hAnsiTheme="majorEastAsia" w:eastAsiaTheme="majorEastAsia"/>
          <w:snapToGrid w:val="0"/>
          <w:color w:val="000000"/>
          <w:sz w:val="24"/>
          <w:szCs w:val="24"/>
          <w:lang w:eastAsia="zh-CN"/>
        </w:rPr>
        <w:t xml:space="preserve">  </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地址：</w:t>
      </w:r>
      <w:r>
        <w:rPr>
          <w:rFonts w:asciiTheme="majorEastAsia" w:hAnsiTheme="majorEastAsia" w:eastAsiaTheme="majorEastAsia"/>
          <w:sz w:val="24"/>
          <w:szCs w:val="24"/>
          <w:lang w:eastAsia="zh-CN"/>
        </w:rPr>
        <w:t xml:space="preserve"> </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电话：</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开户银行：</w:t>
      </w:r>
      <w:r>
        <w:rPr>
          <w:rFonts w:hint="eastAsia" w:asciiTheme="majorEastAsia" w:hAnsiTheme="majorEastAsia" w:eastAsiaTheme="majorEastAsia"/>
          <w:snapToGrid w:val="0"/>
          <w:color w:val="000000"/>
          <w:sz w:val="24"/>
          <w:szCs w:val="24"/>
          <w:lang w:eastAsia="zh-CN"/>
        </w:rPr>
        <w:t xml:space="preserve"> </w:t>
      </w:r>
      <w:r>
        <w:rPr>
          <w:rFonts w:asciiTheme="majorEastAsia" w:hAnsiTheme="majorEastAsia" w:eastAsiaTheme="majorEastAsia"/>
          <w:sz w:val="24"/>
          <w:szCs w:val="24"/>
          <w:lang w:eastAsia="zh-CN"/>
        </w:rPr>
        <w:t xml:space="preserve"> </w:t>
      </w:r>
    </w:p>
    <w:p>
      <w:pPr>
        <w:widowControl/>
        <w:ind w:firstLine="480" w:firstLineChars="200"/>
        <w:rPr>
          <w:rFonts w:asciiTheme="majorEastAsia" w:hAnsiTheme="majorEastAsia" w:eastAsiaTheme="majorEastAsia"/>
          <w:color w:val="000000"/>
          <w:sz w:val="24"/>
          <w:szCs w:val="24"/>
          <w:lang w:eastAsia="zh-CN"/>
        </w:rPr>
      </w:pPr>
      <w:r>
        <w:rPr>
          <w:rFonts w:hint="eastAsia" w:asciiTheme="majorEastAsia" w:hAnsiTheme="majorEastAsia" w:eastAsiaTheme="majorEastAsia"/>
          <w:sz w:val="24"/>
          <w:szCs w:val="24"/>
          <w:lang w:eastAsia="zh-CN"/>
        </w:rPr>
        <w:t>帐号：</w:t>
      </w:r>
      <w:r>
        <w:rPr>
          <w:rFonts w:asciiTheme="majorEastAsia" w:hAnsiTheme="majorEastAsia" w:eastAsiaTheme="majorEastAsia"/>
          <w:sz w:val="24"/>
          <w:szCs w:val="24"/>
          <w:lang w:eastAsia="zh-CN"/>
        </w:rPr>
        <w:t xml:space="preserve">  </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第五条</w:t>
      </w:r>
      <w:r>
        <w:rPr>
          <w:rFonts w:hint="eastAsia" w:asciiTheme="minorEastAsia" w:hAnsiTheme="minorEastAsia" w:eastAsiaTheme="minorEastAsia"/>
          <w:sz w:val="24"/>
          <w:szCs w:val="24"/>
          <w:lang w:eastAsia="zh-CN"/>
        </w:rPr>
        <w:t xml:space="preserve"> 双方确定因履行本合同应遵守的保密义务如下：</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 保密内容：乙方提供的资料，服务咨询报告及该服务咨询报告的附件资料除外。</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 涉密人员范围：甲方及甲方工作人员 </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3. 泄密责任：  按本合同约定及国家有关保密法的规定执行 </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1. 保密内容：甲方提供的资料以及乙方在提供本合同约定服务过程中知悉的甲方技术信息、经营信息、生产工艺、操作流程等。 </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 涉密人员范围：乙方及乙方工作人员 </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3. 泄密责任：按本合同约定及国家有关保密法的规定执行 </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第六条</w:t>
      </w:r>
      <w:r>
        <w:rPr>
          <w:rFonts w:hint="eastAsia" w:asciiTheme="minorEastAsia" w:hAnsiTheme="minorEastAsia" w:eastAsiaTheme="minorEastAsia"/>
          <w:sz w:val="24"/>
          <w:szCs w:val="24"/>
          <w:lang w:eastAsia="zh-CN"/>
        </w:rPr>
        <w:t xml:space="preserve"> 本合同的变更必须由双方协商一致，并以书面形式确定。</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第七条</w:t>
      </w:r>
      <w:r>
        <w:rPr>
          <w:rFonts w:hint="eastAsia" w:asciiTheme="minorEastAsia" w:hAnsiTheme="minorEastAsia" w:eastAsiaTheme="minorEastAsia"/>
          <w:sz w:val="24"/>
          <w:szCs w:val="24"/>
          <w:lang w:eastAsia="zh-CN"/>
        </w:rPr>
        <w:t xml:space="preserve"> 双方确定，按以下标准和方式对乙方提交的技术咨询工作成果进行验收：</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 乙方提交工作成果的形式：</w:t>
      </w:r>
      <w:r>
        <w:rPr>
          <w:rFonts w:hint="eastAsia" w:asciiTheme="minorEastAsia" w:hAnsiTheme="minorEastAsia" w:eastAsiaTheme="minorEastAsia"/>
          <w:sz w:val="24"/>
          <w:szCs w:val="24"/>
          <w:u w:val="single"/>
          <w:lang w:eastAsia="zh-CN"/>
        </w:rPr>
        <w:t xml:space="preserve"> 书面报告</w:t>
      </w:r>
      <w:r>
        <w:rPr>
          <w:rFonts w:asciiTheme="minorEastAsia" w:hAnsiTheme="minorEastAsia" w:eastAsiaTheme="minorEastAsia"/>
          <w:sz w:val="24"/>
          <w:szCs w:val="24"/>
          <w:u w:val="single"/>
          <w:lang w:eastAsia="zh-CN"/>
        </w:rPr>
        <w:t xml:space="preserve"> </w:t>
      </w:r>
    </w:p>
    <w:p>
      <w:pPr>
        <w:pStyle w:val="10"/>
        <w:ind w:left="1"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 工作成果的验收标准：</w:t>
      </w:r>
      <w:r>
        <w:rPr>
          <w:rFonts w:hint="eastAsia" w:asciiTheme="minorEastAsia" w:hAnsiTheme="minorEastAsia" w:eastAsiaTheme="minorEastAsia"/>
          <w:sz w:val="24"/>
          <w:szCs w:val="24"/>
          <w:u w:val="single"/>
          <w:lang w:eastAsia="zh-CN"/>
        </w:rPr>
        <w:t xml:space="preserve">  达到行业标准及企业标准要求，</w:t>
      </w:r>
      <w:r>
        <w:rPr>
          <w:rFonts w:hint="eastAsia" w:asciiTheme="majorEastAsia" w:hAnsiTheme="majorEastAsia" w:eastAsiaTheme="majorEastAsia"/>
          <w:sz w:val="24"/>
          <w:u w:val="single"/>
          <w:lang w:eastAsia="zh-CN"/>
        </w:rPr>
        <w:t>二者要求不一致的，适用更为严格的标准。</w:t>
      </w:r>
      <w:r>
        <w:rPr>
          <w:rFonts w:asciiTheme="minorEastAsia" w:hAnsiTheme="minorEastAsia" w:eastAsiaTheme="minorEastAsia"/>
          <w:sz w:val="24"/>
          <w:szCs w:val="24"/>
          <w:u w:val="single"/>
          <w:lang w:eastAsia="zh-CN"/>
        </w:rPr>
        <w:t xml:space="preserve"> </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 验收地点：</w:t>
      </w:r>
      <w:r>
        <w:rPr>
          <w:rFonts w:hint="eastAsia" w:asciiTheme="minorEastAsia" w:hAnsiTheme="minorEastAsia" w:eastAsiaTheme="minorEastAsia"/>
          <w:sz w:val="24"/>
          <w:szCs w:val="24"/>
          <w:u w:val="single"/>
          <w:lang w:eastAsia="zh-CN"/>
        </w:rPr>
        <w:t xml:space="preserve"> 福建福海创石油化工有限公司</w:t>
      </w:r>
      <w:r>
        <w:rPr>
          <w:rFonts w:asciiTheme="minorEastAsia" w:hAnsiTheme="minorEastAsia" w:eastAsiaTheme="minorEastAsia"/>
          <w:sz w:val="24"/>
          <w:szCs w:val="24"/>
          <w:u w:val="single"/>
          <w:lang w:eastAsia="zh-CN"/>
        </w:rPr>
        <w:t xml:space="preserve"> </w:t>
      </w:r>
    </w:p>
    <w:p>
      <w:pPr>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 双方确认，甲方的验收即视为对乙方工作成果的最终认可。在技术服务成果运用过程中，如有证据表明乙方存在弄虚作假等违反合同约定的情形，甲方仍有权要求乙方承担由此造成的损失和法律后果。</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第八条</w:t>
      </w:r>
      <w:r>
        <w:rPr>
          <w:rFonts w:hint="eastAsia" w:asciiTheme="minorEastAsia" w:hAnsiTheme="minorEastAsia" w:eastAsiaTheme="minorEastAsia"/>
          <w:sz w:val="24"/>
          <w:szCs w:val="24"/>
          <w:lang w:eastAsia="zh-CN"/>
        </w:rPr>
        <w:t xml:space="preserve"> 双方确定，甲方指定</w:t>
      </w:r>
      <w:r>
        <w:rPr>
          <w:rFonts w:hint="eastAsia" w:asciiTheme="minorEastAsia" w:hAnsiTheme="minorEastAsia" w:eastAsiaTheme="minorEastAsia"/>
          <w:sz w:val="24"/>
          <w:szCs w:val="24"/>
          <w:u w:val="single"/>
          <w:lang w:eastAsia="zh-CN"/>
        </w:rPr>
        <w:t xml:space="preserve"> 李永其</w:t>
      </w:r>
      <w:r>
        <w:rPr>
          <w:rFonts w:hint="eastAsia"/>
          <w:sz w:val="24"/>
          <w:szCs w:val="24"/>
          <w:u w:val="single"/>
          <w:shd w:val="clear" w:color="auto" w:fill="FFFFFF"/>
          <w:lang w:eastAsia="zh-CN"/>
        </w:rPr>
        <w:t>13615098802</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为甲方项目联系人，乙方指定</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为乙方项目联系人。项目联系人承担以下责任：</w:t>
      </w:r>
    </w:p>
    <w:p>
      <w:pPr>
        <w:pStyle w:val="10"/>
        <w:ind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u w:val="single"/>
          <w:lang w:eastAsia="zh-CN"/>
        </w:rPr>
        <w:t xml:space="preserve"> </w:t>
      </w:r>
      <w:r>
        <w:rPr>
          <w:rFonts w:hint="eastAsia" w:cs="宋体" w:asciiTheme="majorEastAsia" w:hAnsiTheme="majorEastAsia" w:eastAsiaTheme="majorEastAsia"/>
          <w:sz w:val="24"/>
          <w:szCs w:val="24"/>
          <w:u w:val="single"/>
          <w:lang w:eastAsia="zh-CN"/>
        </w:rPr>
        <w:t>联系具体项目进度并实施</w:t>
      </w:r>
      <w:r>
        <w:rPr>
          <w:rFonts w:asciiTheme="minorEastAsia" w:hAnsiTheme="minorEastAsia" w:eastAsiaTheme="minorEastAsia"/>
          <w:sz w:val="24"/>
          <w:szCs w:val="24"/>
          <w:u w:val="single"/>
          <w:lang w:eastAsia="zh-CN"/>
        </w:rPr>
        <w:t xml:space="preserve"> </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一方变更项目联系人的，应当及时以书面形式通知另一方。未及时通知并影响本合同履行或造成损失的，应承担相应的责任。</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第九条</w:t>
      </w:r>
      <w:r>
        <w:rPr>
          <w:rFonts w:hint="eastAsia" w:asciiTheme="minorEastAsia" w:hAnsiTheme="minorEastAsia" w:eastAsiaTheme="minorEastAsia"/>
          <w:sz w:val="24"/>
          <w:szCs w:val="24"/>
          <w:lang w:eastAsia="zh-CN"/>
        </w:rPr>
        <w:t xml:space="preserve">  违约责任</w:t>
      </w:r>
    </w:p>
    <w:p>
      <w:pPr>
        <w:ind w:firstLine="480" w:firstLineChars="200"/>
        <w:rPr>
          <w:rStyle w:val="54"/>
          <w:rFonts w:asciiTheme="minorEastAsia" w:hAnsiTheme="minorEastAsia" w:eastAsiaTheme="minorEastAsia"/>
          <w:color w:val="000000"/>
          <w:sz w:val="24"/>
          <w:lang w:eastAsia="zh-CN"/>
        </w:rPr>
      </w:pPr>
      <w:r>
        <w:rPr>
          <w:rStyle w:val="54"/>
          <w:rFonts w:hint="eastAsia" w:asciiTheme="minorEastAsia" w:hAnsiTheme="minorEastAsia" w:eastAsiaTheme="minorEastAsia"/>
          <w:color w:val="000000"/>
          <w:sz w:val="24"/>
          <w:lang w:eastAsia="zh-CN"/>
        </w:rPr>
        <w:t>1.乙方逾期提交服务报告的，每逾期一天应向甲方支付合同总额</w:t>
      </w:r>
      <w:r>
        <w:rPr>
          <w:rStyle w:val="54"/>
          <w:rFonts w:hint="eastAsia" w:asciiTheme="minorEastAsia" w:hAnsiTheme="minorEastAsia" w:eastAsiaTheme="minorEastAsia"/>
          <w:color w:val="000000"/>
          <w:sz w:val="24"/>
          <w:u w:val="single"/>
          <w:lang w:eastAsia="zh-CN"/>
        </w:rPr>
        <w:t>0.1%</w:t>
      </w:r>
      <w:r>
        <w:rPr>
          <w:rStyle w:val="54"/>
          <w:rFonts w:hint="eastAsia" w:asciiTheme="minorEastAsia" w:hAnsiTheme="minorEastAsia" w:eastAsiaTheme="minorEastAsia"/>
          <w:color w:val="000000"/>
          <w:sz w:val="24"/>
          <w:lang w:eastAsia="zh-CN"/>
        </w:rPr>
        <w:t>的违约金，逾期超过15天的，甲方有权单方解除合同，并要求乙方一次性支付合同总额</w:t>
      </w:r>
      <w:r>
        <w:rPr>
          <w:rStyle w:val="54"/>
          <w:rFonts w:hint="eastAsia" w:asciiTheme="minorEastAsia" w:hAnsiTheme="minorEastAsia" w:eastAsiaTheme="minorEastAsia"/>
          <w:color w:val="000000"/>
          <w:sz w:val="24"/>
          <w:u w:val="single"/>
          <w:lang w:eastAsia="zh-CN"/>
        </w:rPr>
        <w:t>20%</w:t>
      </w:r>
      <w:r>
        <w:rPr>
          <w:rStyle w:val="54"/>
          <w:rFonts w:hint="eastAsia" w:asciiTheme="minorEastAsia" w:hAnsiTheme="minorEastAsia" w:eastAsiaTheme="minorEastAsia"/>
          <w:color w:val="000000"/>
          <w:sz w:val="24"/>
          <w:lang w:eastAsia="zh-CN"/>
        </w:rPr>
        <w:t>的违约金。</w:t>
      </w:r>
    </w:p>
    <w:p>
      <w:pPr>
        <w:ind w:firstLine="480" w:firstLineChars="200"/>
        <w:rPr>
          <w:rStyle w:val="54"/>
          <w:rFonts w:asciiTheme="minorEastAsia" w:hAnsiTheme="minorEastAsia" w:eastAsiaTheme="minorEastAsia"/>
          <w:color w:val="000000"/>
          <w:sz w:val="24"/>
          <w:lang w:eastAsia="zh-CN"/>
        </w:rPr>
      </w:pPr>
      <w:r>
        <w:rPr>
          <w:rStyle w:val="54"/>
          <w:rFonts w:hint="eastAsia" w:asciiTheme="minorEastAsia" w:hAnsiTheme="minorEastAsia" w:eastAsiaTheme="minorEastAsia"/>
          <w:color w:val="000000"/>
          <w:sz w:val="24"/>
          <w:lang w:eastAsia="zh-CN"/>
        </w:rPr>
        <w:t>2．乙方提供的服务及提交的服务报告不符合合同约定的，应在甲方指定期限内修改完善直至符合合同约定为止。</w:t>
      </w:r>
    </w:p>
    <w:p>
      <w:pPr>
        <w:pStyle w:val="10"/>
        <w:ind w:firstLine="480" w:firstLineChars="200"/>
        <w:rPr>
          <w:rStyle w:val="54"/>
          <w:rFonts w:asciiTheme="minorEastAsia" w:hAnsiTheme="minorEastAsia" w:eastAsiaTheme="minorEastAsia"/>
          <w:color w:val="000000"/>
          <w:sz w:val="24"/>
          <w:szCs w:val="24"/>
          <w:lang w:eastAsia="zh-CN"/>
        </w:rPr>
      </w:pPr>
      <w:r>
        <w:rPr>
          <w:rStyle w:val="54"/>
          <w:rFonts w:hint="eastAsia" w:asciiTheme="minorEastAsia" w:hAnsiTheme="minorEastAsia" w:eastAsiaTheme="minorEastAsia"/>
          <w:color w:val="000000"/>
          <w:sz w:val="24"/>
          <w:szCs w:val="24"/>
          <w:lang w:eastAsia="zh-CN"/>
        </w:rPr>
        <w:t>3．任何一方违反保密义务的，应向对方支付违约金人民币</w:t>
      </w:r>
      <w:r>
        <w:rPr>
          <w:rFonts w:hint="eastAsia" w:asciiTheme="minorEastAsia" w:hAnsiTheme="minorEastAsia" w:eastAsiaTheme="minorEastAsia"/>
          <w:sz w:val="24"/>
          <w:szCs w:val="24"/>
          <w:u w:val="single"/>
          <w:lang w:eastAsia="zh-CN"/>
        </w:rPr>
        <w:t xml:space="preserve"> 10000</w:t>
      </w:r>
      <w:r>
        <w:rPr>
          <w:rFonts w:asciiTheme="minorEastAsia" w:hAnsiTheme="minorEastAsia" w:eastAsiaTheme="minorEastAsia"/>
          <w:sz w:val="24"/>
          <w:szCs w:val="24"/>
          <w:u w:val="single"/>
          <w:lang w:eastAsia="zh-CN"/>
        </w:rPr>
        <w:t xml:space="preserve"> </w:t>
      </w:r>
      <w:r>
        <w:rPr>
          <w:rStyle w:val="54"/>
          <w:rFonts w:hint="eastAsia" w:asciiTheme="minorEastAsia" w:hAnsiTheme="minorEastAsia" w:eastAsiaTheme="minorEastAsia"/>
          <w:color w:val="000000"/>
          <w:sz w:val="24"/>
          <w:szCs w:val="24"/>
          <w:lang w:eastAsia="zh-CN"/>
        </w:rPr>
        <w:t>元；赔偿由此给对方造成的损失。</w:t>
      </w:r>
    </w:p>
    <w:p>
      <w:pPr>
        <w:pStyle w:val="10"/>
        <w:ind w:firstLine="480" w:firstLineChars="200"/>
        <w:rPr>
          <w:rFonts w:asciiTheme="minorEastAsia" w:hAnsiTheme="minorEastAsia" w:eastAsiaTheme="minorEastAsia"/>
          <w:color w:val="000000"/>
          <w:sz w:val="24"/>
          <w:szCs w:val="24"/>
          <w:lang w:eastAsia="zh-CN"/>
        </w:rPr>
      </w:pPr>
      <w:r>
        <w:rPr>
          <w:rStyle w:val="54"/>
          <w:rFonts w:hint="eastAsia" w:asciiTheme="minorEastAsia" w:hAnsiTheme="minorEastAsia" w:eastAsiaTheme="minorEastAsia"/>
          <w:color w:val="000000"/>
          <w:sz w:val="24"/>
          <w:szCs w:val="24"/>
          <w:lang w:eastAsia="zh-CN"/>
        </w:rPr>
        <w:t>4．</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 xml:space="preserve">第十条 </w:t>
      </w:r>
      <w:r>
        <w:rPr>
          <w:rFonts w:hint="eastAsia"/>
          <w:sz w:val="24"/>
          <w:lang w:eastAsia="zh-CN"/>
        </w:rPr>
        <w:t>甲乙双方在履行合同过程中，发生争议和纠纷时，双方应友好协商解决，经协商无法解决时，向甲方所在地的人民法院提起诉讼。</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第十一条</w:t>
      </w:r>
      <w:r>
        <w:rPr>
          <w:rFonts w:hint="eastAsia" w:asciiTheme="minorEastAsia" w:hAnsiTheme="minorEastAsia" w:eastAsiaTheme="minorEastAsia"/>
          <w:sz w:val="24"/>
          <w:szCs w:val="24"/>
          <w:lang w:eastAsia="zh-CN"/>
        </w:rPr>
        <w:t xml:space="preserve"> 其他</w:t>
      </w:r>
    </w:p>
    <w:p>
      <w:pPr>
        <w:pStyle w:val="10"/>
        <w:ind w:firstLine="480" w:firstLineChars="200"/>
        <w:rPr>
          <w:rStyle w:val="54"/>
          <w:rFonts w:asciiTheme="minorEastAsia" w:hAnsiTheme="minorEastAsia" w:eastAsiaTheme="minorEastAsia"/>
          <w:color w:val="000000"/>
          <w:sz w:val="24"/>
          <w:szCs w:val="24"/>
          <w:lang w:eastAsia="zh-CN"/>
        </w:rPr>
      </w:pPr>
      <w:r>
        <w:rPr>
          <w:rStyle w:val="54"/>
          <w:rFonts w:hint="eastAsia" w:asciiTheme="minorEastAsia" w:hAnsiTheme="minorEastAsia" w:eastAsiaTheme="minorEastAsia"/>
          <w:color w:val="000000"/>
          <w:sz w:val="24"/>
          <w:szCs w:val="24"/>
          <w:lang w:eastAsia="zh-CN"/>
        </w:rPr>
        <w:t>1. 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10"/>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2．当发现或发生非技术服务责任事故时，乙方应立即书面通知甲方整改。当事故严重影响设备安全运行时，乙方应该通知甲方停止使用该系统。 </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第十二条</w:t>
      </w:r>
      <w:r>
        <w:rPr>
          <w:rFonts w:hint="eastAsia" w:asciiTheme="minorEastAsia" w:hAnsiTheme="minorEastAsia" w:eastAsiaTheme="minorEastAsia"/>
          <w:sz w:val="24"/>
          <w:szCs w:val="24"/>
          <w:lang w:eastAsia="zh-CN"/>
        </w:rPr>
        <w:t xml:space="preserve"> 本合同经双方签订后生效。本合同一式</w:t>
      </w:r>
      <w:r>
        <w:rPr>
          <w:rFonts w:hint="eastAsia" w:asciiTheme="minorEastAsia" w:hAnsiTheme="minorEastAsia" w:eastAsiaTheme="minorEastAsia"/>
          <w:sz w:val="24"/>
          <w:szCs w:val="24"/>
          <w:u w:val="single"/>
          <w:lang w:eastAsia="zh-CN"/>
        </w:rPr>
        <w:t xml:space="preserve"> 陆</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份，甲方执</w:t>
      </w:r>
      <w:r>
        <w:rPr>
          <w:rFonts w:hint="eastAsia" w:asciiTheme="minorEastAsia" w:hAnsiTheme="minorEastAsia" w:eastAsiaTheme="minorEastAsia"/>
          <w:sz w:val="24"/>
          <w:szCs w:val="24"/>
          <w:u w:val="single"/>
          <w:lang w:eastAsia="zh-CN"/>
        </w:rPr>
        <w:t xml:space="preserve"> 肆</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份，乙方执</w:t>
      </w:r>
      <w:r>
        <w:rPr>
          <w:rFonts w:hint="eastAsia" w:asciiTheme="minorEastAsia" w:hAnsiTheme="minorEastAsia" w:eastAsiaTheme="minorEastAsia"/>
          <w:sz w:val="24"/>
          <w:szCs w:val="24"/>
          <w:u w:val="single"/>
          <w:lang w:eastAsia="zh-CN"/>
        </w:rPr>
        <w:t xml:space="preserve"> 贰</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份，具有同等法律效力。</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第十三条</w:t>
      </w:r>
      <w:r>
        <w:rPr>
          <w:rFonts w:hint="eastAsia" w:asciiTheme="minorEastAsia" w:hAnsiTheme="minorEastAsia" w:eastAsiaTheme="minorEastAsia"/>
          <w:sz w:val="24"/>
          <w:szCs w:val="24"/>
          <w:lang w:eastAsia="zh-CN"/>
        </w:rPr>
        <w:t xml:space="preserve">  附件</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发包说明</w:t>
      </w:r>
    </w:p>
    <w:p>
      <w:pPr>
        <w:pStyle w:val="1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w:t>
      </w:r>
    </w:p>
    <w:p>
      <w:pPr>
        <w:rPr>
          <w:rFonts w:cs="Arial"/>
          <w:b/>
          <w:sz w:val="24"/>
          <w:lang w:eastAsia="zh-CN"/>
        </w:rPr>
      </w:pPr>
      <w:r>
        <w:rPr>
          <w:rFonts w:hint="eastAsia" w:cs="Arial"/>
          <w:b/>
          <w:sz w:val="24"/>
          <w:lang w:eastAsia="zh-CN"/>
        </w:rPr>
        <w:t>（以下为签署栏，无正文）</w:t>
      </w:r>
    </w:p>
    <w:p>
      <w:pPr>
        <w:ind w:right="557" w:rightChars="253"/>
        <w:rPr>
          <w:rFonts w:cs="Arial"/>
          <w:b/>
          <w:sz w:val="24"/>
          <w:lang w:eastAsia="zh-CN"/>
        </w:rPr>
      </w:pPr>
    </w:p>
    <w:p>
      <w:pPr>
        <w:ind w:firstLine="1063" w:firstLineChars="441"/>
        <w:rPr>
          <w:rFonts w:cs="Arial"/>
          <w:b/>
          <w:sz w:val="24"/>
          <w:lang w:eastAsia="zh-CN"/>
        </w:rPr>
      </w:pPr>
    </w:p>
    <w:p>
      <w:pPr>
        <w:rPr>
          <w:sz w:val="24"/>
          <w:lang w:eastAsia="zh-CN"/>
        </w:rPr>
      </w:pPr>
      <w:r>
        <w:rPr>
          <w:rFonts w:hint="eastAsia"/>
          <w:color w:val="000000"/>
          <w:sz w:val="24"/>
          <w:lang w:eastAsia="zh-CN"/>
        </w:rPr>
        <w:t>甲方：</w:t>
      </w:r>
      <w:r>
        <w:rPr>
          <w:rFonts w:hint="eastAsia"/>
          <w:sz w:val="24"/>
          <w:lang w:eastAsia="zh-CN"/>
        </w:rPr>
        <w:t>福建福海创石油化工</w:t>
      </w:r>
      <w:r>
        <w:rPr>
          <w:rFonts w:hint="eastAsia"/>
          <w:color w:val="000000"/>
          <w:sz w:val="24"/>
          <w:lang w:eastAsia="zh-CN"/>
        </w:rPr>
        <w:t>有限公司</w:t>
      </w:r>
      <w:r>
        <w:rPr>
          <w:color w:val="000000"/>
          <w:sz w:val="24"/>
          <w:lang w:eastAsia="zh-CN"/>
        </w:rPr>
        <w:t xml:space="preserve">     </w:t>
      </w:r>
      <w:r>
        <w:rPr>
          <w:rFonts w:hint="eastAsia"/>
          <w:color w:val="000000"/>
          <w:sz w:val="24"/>
          <w:lang w:eastAsia="zh-CN"/>
        </w:rPr>
        <w:t xml:space="preserve">    </w:t>
      </w:r>
      <w:r>
        <w:rPr>
          <w:rFonts w:hint="eastAsia"/>
          <w:sz w:val="24"/>
          <w:lang w:eastAsia="zh-CN"/>
        </w:rPr>
        <w:t>乙方：</w:t>
      </w:r>
      <w:r>
        <w:rPr>
          <w:sz w:val="24"/>
          <w:lang w:eastAsia="zh-CN"/>
        </w:rPr>
        <w:t xml:space="preserve"> </w:t>
      </w:r>
    </w:p>
    <w:p>
      <w:pPr>
        <w:ind w:firstLine="1560" w:firstLineChars="650"/>
        <w:rPr>
          <w:sz w:val="24"/>
          <w:lang w:eastAsia="zh-CN"/>
        </w:rPr>
      </w:pPr>
      <w:r>
        <w:rPr>
          <w:sz w:val="24"/>
          <w:lang w:eastAsia="zh-CN"/>
        </w:rPr>
        <w:t xml:space="preserve"> </w:t>
      </w:r>
      <w:r>
        <w:rPr>
          <w:rFonts w:hint="eastAsia"/>
          <w:sz w:val="24"/>
          <w:lang w:eastAsia="zh-CN"/>
        </w:rPr>
        <w:t>（盖章）</w:t>
      </w:r>
      <w:r>
        <w:rPr>
          <w:sz w:val="24"/>
          <w:lang w:eastAsia="zh-CN"/>
        </w:rPr>
        <w:t xml:space="preserve">                                       </w:t>
      </w:r>
      <w:r>
        <w:rPr>
          <w:rFonts w:hint="eastAsia"/>
          <w:sz w:val="24"/>
          <w:lang w:eastAsia="zh-CN"/>
        </w:rPr>
        <w:t>（盖章）</w:t>
      </w:r>
    </w:p>
    <w:p>
      <w:pPr>
        <w:ind w:left="6480" w:hanging="6480" w:hangingChars="2700"/>
        <w:rPr>
          <w:sz w:val="24"/>
          <w:lang w:eastAsia="zh-CN"/>
        </w:rPr>
      </w:pPr>
      <w:r>
        <w:rPr>
          <w:rFonts w:hint="eastAsia"/>
          <w:color w:val="000000"/>
          <w:sz w:val="24"/>
          <w:lang w:eastAsia="zh-CN"/>
        </w:rPr>
        <w:t>地</w:t>
      </w:r>
      <w:r>
        <w:rPr>
          <w:color w:val="000000"/>
          <w:sz w:val="24"/>
          <w:lang w:eastAsia="zh-CN"/>
        </w:rPr>
        <w:t xml:space="preserve">  </w:t>
      </w:r>
      <w:r>
        <w:rPr>
          <w:rFonts w:hint="eastAsia"/>
          <w:color w:val="000000"/>
          <w:sz w:val="24"/>
          <w:lang w:eastAsia="zh-CN"/>
        </w:rPr>
        <w:t>址：</w:t>
      </w:r>
      <w:r>
        <w:rPr>
          <w:sz w:val="24"/>
          <w:szCs w:val="24"/>
          <w:lang w:eastAsia="zh-CN"/>
        </w:rPr>
        <w:t>福建省漳州市古雷港经济</w:t>
      </w:r>
      <w:r>
        <w:rPr>
          <w:sz w:val="24"/>
          <w:lang w:eastAsia="zh-CN"/>
        </w:rPr>
        <w:t xml:space="preserve">    </w:t>
      </w:r>
      <w:r>
        <w:rPr>
          <w:rFonts w:hint="eastAsia"/>
          <w:sz w:val="24"/>
          <w:lang w:eastAsia="zh-CN"/>
        </w:rPr>
        <w:t xml:space="preserve"> </w:t>
      </w:r>
      <w:r>
        <w:rPr>
          <w:sz w:val="24"/>
          <w:lang w:eastAsia="zh-CN"/>
        </w:rPr>
        <w:t xml:space="preserve">   </w:t>
      </w:r>
      <w:r>
        <w:rPr>
          <w:rFonts w:hint="eastAsia"/>
          <w:color w:val="000000"/>
          <w:sz w:val="24"/>
          <w:lang w:eastAsia="zh-CN"/>
        </w:rPr>
        <w:t>地</w:t>
      </w:r>
      <w:r>
        <w:rPr>
          <w:color w:val="000000"/>
          <w:sz w:val="24"/>
          <w:lang w:eastAsia="zh-CN"/>
        </w:rPr>
        <w:t xml:space="preserve">  </w:t>
      </w:r>
      <w:r>
        <w:rPr>
          <w:rFonts w:hint="eastAsia"/>
          <w:color w:val="000000"/>
          <w:sz w:val="24"/>
          <w:lang w:eastAsia="zh-CN"/>
        </w:rPr>
        <w:t>址：</w:t>
      </w:r>
      <w:r>
        <w:rPr>
          <w:sz w:val="24"/>
          <w:lang w:eastAsia="zh-CN"/>
        </w:rPr>
        <w:t xml:space="preserve"> </w:t>
      </w:r>
    </w:p>
    <w:p>
      <w:pPr>
        <w:ind w:firstLine="960" w:firstLineChars="400"/>
        <w:rPr>
          <w:bCs/>
          <w:sz w:val="24"/>
          <w:lang w:eastAsia="zh-CN"/>
        </w:rPr>
      </w:pPr>
      <w:r>
        <w:rPr>
          <w:rFonts w:hint="eastAsia"/>
          <w:sz w:val="24"/>
          <w:lang w:eastAsia="zh-CN"/>
        </w:rPr>
        <w:t>开发区腾龙路</w:t>
      </w:r>
      <w:r>
        <w:rPr>
          <w:sz w:val="24"/>
          <w:lang w:eastAsia="zh-CN"/>
        </w:rPr>
        <w:t>8</w:t>
      </w:r>
      <w:r>
        <w:rPr>
          <w:rFonts w:hint="eastAsia"/>
          <w:sz w:val="24"/>
          <w:lang w:eastAsia="zh-CN"/>
        </w:rPr>
        <w:t>4号</w:t>
      </w:r>
      <w:r>
        <w:rPr>
          <w:sz w:val="24"/>
          <w:lang w:eastAsia="zh-CN"/>
        </w:rPr>
        <w:t xml:space="preserve">                      </w:t>
      </w:r>
      <w:r>
        <w:rPr>
          <w:rFonts w:hint="eastAsia"/>
          <w:sz w:val="24"/>
          <w:lang w:eastAsia="zh-CN"/>
        </w:rPr>
        <w:t xml:space="preserve"> </w:t>
      </w:r>
    </w:p>
    <w:p>
      <w:pPr>
        <w:rPr>
          <w:sz w:val="24"/>
          <w:lang w:eastAsia="zh-CN"/>
        </w:rPr>
      </w:pPr>
      <w:r>
        <w:rPr>
          <w:rFonts w:hint="eastAsia"/>
          <w:color w:val="000000"/>
          <w:sz w:val="24"/>
          <w:lang w:eastAsia="zh-CN"/>
        </w:rPr>
        <w:t>开户行：</w:t>
      </w:r>
      <w:r>
        <w:rPr>
          <w:rFonts w:hint="eastAsia"/>
          <w:sz w:val="24"/>
          <w:szCs w:val="24"/>
          <w:lang w:eastAsia="zh-CN"/>
        </w:rPr>
        <w:t>中国银行股份有限公司漳州</w:t>
      </w:r>
      <w:r>
        <w:rPr>
          <w:sz w:val="24"/>
          <w:lang w:eastAsia="zh-CN"/>
        </w:rPr>
        <w:t xml:space="preserve">      </w:t>
      </w:r>
      <w:r>
        <w:rPr>
          <w:rFonts w:hint="eastAsia"/>
          <w:color w:val="000000"/>
          <w:sz w:val="24"/>
          <w:lang w:eastAsia="zh-CN"/>
        </w:rPr>
        <w:t>开户行：</w:t>
      </w:r>
      <w:r>
        <w:rPr>
          <w:sz w:val="24"/>
          <w:lang w:eastAsia="zh-CN"/>
        </w:rPr>
        <w:t xml:space="preserve"> </w:t>
      </w:r>
    </w:p>
    <w:p>
      <w:pPr>
        <w:pStyle w:val="2"/>
        <w:ind w:firstLine="960" w:firstLineChars="400"/>
      </w:pPr>
      <w:r>
        <w:rPr>
          <w:rFonts w:hint="eastAsia"/>
          <w:sz w:val="24"/>
          <w:szCs w:val="24"/>
        </w:rPr>
        <w:t>古雷经济开发区支行</w:t>
      </w:r>
    </w:p>
    <w:p>
      <w:pPr>
        <w:rPr>
          <w:sz w:val="24"/>
          <w:lang w:eastAsia="zh-CN"/>
        </w:rPr>
      </w:pPr>
      <w:r>
        <w:rPr>
          <w:rFonts w:hint="eastAsia"/>
          <w:color w:val="000000"/>
          <w:sz w:val="24"/>
          <w:lang w:eastAsia="zh-CN"/>
        </w:rPr>
        <w:t>帐</w:t>
      </w:r>
      <w:r>
        <w:rPr>
          <w:color w:val="000000"/>
          <w:sz w:val="24"/>
          <w:lang w:eastAsia="zh-CN"/>
        </w:rPr>
        <w:t xml:space="preserve">  </w:t>
      </w:r>
      <w:r>
        <w:rPr>
          <w:rFonts w:hint="eastAsia"/>
          <w:color w:val="000000"/>
          <w:sz w:val="24"/>
          <w:lang w:eastAsia="zh-CN"/>
        </w:rPr>
        <w:t>号：</w:t>
      </w:r>
      <w:r>
        <w:rPr>
          <w:rFonts w:hint="eastAsia"/>
          <w:sz w:val="24"/>
          <w:lang w:eastAsia="zh-CN"/>
        </w:rPr>
        <w:t>406574816628</w:t>
      </w:r>
      <w:r>
        <w:rPr>
          <w:color w:val="000000"/>
          <w:sz w:val="24"/>
          <w:lang w:eastAsia="zh-CN"/>
        </w:rPr>
        <w:t xml:space="preserve">                  </w:t>
      </w:r>
      <w:r>
        <w:rPr>
          <w:rFonts w:hint="eastAsia"/>
          <w:color w:val="000000"/>
          <w:sz w:val="24"/>
          <w:lang w:eastAsia="zh-CN"/>
        </w:rPr>
        <w:t xml:space="preserve"> 帐</w:t>
      </w:r>
      <w:r>
        <w:rPr>
          <w:color w:val="000000"/>
          <w:sz w:val="24"/>
          <w:lang w:eastAsia="zh-CN"/>
        </w:rPr>
        <w:t xml:space="preserve">  </w:t>
      </w:r>
      <w:r>
        <w:rPr>
          <w:rFonts w:hint="eastAsia"/>
          <w:color w:val="000000"/>
          <w:sz w:val="24"/>
          <w:lang w:eastAsia="zh-CN"/>
        </w:rPr>
        <w:t>号：</w:t>
      </w:r>
      <w:r>
        <w:rPr>
          <w:bCs/>
          <w:sz w:val="24"/>
          <w:lang w:eastAsia="zh-CN"/>
        </w:rPr>
        <w:t xml:space="preserve"> </w:t>
      </w:r>
    </w:p>
    <w:p>
      <w:pPr>
        <w:pStyle w:val="7"/>
        <w:spacing w:line="360" w:lineRule="auto"/>
        <w:ind w:left="0" w:leftChars="0"/>
        <w:rPr>
          <w:rFonts w:ascii="宋体"/>
          <w:b w:val="0"/>
          <w:kern w:val="0"/>
          <w:sz w:val="24"/>
          <w:szCs w:val="24"/>
        </w:rPr>
      </w:pPr>
      <w:r>
        <w:rPr>
          <w:rFonts w:hint="eastAsia" w:ascii="宋体" w:hAnsi="宋体"/>
          <w:b w:val="0"/>
          <w:kern w:val="0"/>
          <w:sz w:val="24"/>
          <w:szCs w:val="24"/>
        </w:rPr>
        <w:t>税</w:t>
      </w:r>
      <w:r>
        <w:rPr>
          <w:rFonts w:ascii="宋体" w:hAnsi="宋体"/>
          <w:b w:val="0"/>
          <w:kern w:val="0"/>
          <w:sz w:val="24"/>
          <w:szCs w:val="24"/>
        </w:rPr>
        <w:t xml:space="preserve">  </w:t>
      </w:r>
      <w:r>
        <w:rPr>
          <w:rFonts w:hint="eastAsia" w:ascii="宋体" w:hAnsi="宋体"/>
          <w:b w:val="0"/>
          <w:kern w:val="0"/>
          <w:sz w:val="24"/>
          <w:szCs w:val="24"/>
        </w:rPr>
        <w:t>号：</w:t>
      </w:r>
      <w:r>
        <w:rPr>
          <w:rFonts w:hint="eastAsia" w:ascii="宋体" w:hAnsi="宋体" w:cs="宋体"/>
          <w:b w:val="0"/>
          <w:kern w:val="0"/>
          <w:sz w:val="24"/>
          <w:szCs w:val="22"/>
        </w:rPr>
        <w:t>91350600MA2YNG3G0P</w:t>
      </w:r>
      <w:r>
        <w:rPr>
          <w:rFonts w:ascii="宋体" w:hAnsi="宋体"/>
          <w:b w:val="0"/>
          <w:kern w:val="0"/>
          <w:sz w:val="24"/>
          <w:szCs w:val="24"/>
        </w:rPr>
        <w:t xml:space="preserve">            </w:t>
      </w:r>
      <w:r>
        <w:rPr>
          <w:rFonts w:hint="eastAsia" w:ascii="宋体" w:hAnsi="宋体"/>
          <w:b w:val="0"/>
          <w:kern w:val="0"/>
          <w:sz w:val="24"/>
          <w:szCs w:val="24"/>
        </w:rPr>
        <w:t xml:space="preserve"> 税</w:t>
      </w:r>
      <w:r>
        <w:rPr>
          <w:rFonts w:ascii="宋体" w:hAnsi="宋体"/>
          <w:b w:val="0"/>
          <w:kern w:val="0"/>
          <w:sz w:val="24"/>
          <w:szCs w:val="24"/>
        </w:rPr>
        <w:t xml:space="preserve">  </w:t>
      </w:r>
      <w:r>
        <w:rPr>
          <w:rFonts w:hint="eastAsia" w:ascii="宋体" w:hAnsi="宋体"/>
          <w:b w:val="0"/>
          <w:kern w:val="0"/>
          <w:sz w:val="24"/>
          <w:szCs w:val="24"/>
        </w:rPr>
        <w:t xml:space="preserve">号： </w:t>
      </w:r>
    </w:p>
    <w:p>
      <w:pPr>
        <w:rPr>
          <w:sz w:val="24"/>
          <w:lang w:eastAsia="zh-CN"/>
        </w:rPr>
      </w:pPr>
      <w:r>
        <w:rPr>
          <w:rFonts w:hint="eastAsia"/>
          <w:sz w:val="24"/>
          <w:lang w:eastAsia="zh-CN"/>
        </w:rPr>
        <w:t>电</w:t>
      </w:r>
      <w:r>
        <w:rPr>
          <w:sz w:val="24"/>
          <w:lang w:eastAsia="zh-CN"/>
        </w:rPr>
        <w:t xml:space="preserve">  </w:t>
      </w:r>
      <w:r>
        <w:rPr>
          <w:rFonts w:hint="eastAsia"/>
          <w:sz w:val="24"/>
          <w:lang w:eastAsia="zh-CN"/>
        </w:rPr>
        <w:t>话：0596-3890083</w:t>
      </w:r>
      <w:r>
        <w:rPr>
          <w:sz w:val="24"/>
          <w:lang w:eastAsia="zh-CN"/>
        </w:rPr>
        <w:t xml:space="preserve">                  </w:t>
      </w:r>
      <w:r>
        <w:rPr>
          <w:rFonts w:hint="eastAsia"/>
          <w:sz w:val="24"/>
          <w:lang w:eastAsia="zh-CN"/>
        </w:rPr>
        <w:t xml:space="preserve"> 电</w:t>
      </w:r>
      <w:r>
        <w:rPr>
          <w:sz w:val="24"/>
          <w:lang w:eastAsia="zh-CN"/>
        </w:rPr>
        <w:t xml:space="preserve">  </w:t>
      </w:r>
      <w:r>
        <w:rPr>
          <w:rFonts w:hint="eastAsia"/>
          <w:sz w:val="24"/>
          <w:lang w:eastAsia="zh-CN"/>
        </w:rPr>
        <w:t>话：</w:t>
      </w:r>
    </w:p>
    <w:p>
      <w:pPr>
        <w:spacing w:line="300" w:lineRule="exact"/>
        <w:rPr>
          <w:lang w:eastAsia="zh-CN"/>
        </w:rPr>
      </w:pPr>
    </w:p>
    <w:p>
      <w:pPr>
        <w:spacing w:line="300" w:lineRule="exact"/>
        <w:rPr>
          <w:lang w:eastAsia="zh-CN"/>
        </w:rPr>
      </w:pPr>
    </w:p>
    <w:p>
      <w:pPr>
        <w:pStyle w:val="2"/>
      </w:pPr>
    </w:p>
    <w:p>
      <w:pPr>
        <w:pStyle w:val="2"/>
      </w:pPr>
    </w:p>
    <w:p>
      <w:pPr>
        <w:jc w:val="center"/>
        <w:rPr>
          <w:rFonts w:ascii="华文宋体" w:hAnsi="华文宋体" w:eastAsia="华文宋体"/>
          <w:b/>
          <w:position w:val="30"/>
          <w:sz w:val="44"/>
          <w:szCs w:val="44"/>
          <w:lang w:eastAsia="zh-CN"/>
        </w:rPr>
      </w:pPr>
      <w:r>
        <w:rPr>
          <w:rFonts w:hint="eastAsia" w:ascii="华文宋体" w:hAnsi="华文宋体" w:eastAsia="华文宋体"/>
          <w:b/>
          <w:position w:val="30"/>
          <w:sz w:val="44"/>
          <w:szCs w:val="44"/>
          <w:lang w:eastAsia="zh-CN"/>
        </w:rPr>
        <w:t>福建福海创石油化工有限公司</w:t>
      </w:r>
    </w:p>
    <w:p>
      <w:pPr>
        <w:jc w:val="center"/>
        <w:rPr>
          <w:rFonts w:ascii="华文宋体" w:hAnsi="华文宋体" w:eastAsia="华文宋体"/>
          <w:b/>
          <w:position w:val="30"/>
          <w:sz w:val="44"/>
          <w:szCs w:val="44"/>
          <w:lang w:eastAsia="zh-CN"/>
        </w:rPr>
      </w:pPr>
    </w:p>
    <w:p>
      <w:pPr>
        <w:jc w:val="center"/>
        <w:rPr>
          <w:rFonts w:ascii="华文宋体" w:hAnsi="华文宋体" w:eastAsia="华文宋体"/>
          <w:b/>
          <w:position w:val="30"/>
          <w:sz w:val="44"/>
          <w:szCs w:val="44"/>
          <w:lang w:eastAsia="zh-CN"/>
        </w:rPr>
      </w:pPr>
      <w:r>
        <w:rPr>
          <w:rFonts w:hint="eastAsia" w:ascii="华文宋体" w:hAnsi="华文宋体" w:eastAsia="华文宋体"/>
          <w:b/>
          <w:position w:val="30"/>
          <w:sz w:val="44"/>
          <w:szCs w:val="44"/>
          <w:lang w:eastAsia="zh-CN"/>
        </w:rPr>
        <w:t>全厂电力系统安全稳定评估项目</w:t>
      </w:r>
    </w:p>
    <w:p>
      <w:pPr>
        <w:jc w:val="center"/>
        <w:rPr>
          <w:rFonts w:ascii="华文宋体" w:hAnsi="华文宋体" w:eastAsia="华文宋体"/>
          <w:b/>
          <w:position w:val="30"/>
          <w:sz w:val="44"/>
          <w:szCs w:val="44"/>
          <w:lang w:eastAsia="zh-CN"/>
        </w:rPr>
      </w:pPr>
      <w:r>
        <w:rPr>
          <w:rFonts w:hint="eastAsia" w:ascii="华文宋体" w:hAnsi="华文宋体" w:eastAsia="华文宋体"/>
          <w:b/>
          <w:position w:val="30"/>
          <w:sz w:val="44"/>
          <w:szCs w:val="44"/>
          <w:lang w:eastAsia="zh-CN"/>
        </w:rPr>
        <w:t>发包说明</w:t>
      </w:r>
    </w:p>
    <w:p>
      <w:pPr>
        <w:jc w:val="center"/>
        <w:rPr>
          <w:rFonts w:ascii="华文宋体" w:hAnsi="华文宋体" w:eastAsia="华文宋体"/>
          <w:b/>
          <w:position w:val="30"/>
          <w:sz w:val="44"/>
          <w:szCs w:val="44"/>
          <w:lang w:eastAsia="zh-CN"/>
        </w:rPr>
      </w:pPr>
    </w:p>
    <w:p>
      <w:pPr>
        <w:jc w:val="center"/>
        <w:rPr>
          <w:rFonts w:ascii="华文宋体" w:hAnsi="华文宋体" w:eastAsia="华文宋体"/>
          <w:b/>
          <w:position w:val="30"/>
          <w:sz w:val="44"/>
          <w:szCs w:val="44"/>
          <w:lang w:eastAsia="zh-CN"/>
        </w:rPr>
      </w:pPr>
    </w:p>
    <w:p>
      <w:pPr>
        <w:jc w:val="center"/>
        <w:rPr>
          <w:rFonts w:ascii="华文宋体" w:hAnsi="华文宋体" w:eastAsia="华文宋体"/>
          <w:b/>
          <w:position w:val="30"/>
          <w:sz w:val="44"/>
          <w:szCs w:val="44"/>
          <w:lang w:eastAsia="zh-CN"/>
        </w:rPr>
      </w:pPr>
    </w:p>
    <w:p>
      <w:pPr>
        <w:jc w:val="center"/>
        <w:rPr>
          <w:rFonts w:ascii="华文宋体" w:hAnsi="华文宋体" w:eastAsia="华文宋体"/>
          <w:b/>
          <w:position w:val="30"/>
          <w:sz w:val="44"/>
          <w:szCs w:val="44"/>
          <w:lang w:eastAsia="zh-CN"/>
        </w:rPr>
      </w:pPr>
    </w:p>
    <w:p>
      <w:pPr>
        <w:jc w:val="center"/>
        <w:rPr>
          <w:rFonts w:ascii="华文宋体" w:hAnsi="华文宋体" w:eastAsia="华文宋体"/>
          <w:b/>
          <w:position w:val="30"/>
          <w:sz w:val="44"/>
          <w:szCs w:val="44"/>
          <w:lang w:eastAsia="zh-CN"/>
        </w:rPr>
      </w:pPr>
    </w:p>
    <w:p>
      <w:pPr>
        <w:jc w:val="center"/>
        <w:rPr>
          <w:rFonts w:ascii="华文宋体" w:hAnsi="华文宋体" w:eastAsia="华文宋体"/>
          <w:b/>
          <w:position w:val="30"/>
          <w:sz w:val="44"/>
          <w:szCs w:val="44"/>
          <w:lang w:eastAsia="zh-CN"/>
        </w:rPr>
      </w:pPr>
    </w:p>
    <w:p>
      <w:pPr>
        <w:jc w:val="center"/>
        <w:rPr>
          <w:rFonts w:ascii="华文宋体" w:hAnsi="华文宋体" w:eastAsia="华文宋体"/>
          <w:b/>
          <w:position w:val="30"/>
          <w:sz w:val="44"/>
          <w:szCs w:val="44"/>
          <w:lang w:eastAsia="zh-CN"/>
        </w:rPr>
      </w:pPr>
      <w:r>
        <w:rPr>
          <w:rFonts w:hint="eastAsia" w:ascii="华文宋体" w:hAnsi="华文宋体" w:eastAsia="华文宋体"/>
          <w:b/>
          <w:position w:val="30"/>
          <w:sz w:val="28"/>
          <w:szCs w:val="28"/>
          <w:lang w:eastAsia="zh-CN"/>
        </w:rPr>
        <w:t>电气团队经办：         审核：         核准：</w:t>
      </w:r>
    </w:p>
    <w:p>
      <w:pPr>
        <w:jc w:val="center"/>
        <w:rPr>
          <w:rFonts w:ascii="华文宋体" w:hAnsi="华文宋体" w:eastAsia="华文宋体"/>
          <w:b/>
          <w:position w:val="30"/>
          <w:sz w:val="28"/>
          <w:szCs w:val="28"/>
          <w:lang w:eastAsia="zh-CN"/>
        </w:rPr>
      </w:pPr>
      <w:r>
        <w:rPr>
          <w:rFonts w:hint="eastAsia" w:ascii="华文宋体" w:hAnsi="华文宋体" w:eastAsia="华文宋体"/>
          <w:b/>
          <w:position w:val="30"/>
          <w:sz w:val="28"/>
          <w:szCs w:val="28"/>
          <w:lang w:eastAsia="zh-CN"/>
        </w:rPr>
        <w:t>设备管理部经办：       审核：         核准：</w:t>
      </w:r>
    </w:p>
    <w:p>
      <w:pPr>
        <w:rPr>
          <w:b/>
          <w:sz w:val="30"/>
          <w:szCs w:val="30"/>
          <w:lang w:eastAsia="zh-CN"/>
        </w:rPr>
        <w:sectPr>
          <w:footerReference r:id="rId7" w:type="default"/>
          <w:pgSz w:w="11906" w:h="16838"/>
          <w:pgMar w:top="1440" w:right="1800" w:bottom="1440" w:left="1800" w:header="851" w:footer="992" w:gutter="0"/>
          <w:cols w:space="425" w:num="1"/>
          <w:docGrid w:type="lines" w:linePitch="312" w:charSpace="0"/>
        </w:sectPr>
      </w:pPr>
    </w:p>
    <w:p>
      <w:pPr>
        <w:pStyle w:val="25"/>
        <w:numPr>
          <w:ilvl w:val="0"/>
          <w:numId w:val="2"/>
        </w:numPr>
        <w:autoSpaceDE/>
        <w:autoSpaceDN/>
        <w:spacing w:before="0"/>
        <w:ind w:left="454" w:hanging="312"/>
        <w:jc w:val="both"/>
        <w:rPr>
          <w:sz w:val="24"/>
          <w:szCs w:val="24"/>
        </w:rPr>
      </w:pPr>
      <w:r>
        <w:rPr>
          <w:rFonts w:hint="eastAsia"/>
          <w:b/>
          <w:sz w:val="24"/>
          <w:szCs w:val="24"/>
        </w:rPr>
        <w:t>项目发供配电系统介绍</w:t>
      </w:r>
    </w:p>
    <w:p>
      <w:pPr>
        <w:ind w:firstLine="482"/>
        <w:rPr>
          <w:sz w:val="24"/>
          <w:szCs w:val="24"/>
          <w:lang w:eastAsia="zh-CN"/>
        </w:rPr>
      </w:pPr>
      <w:r>
        <w:rPr>
          <w:rFonts w:hint="eastAsia"/>
          <w:sz w:val="24"/>
          <w:szCs w:val="24"/>
          <w:lang w:eastAsia="zh-CN"/>
        </w:rPr>
        <w:t>福建福海创石油化工有限公司（下简称“福海创”为国有大型石化生产企业，坐落于福建漳州古雷经济开发区，主要生产厂区有</w:t>
      </w:r>
      <w:r>
        <w:rPr>
          <w:sz w:val="24"/>
          <w:szCs w:val="24"/>
          <w:lang w:eastAsia="zh-CN"/>
        </w:rPr>
        <w:t>PX厂区、PTA厂区、码头以及配套的公用系统。</w:t>
      </w:r>
    </w:p>
    <w:p>
      <w:pPr>
        <w:pStyle w:val="25"/>
        <w:numPr>
          <w:ilvl w:val="0"/>
          <w:numId w:val="3"/>
        </w:numPr>
        <w:autoSpaceDE/>
        <w:autoSpaceDN/>
        <w:spacing w:before="0"/>
        <w:jc w:val="both"/>
        <w:rPr>
          <w:sz w:val="24"/>
          <w:szCs w:val="24"/>
        </w:rPr>
      </w:pPr>
      <w:r>
        <w:rPr>
          <w:rFonts w:hint="eastAsia"/>
          <w:b/>
          <w:sz w:val="24"/>
          <w:szCs w:val="24"/>
        </w:rPr>
        <w:t>接入系统：</w:t>
      </w:r>
    </w:p>
    <w:p>
      <w:pPr>
        <w:ind w:firstLine="482"/>
        <w:rPr>
          <w:sz w:val="24"/>
          <w:szCs w:val="24"/>
          <w:lang w:eastAsia="zh-CN"/>
        </w:rPr>
      </w:pPr>
      <w:r>
        <w:rPr>
          <w:rFonts w:hint="eastAsia"/>
          <w:sz w:val="24"/>
          <w:szCs w:val="24"/>
          <w:lang w:eastAsia="zh-CN"/>
        </w:rPr>
        <w:t>两回</w:t>
      </w:r>
      <w:r>
        <w:rPr>
          <w:sz w:val="24"/>
          <w:szCs w:val="24"/>
          <w:lang w:eastAsia="zh-CN"/>
        </w:rPr>
        <w:t>220kV</w:t>
      </w:r>
      <w:r>
        <w:rPr>
          <w:rFonts w:hint="eastAsia"/>
          <w:sz w:val="24"/>
          <w:szCs w:val="24"/>
          <w:lang w:eastAsia="zh-CN"/>
        </w:rPr>
        <w:t>架空—电缆线路接入漳州古雷220kV油田变。</w:t>
      </w:r>
    </w:p>
    <w:p>
      <w:pPr>
        <w:pStyle w:val="25"/>
        <w:numPr>
          <w:ilvl w:val="0"/>
          <w:numId w:val="3"/>
        </w:numPr>
        <w:autoSpaceDE/>
        <w:autoSpaceDN/>
        <w:spacing w:before="0"/>
        <w:jc w:val="both"/>
        <w:rPr>
          <w:sz w:val="24"/>
          <w:szCs w:val="24"/>
        </w:rPr>
      </w:pPr>
      <w:r>
        <w:rPr>
          <w:b/>
          <w:sz w:val="24"/>
          <w:szCs w:val="24"/>
        </w:rPr>
        <w:t>220kV变电站：</w:t>
      </w:r>
    </w:p>
    <w:p>
      <w:pPr>
        <w:ind w:firstLine="482"/>
        <w:rPr>
          <w:sz w:val="24"/>
          <w:szCs w:val="24"/>
          <w:lang w:eastAsia="zh-CN"/>
        </w:rPr>
      </w:pPr>
      <w:r>
        <w:rPr>
          <w:rFonts w:hint="eastAsia"/>
          <w:sz w:val="24"/>
          <w:szCs w:val="24"/>
          <w:lang w:eastAsia="zh-CN"/>
        </w:rPr>
        <w:t>建设有一座220kV变电站，220kV主接线采用双母线并列运行，装设4台220kV/35kV主变，分别为2×180MVA+其中2×75MVA，降压为35kV，分别供给PX区域、公用系统、码头以及PTA装置，35kV母线采用单母线分段环形接线形式。</w:t>
      </w:r>
    </w:p>
    <w:p>
      <w:pPr>
        <w:pStyle w:val="25"/>
        <w:numPr>
          <w:ilvl w:val="0"/>
          <w:numId w:val="3"/>
        </w:numPr>
        <w:autoSpaceDE/>
        <w:autoSpaceDN/>
        <w:spacing w:before="0"/>
        <w:jc w:val="both"/>
        <w:rPr>
          <w:sz w:val="24"/>
          <w:szCs w:val="24"/>
        </w:rPr>
      </w:pPr>
      <w:r>
        <w:rPr>
          <w:rFonts w:hint="eastAsia"/>
          <w:b/>
          <w:sz w:val="24"/>
          <w:szCs w:val="24"/>
        </w:rPr>
        <w:t>热电厂：</w:t>
      </w:r>
    </w:p>
    <w:p>
      <w:pPr>
        <w:ind w:firstLine="482"/>
        <w:rPr>
          <w:sz w:val="24"/>
          <w:szCs w:val="24"/>
          <w:lang w:eastAsia="zh-CN"/>
        </w:rPr>
      </w:pPr>
      <w:r>
        <w:rPr>
          <w:rFonts w:hint="eastAsia"/>
          <w:sz w:val="24"/>
          <w:szCs w:val="24"/>
          <w:lang w:eastAsia="zh-CN"/>
        </w:rPr>
        <w:t>建设 4×670T/h煤粉锅炉+3×150MW抽凝机组热电厂，3台发电机组220kV电缆接入220kV总降站220kV母线。</w:t>
      </w:r>
    </w:p>
    <w:p>
      <w:pPr>
        <w:pStyle w:val="25"/>
        <w:numPr>
          <w:ilvl w:val="0"/>
          <w:numId w:val="3"/>
        </w:numPr>
        <w:autoSpaceDE/>
        <w:autoSpaceDN/>
        <w:spacing w:before="0"/>
        <w:jc w:val="both"/>
        <w:rPr>
          <w:sz w:val="24"/>
          <w:szCs w:val="24"/>
        </w:rPr>
      </w:pPr>
      <w:r>
        <w:rPr>
          <w:rFonts w:hint="eastAsia"/>
          <w:b/>
          <w:sz w:val="24"/>
          <w:szCs w:val="24"/>
        </w:rPr>
        <w:t>区域变电站：</w:t>
      </w:r>
    </w:p>
    <w:p>
      <w:pPr>
        <w:ind w:firstLine="480"/>
        <w:rPr>
          <w:sz w:val="24"/>
          <w:szCs w:val="24"/>
          <w:lang w:eastAsia="zh-CN"/>
        </w:rPr>
      </w:pPr>
      <w:r>
        <w:rPr>
          <w:b/>
          <w:sz w:val="24"/>
          <w:szCs w:val="24"/>
          <w:lang w:eastAsia="zh-CN"/>
        </w:rPr>
        <w:t>PX区域：</w:t>
      </w:r>
      <w:r>
        <w:rPr>
          <w:rFonts w:hint="eastAsia"/>
          <w:sz w:val="24"/>
          <w:szCs w:val="24"/>
          <w:lang w:eastAsia="zh-CN"/>
        </w:rPr>
        <w:t>6座35kV区域变+热电厂起备变，以及10座10kV二级变。35kV区域变采用线变组接线方式，两回电缆线路接入，10kV及低压母线采用单母线分段接线。</w:t>
      </w:r>
    </w:p>
    <w:p>
      <w:pPr>
        <w:ind w:firstLine="482"/>
        <w:rPr>
          <w:sz w:val="24"/>
          <w:szCs w:val="24"/>
          <w:lang w:eastAsia="zh-CN"/>
        </w:rPr>
      </w:pPr>
      <w:r>
        <w:rPr>
          <w:b/>
          <w:sz w:val="24"/>
          <w:szCs w:val="24"/>
          <w:lang w:eastAsia="zh-CN"/>
        </w:rPr>
        <w:t>PTA区域：</w:t>
      </w:r>
      <w:r>
        <w:rPr>
          <w:rFonts w:hint="eastAsia"/>
          <w:sz w:val="24"/>
          <w:szCs w:val="24"/>
          <w:lang w:eastAsia="zh-CN"/>
        </w:rPr>
        <w:t>3座35kV区域变，以及4座10kV二级变。35kV区域变采用35kV线路（设备两端设置断路器）+变压器组接线方式，10kV及低压母线采用单母线分段接线。</w:t>
      </w:r>
    </w:p>
    <w:p>
      <w:pPr>
        <w:ind w:firstLine="482"/>
        <w:rPr>
          <w:sz w:val="24"/>
          <w:szCs w:val="24"/>
          <w:lang w:eastAsia="zh-CN"/>
        </w:rPr>
      </w:pPr>
      <w:r>
        <w:rPr>
          <w:rFonts w:hint="eastAsia"/>
          <w:sz w:val="24"/>
          <w:szCs w:val="24"/>
          <w:lang w:eastAsia="zh-CN"/>
        </w:rPr>
        <w:t>余热发电机组：机组容量1×50MW，发电机出口10.5kV电压通过变压器升压后接入既有220kV总降站35kV VII段母线。</w:t>
      </w:r>
    </w:p>
    <w:p>
      <w:pPr>
        <w:ind w:firstLine="482"/>
        <w:rPr>
          <w:sz w:val="24"/>
          <w:szCs w:val="24"/>
          <w:lang w:eastAsia="zh-CN"/>
        </w:rPr>
      </w:pPr>
      <w:r>
        <w:rPr>
          <w:rFonts w:hint="eastAsia"/>
          <w:b/>
          <w:sz w:val="24"/>
          <w:szCs w:val="24"/>
          <w:lang w:eastAsia="zh-CN"/>
        </w:rPr>
        <w:t>码头区域：</w:t>
      </w:r>
      <w:r>
        <w:rPr>
          <w:rFonts w:hint="eastAsia"/>
          <w:sz w:val="24"/>
          <w:szCs w:val="24"/>
          <w:lang w:eastAsia="zh-CN"/>
        </w:rPr>
        <w:t>2座35kV区域变，以及2座10kV二级变。35kV区域变采用35kV线路（设备两端设置断路器）+变压器组接线方式，10kV及低压母线采用单母线分段接线。</w:t>
      </w:r>
    </w:p>
    <w:p>
      <w:pPr>
        <w:ind w:firstLine="482"/>
        <w:rPr>
          <w:sz w:val="24"/>
          <w:szCs w:val="24"/>
          <w:lang w:eastAsia="zh-CN"/>
        </w:rPr>
      </w:pPr>
      <w:r>
        <w:rPr>
          <w:rFonts w:hint="eastAsia"/>
          <w:b/>
          <w:sz w:val="24"/>
          <w:szCs w:val="24"/>
          <w:lang w:eastAsia="zh-CN"/>
        </w:rPr>
        <w:t>应急电源系统：</w:t>
      </w:r>
      <w:r>
        <w:rPr>
          <w:rFonts w:hint="eastAsia"/>
          <w:sz w:val="24"/>
          <w:szCs w:val="24"/>
          <w:lang w:eastAsia="zh-CN"/>
        </w:rPr>
        <w:t>3套600kW柴油发电机，以及3套0.4kV配电系统。</w:t>
      </w:r>
    </w:p>
    <w:p>
      <w:pPr>
        <w:pStyle w:val="25"/>
        <w:numPr>
          <w:ilvl w:val="0"/>
          <w:numId w:val="2"/>
        </w:numPr>
        <w:autoSpaceDE/>
        <w:autoSpaceDN/>
        <w:spacing w:before="0"/>
        <w:ind w:left="454" w:hanging="312"/>
        <w:jc w:val="both"/>
        <w:rPr>
          <w:sz w:val="24"/>
          <w:szCs w:val="24"/>
        </w:rPr>
      </w:pPr>
      <w:r>
        <w:rPr>
          <w:rFonts w:hint="eastAsia"/>
          <w:b/>
          <w:sz w:val="24"/>
          <w:szCs w:val="24"/>
        </w:rPr>
        <w:t>项目工作范围</w:t>
      </w:r>
    </w:p>
    <w:p>
      <w:pPr>
        <w:pStyle w:val="25"/>
        <w:numPr>
          <w:ilvl w:val="0"/>
          <w:numId w:val="4"/>
        </w:numPr>
        <w:autoSpaceDE/>
        <w:autoSpaceDN/>
        <w:spacing w:before="0"/>
        <w:ind w:hanging="278"/>
        <w:jc w:val="both"/>
        <w:rPr>
          <w:sz w:val="24"/>
          <w:szCs w:val="24"/>
        </w:rPr>
      </w:pPr>
      <w:r>
        <w:rPr>
          <w:rFonts w:hint="eastAsia"/>
          <w:b/>
          <w:sz w:val="24"/>
          <w:szCs w:val="24"/>
        </w:rPr>
        <w:t>项目工作主要内容</w:t>
      </w:r>
    </w:p>
    <w:p>
      <w:pPr>
        <w:ind w:firstLine="420"/>
        <w:rPr>
          <w:sz w:val="24"/>
          <w:szCs w:val="24"/>
          <w:lang w:eastAsia="zh-CN"/>
        </w:rPr>
      </w:pPr>
      <w:r>
        <w:rPr>
          <w:rFonts w:hint="eastAsia"/>
          <w:sz w:val="24"/>
          <w:szCs w:val="24"/>
          <w:lang w:eastAsia="zh-CN"/>
        </w:rPr>
        <w:t>为确保福海创PX、PTA以及公用系统等生产（装置）安、稳、长、满、优的运行，提高供电安全可靠性，根据福海创电力系统的设计、安装、调试以及现有设备状况和运维管理，及早发现隐患并靶向治理，从系统运行、一二次设备、运行管理、设备管理、技术管理、作业规范、事故处理、人员培训等方面，对企业电气专业做全维度安全稳定状态评估及整改建议。同时，开展全厂电力系统进行仿真计算，重点在于运行方式校核（和N</w:t>
      </w:r>
      <w:r>
        <w:rPr>
          <w:sz w:val="24"/>
          <w:szCs w:val="24"/>
          <w:lang w:eastAsia="zh-CN"/>
        </w:rPr>
        <w:t>-1</w:t>
      </w:r>
      <w:r>
        <w:rPr>
          <w:rFonts w:hint="eastAsia"/>
          <w:sz w:val="24"/>
          <w:szCs w:val="24"/>
          <w:lang w:eastAsia="zh-CN"/>
        </w:rPr>
        <w:t>）、短路电流计算、大电机（群）起动分析、系统孤网运行与暂态稳定性研究、对全厂继电保护方案与灵敏度校核、继电保护整定计算、二期项目系统接入（包括#3、#4主变容量由75MVA更换为150MVA）等。</w:t>
      </w:r>
    </w:p>
    <w:p>
      <w:pPr>
        <w:pStyle w:val="25"/>
        <w:numPr>
          <w:ilvl w:val="0"/>
          <w:numId w:val="4"/>
        </w:numPr>
        <w:autoSpaceDE/>
        <w:autoSpaceDN/>
        <w:spacing w:before="0"/>
        <w:ind w:hanging="278"/>
        <w:jc w:val="both"/>
        <w:rPr>
          <w:b/>
          <w:bCs/>
          <w:sz w:val="24"/>
          <w:szCs w:val="24"/>
        </w:rPr>
      </w:pPr>
      <w:r>
        <w:rPr>
          <w:rFonts w:hint="eastAsia"/>
          <w:b/>
          <w:bCs/>
          <w:sz w:val="24"/>
          <w:szCs w:val="24"/>
        </w:rPr>
        <w:t>项目评估人员要求：</w:t>
      </w:r>
    </w:p>
    <w:p>
      <w:pPr>
        <w:ind w:firstLine="420"/>
        <w:rPr>
          <w:lang w:eastAsia="zh-CN"/>
        </w:rPr>
      </w:pPr>
      <w:r>
        <w:rPr>
          <w:rFonts w:hint="eastAsia"/>
          <w:sz w:val="24"/>
          <w:szCs w:val="24"/>
          <w:lang w:eastAsia="zh-CN"/>
        </w:rPr>
        <w:t>电力行业和炼化行业资深专家，由工程师、高级工程级及以上人员组成评估专家组。</w:t>
      </w:r>
    </w:p>
    <w:p>
      <w:pPr>
        <w:pStyle w:val="25"/>
        <w:numPr>
          <w:ilvl w:val="0"/>
          <w:numId w:val="4"/>
        </w:numPr>
        <w:autoSpaceDE/>
        <w:autoSpaceDN/>
        <w:spacing w:before="0"/>
        <w:ind w:hanging="278"/>
        <w:jc w:val="both"/>
        <w:rPr>
          <w:sz w:val="24"/>
          <w:szCs w:val="24"/>
        </w:rPr>
      </w:pPr>
      <w:r>
        <w:rPr>
          <w:rFonts w:hint="eastAsia"/>
          <w:b/>
          <w:sz w:val="24"/>
          <w:szCs w:val="24"/>
        </w:rPr>
        <w:t>项目工作</w:t>
      </w:r>
      <w:r>
        <w:rPr>
          <w:rFonts w:hint="eastAsia"/>
          <w:b/>
          <w:bCs/>
          <w:sz w:val="24"/>
          <w:szCs w:val="24"/>
        </w:rPr>
        <w:t>范围</w:t>
      </w:r>
    </w:p>
    <w:p>
      <w:pPr>
        <w:ind w:firstLine="420"/>
        <w:rPr>
          <w:sz w:val="24"/>
          <w:szCs w:val="24"/>
          <w:lang w:eastAsia="zh-CN"/>
        </w:rPr>
      </w:pPr>
      <w:r>
        <w:rPr>
          <w:rFonts w:hint="eastAsia"/>
          <w:sz w:val="24"/>
          <w:szCs w:val="24"/>
          <w:lang w:eastAsia="zh-CN"/>
        </w:rPr>
        <w:t>福海创全厂电力系统（含码头）。</w:t>
      </w:r>
    </w:p>
    <w:p>
      <w:pPr>
        <w:pStyle w:val="25"/>
        <w:numPr>
          <w:ilvl w:val="0"/>
          <w:numId w:val="4"/>
        </w:numPr>
        <w:autoSpaceDE/>
        <w:autoSpaceDN/>
        <w:spacing w:before="0"/>
        <w:ind w:hanging="278"/>
        <w:jc w:val="both"/>
        <w:rPr>
          <w:sz w:val="24"/>
          <w:szCs w:val="24"/>
        </w:rPr>
      </w:pPr>
      <w:r>
        <w:rPr>
          <w:rFonts w:hint="eastAsia"/>
          <w:b/>
          <w:sz w:val="24"/>
          <w:szCs w:val="24"/>
        </w:rPr>
        <w:t>项目工作地点</w:t>
      </w:r>
    </w:p>
    <w:p>
      <w:pPr>
        <w:ind w:firstLine="420"/>
        <w:rPr>
          <w:sz w:val="24"/>
          <w:szCs w:val="24"/>
          <w:lang w:eastAsia="zh-CN"/>
        </w:rPr>
      </w:pPr>
      <w:r>
        <w:rPr>
          <w:rFonts w:hint="eastAsia"/>
          <w:sz w:val="24"/>
          <w:szCs w:val="24"/>
          <w:lang w:eastAsia="zh-CN"/>
        </w:rPr>
        <w:t>福建福海创石油化工有限公司。</w:t>
      </w:r>
    </w:p>
    <w:p>
      <w:pPr>
        <w:pStyle w:val="25"/>
        <w:numPr>
          <w:ilvl w:val="0"/>
          <w:numId w:val="4"/>
        </w:numPr>
        <w:autoSpaceDE/>
        <w:autoSpaceDN/>
        <w:spacing w:before="0"/>
        <w:ind w:hanging="278"/>
        <w:jc w:val="both"/>
        <w:rPr>
          <w:sz w:val="24"/>
          <w:szCs w:val="24"/>
        </w:rPr>
      </w:pPr>
      <w:r>
        <w:rPr>
          <w:rFonts w:hint="eastAsia"/>
          <w:b/>
          <w:sz w:val="24"/>
          <w:szCs w:val="24"/>
        </w:rPr>
        <w:t>工作时限</w:t>
      </w:r>
    </w:p>
    <w:p>
      <w:pPr>
        <w:ind w:firstLine="420"/>
        <w:rPr>
          <w:sz w:val="24"/>
          <w:szCs w:val="24"/>
          <w:lang w:eastAsia="zh-CN"/>
        </w:rPr>
      </w:pPr>
      <w:r>
        <w:rPr>
          <w:rFonts w:hint="eastAsia"/>
          <w:sz w:val="24"/>
          <w:szCs w:val="24"/>
          <w:lang w:eastAsia="zh-CN"/>
        </w:rPr>
        <w:t>本项目分为三个阶段实施。</w:t>
      </w:r>
    </w:p>
    <w:p>
      <w:pPr>
        <w:ind w:firstLine="420"/>
        <w:rPr>
          <w:sz w:val="24"/>
          <w:szCs w:val="24"/>
          <w:lang w:eastAsia="zh-CN"/>
        </w:rPr>
      </w:pPr>
      <w:r>
        <w:rPr>
          <w:rFonts w:hint="eastAsia"/>
          <w:sz w:val="24"/>
          <w:szCs w:val="24"/>
          <w:lang w:eastAsia="zh-CN"/>
        </w:rPr>
        <w:t>阶段一：现场勘查，开展安稳评估。</w:t>
      </w:r>
    </w:p>
    <w:p>
      <w:pPr>
        <w:ind w:firstLine="420"/>
        <w:rPr>
          <w:sz w:val="24"/>
          <w:szCs w:val="24"/>
          <w:lang w:eastAsia="zh-CN"/>
        </w:rPr>
      </w:pPr>
      <w:r>
        <w:rPr>
          <w:rFonts w:hint="eastAsia"/>
          <w:sz w:val="24"/>
          <w:szCs w:val="24"/>
          <w:lang w:eastAsia="zh-CN"/>
        </w:rPr>
        <w:t>本阶段工作重点为对福海创电力系统作现场勘查，给出安稳评估及整改意见。现场评估时间为7日，评估报告在现场评估结束后20天内交付。</w:t>
      </w:r>
    </w:p>
    <w:p>
      <w:pPr>
        <w:ind w:firstLine="420"/>
        <w:rPr>
          <w:sz w:val="24"/>
          <w:szCs w:val="24"/>
          <w:lang w:eastAsia="zh-CN"/>
        </w:rPr>
      </w:pPr>
      <w:r>
        <w:rPr>
          <w:rFonts w:hint="eastAsia"/>
          <w:sz w:val="24"/>
          <w:szCs w:val="24"/>
          <w:lang w:eastAsia="zh-CN"/>
        </w:rPr>
        <w:t>阶段二、全厂电力系统仿真分析。</w:t>
      </w:r>
    </w:p>
    <w:p>
      <w:pPr>
        <w:ind w:firstLine="420"/>
        <w:rPr>
          <w:sz w:val="24"/>
          <w:szCs w:val="24"/>
          <w:lang w:eastAsia="zh-CN"/>
        </w:rPr>
      </w:pPr>
      <w:r>
        <w:rPr>
          <w:rFonts w:hint="eastAsia"/>
          <w:sz w:val="24"/>
          <w:szCs w:val="24"/>
          <w:lang w:eastAsia="zh-CN"/>
        </w:rPr>
        <w:t>发包方提供主系统与相关电力设备有效资料（收资阶段）后，30个工作日内完成。</w:t>
      </w:r>
    </w:p>
    <w:p>
      <w:pPr>
        <w:ind w:firstLine="420"/>
        <w:rPr>
          <w:sz w:val="24"/>
          <w:szCs w:val="24"/>
          <w:lang w:eastAsia="zh-CN"/>
        </w:rPr>
      </w:pPr>
      <w:r>
        <w:rPr>
          <w:rFonts w:hint="eastAsia"/>
          <w:sz w:val="24"/>
          <w:szCs w:val="24"/>
          <w:lang w:eastAsia="zh-CN"/>
        </w:rPr>
        <w:t>阶段三、全厂电力系统继电保护计算整定与校核。</w:t>
      </w:r>
    </w:p>
    <w:p>
      <w:pPr>
        <w:ind w:firstLine="420"/>
        <w:rPr>
          <w:sz w:val="24"/>
          <w:szCs w:val="24"/>
          <w:lang w:eastAsia="zh-CN"/>
        </w:rPr>
      </w:pPr>
      <w:r>
        <w:rPr>
          <w:rFonts w:hint="eastAsia"/>
          <w:sz w:val="24"/>
          <w:szCs w:val="24"/>
          <w:lang w:eastAsia="zh-CN"/>
        </w:rPr>
        <w:t>在阶段二工作成果取得业主签认后，30个工作日内完成。</w:t>
      </w:r>
    </w:p>
    <w:p>
      <w:pPr>
        <w:ind w:firstLine="420"/>
        <w:rPr>
          <w:sz w:val="24"/>
          <w:szCs w:val="24"/>
          <w:lang w:eastAsia="zh-CN"/>
        </w:rPr>
      </w:pPr>
      <w:r>
        <w:rPr>
          <w:rFonts w:hint="eastAsia"/>
          <w:sz w:val="24"/>
          <w:szCs w:val="24"/>
          <w:lang w:eastAsia="zh-CN"/>
        </w:rPr>
        <w:t>全部工作必须在合同签订后90天内完成。</w:t>
      </w:r>
    </w:p>
    <w:p>
      <w:pPr>
        <w:pStyle w:val="25"/>
        <w:numPr>
          <w:ilvl w:val="0"/>
          <w:numId w:val="2"/>
        </w:numPr>
        <w:autoSpaceDE/>
        <w:autoSpaceDN/>
        <w:spacing w:before="0"/>
        <w:ind w:left="454" w:hanging="312"/>
        <w:jc w:val="both"/>
        <w:rPr>
          <w:sz w:val="24"/>
          <w:szCs w:val="24"/>
        </w:rPr>
      </w:pPr>
      <w:r>
        <w:rPr>
          <w:rFonts w:hint="eastAsia"/>
          <w:b/>
          <w:sz w:val="24"/>
          <w:szCs w:val="24"/>
        </w:rPr>
        <w:t>工作内容与技术要求</w:t>
      </w:r>
    </w:p>
    <w:p>
      <w:pPr>
        <w:rPr>
          <w:b/>
          <w:lang w:eastAsia="zh-CN"/>
        </w:rPr>
      </w:pPr>
      <w:r>
        <w:rPr>
          <w:rFonts w:hint="eastAsia"/>
          <w:b/>
          <w:sz w:val="24"/>
          <w:szCs w:val="24"/>
          <w:lang w:eastAsia="zh-CN"/>
        </w:rPr>
        <w:t>一）评估内容</w:t>
      </w:r>
      <w:r>
        <w:rPr>
          <w:rFonts w:hint="eastAsia"/>
          <w:b/>
          <w:lang w:eastAsia="zh-CN"/>
        </w:rPr>
        <w:t>至少包含以下内容：</w:t>
      </w:r>
    </w:p>
    <w:p>
      <w:pPr>
        <w:pStyle w:val="25"/>
        <w:numPr>
          <w:ilvl w:val="0"/>
          <w:numId w:val="5"/>
        </w:numPr>
        <w:autoSpaceDE/>
        <w:autoSpaceDN/>
        <w:spacing w:before="0"/>
        <w:ind w:hanging="278"/>
        <w:jc w:val="both"/>
        <w:rPr>
          <w:b/>
          <w:bCs/>
          <w:sz w:val="24"/>
          <w:szCs w:val="24"/>
        </w:rPr>
      </w:pPr>
      <w:r>
        <w:rPr>
          <w:rFonts w:hint="eastAsia"/>
          <w:b/>
          <w:sz w:val="24"/>
          <w:szCs w:val="24"/>
        </w:rPr>
        <w:t>系统隐患（排查）评估</w:t>
      </w:r>
    </w:p>
    <w:p>
      <w:pPr>
        <w:rPr>
          <w:sz w:val="24"/>
          <w:szCs w:val="24"/>
          <w:lang w:eastAsia="zh-CN"/>
        </w:rPr>
      </w:pPr>
      <w:r>
        <w:rPr>
          <w:sz w:val="24"/>
          <w:szCs w:val="24"/>
          <w:lang w:eastAsia="zh-CN"/>
        </w:rPr>
        <w:tab/>
      </w:r>
      <w:r>
        <w:rPr>
          <w:rFonts w:hint="eastAsia"/>
          <w:sz w:val="24"/>
          <w:szCs w:val="24"/>
          <w:lang w:eastAsia="zh-CN"/>
        </w:rPr>
        <w:t>主要评估内容为系统电源可靠性、过电压抑制能力、系统运行方式合理性、电力系统自愈能力等。</w:t>
      </w:r>
    </w:p>
    <w:p>
      <w:pPr>
        <w:pStyle w:val="25"/>
        <w:numPr>
          <w:ilvl w:val="0"/>
          <w:numId w:val="5"/>
        </w:numPr>
        <w:autoSpaceDE/>
        <w:autoSpaceDN/>
        <w:spacing w:before="0"/>
        <w:ind w:hanging="278"/>
        <w:jc w:val="both"/>
        <w:rPr>
          <w:b/>
          <w:bCs/>
          <w:sz w:val="24"/>
          <w:szCs w:val="24"/>
        </w:rPr>
      </w:pPr>
      <w:r>
        <w:rPr>
          <w:rFonts w:hint="eastAsia"/>
          <w:b/>
          <w:sz w:val="24"/>
          <w:szCs w:val="24"/>
        </w:rPr>
        <w:t>设备隐患（排查）评估</w:t>
      </w:r>
    </w:p>
    <w:p>
      <w:pPr>
        <w:rPr>
          <w:sz w:val="24"/>
          <w:szCs w:val="24"/>
          <w:lang w:eastAsia="zh-CN"/>
        </w:rPr>
      </w:pPr>
      <w:r>
        <w:rPr>
          <w:sz w:val="24"/>
          <w:szCs w:val="24"/>
          <w:lang w:eastAsia="zh-CN"/>
        </w:rPr>
        <w:tab/>
      </w:r>
      <w:r>
        <w:rPr>
          <w:rFonts w:hint="eastAsia"/>
          <w:sz w:val="24"/>
          <w:szCs w:val="24"/>
          <w:lang w:eastAsia="zh-CN"/>
        </w:rPr>
        <w:t>主要评估内容为设备本质安全、设备操作安全、设备状态监测、设备运行环境等。</w:t>
      </w:r>
    </w:p>
    <w:p>
      <w:pPr>
        <w:pStyle w:val="25"/>
        <w:numPr>
          <w:ilvl w:val="0"/>
          <w:numId w:val="5"/>
        </w:numPr>
        <w:autoSpaceDE/>
        <w:autoSpaceDN/>
        <w:spacing w:before="0"/>
        <w:ind w:hanging="278"/>
        <w:jc w:val="both"/>
        <w:rPr>
          <w:b/>
          <w:bCs/>
          <w:sz w:val="24"/>
          <w:szCs w:val="24"/>
        </w:rPr>
      </w:pPr>
      <w:r>
        <w:rPr>
          <w:rFonts w:hint="eastAsia"/>
          <w:b/>
          <w:sz w:val="24"/>
          <w:szCs w:val="24"/>
        </w:rPr>
        <w:t>防雷与接地评估</w:t>
      </w:r>
    </w:p>
    <w:p>
      <w:pPr>
        <w:rPr>
          <w:sz w:val="24"/>
          <w:szCs w:val="24"/>
          <w:lang w:eastAsia="zh-CN"/>
        </w:rPr>
      </w:pPr>
      <w:r>
        <w:rPr>
          <w:sz w:val="24"/>
          <w:szCs w:val="24"/>
          <w:lang w:eastAsia="zh-CN"/>
        </w:rPr>
        <w:tab/>
      </w:r>
      <w:r>
        <w:rPr>
          <w:rFonts w:hint="eastAsia"/>
          <w:sz w:val="24"/>
          <w:szCs w:val="24"/>
          <w:lang w:eastAsia="zh-CN"/>
        </w:rPr>
        <w:t>主要评估内容为变电所防雷、接地、二次等电位地网等。</w:t>
      </w:r>
    </w:p>
    <w:p>
      <w:pPr>
        <w:pStyle w:val="25"/>
        <w:numPr>
          <w:ilvl w:val="0"/>
          <w:numId w:val="5"/>
        </w:numPr>
        <w:autoSpaceDE/>
        <w:autoSpaceDN/>
        <w:spacing w:before="0"/>
        <w:ind w:hanging="278"/>
        <w:jc w:val="both"/>
        <w:rPr>
          <w:b/>
          <w:bCs/>
          <w:sz w:val="24"/>
          <w:szCs w:val="24"/>
        </w:rPr>
      </w:pPr>
      <w:r>
        <w:rPr>
          <w:rFonts w:hint="eastAsia"/>
          <w:b/>
          <w:sz w:val="24"/>
          <w:szCs w:val="24"/>
        </w:rPr>
        <w:t>变电所（站）消防评估</w:t>
      </w:r>
    </w:p>
    <w:p>
      <w:pPr>
        <w:rPr>
          <w:sz w:val="24"/>
          <w:szCs w:val="24"/>
          <w:lang w:eastAsia="zh-CN"/>
        </w:rPr>
      </w:pPr>
      <w:r>
        <w:rPr>
          <w:sz w:val="24"/>
          <w:szCs w:val="24"/>
          <w:lang w:eastAsia="zh-CN"/>
        </w:rPr>
        <w:tab/>
      </w:r>
      <w:r>
        <w:rPr>
          <w:rFonts w:hint="eastAsia"/>
          <w:sz w:val="24"/>
          <w:szCs w:val="24"/>
          <w:lang w:eastAsia="zh-CN"/>
        </w:rPr>
        <w:t>主要评估内容为主变消防、变电所（站）消防、事故照明等。</w:t>
      </w:r>
    </w:p>
    <w:p>
      <w:pPr>
        <w:pStyle w:val="25"/>
        <w:numPr>
          <w:ilvl w:val="0"/>
          <w:numId w:val="5"/>
        </w:numPr>
        <w:autoSpaceDE/>
        <w:autoSpaceDN/>
        <w:spacing w:before="0"/>
        <w:ind w:hanging="278"/>
        <w:jc w:val="both"/>
        <w:rPr>
          <w:b/>
          <w:bCs/>
          <w:sz w:val="24"/>
          <w:szCs w:val="24"/>
          <w:lang w:eastAsia="zh-CN"/>
        </w:rPr>
      </w:pPr>
      <w:r>
        <w:rPr>
          <w:rFonts w:hint="eastAsia"/>
          <w:b/>
          <w:sz w:val="24"/>
          <w:szCs w:val="24"/>
          <w:lang w:eastAsia="zh-CN"/>
        </w:rPr>
        <w:t>电力系统继电保护装置、自动装置与整定评估</w:t>
      </w:r>
    </w:p>
    <w:p>
      <w:pPr>
        <w:rPr>
          <w:sz w:val="24"/>
          <w:szCs w:val="24"/>
          <w:lang w:eastAsia="zh-CN"/>
        </w:rPr>
      </w:pPr>
      <w:r>
        <w:rPr>
          <w:sz w:val="24"/>
          <w:szCs w:val="24"/>
          <w:lang w:eastAsia="zh-CN"/>
        </w:rPr>
        <w:tab/>
      </w:r>
      <w:r>
        <w:rPr>
          <w:rFonts w:hint="eastAsia"/>
          <w:sz w:val="24"/>
          <w:szCs w:val="24"/>
          <w:lang w:eastAsia="zh-CN"/>
        </w:rPr>
        <w:t>主要评估内容为主系统（及配、用电装置）电气设备继保和自动装置的方案可靠性、全厂继保选择性、速动性、反措落实等。</w:t>
      </w:r>
    </w:p>
    <w:p>
      <w:pPr>
        <w:pStyle w:val="25"/>
        <w:numPr>
          <w:ilvl w:val="0"/>
          <w:numId w:val="5"/>
        </w:numPr>
        <w:autoSpaceDE/>
        <w:autoSpaceDN/>
        <w:spacing w:before="0"/>
        <w:ind w:hanging="278"/>
        <w:jc w:val="both"/>
        <w:rPr>
          <w:b/>
          <w:bCs/>
          <w:sz w:val="24"/>
          <w:szCs w:val="24"/>
        </w:rPr>
      </w:pPr>
      <w:r>
        <w:rPr>
          <w:rFonts w:hint="eastAsia"/>
          <w:b/>
          <w:sz w:val="24"/>
          <w:szCs w:val="24"/>
        </w:rPr>
        <w:t>综合自动化系统评估</w:t>
      </w:r>
    </w:p>
    <w:p>
      <w:pPr>
        <w:rPr>
          <w:sz w:val="24"/>
          <w:szCs w:val="24"/>
          <w:lang w:eastAsia="zh-CN"/>
        </w:rPr>
      </w:pPr>
      <w:r>
        <w:rPr>
          <w:sz w:val="24"/>
          <w:szCs w:val="24"/>
          <w:lang w:eastAsia="zh-CN"/>
        </w:rPr>
        <w:tab/>
      </w:r>
      <w:r>
        <w:rPr>
          <w:rFonts w:hint="eastAsia"/>
          <w:sz w:val="24"/>
          <w:szCs w:val="24"/>
          <w:lang w:eastAsia="zh-CN"/>
        </w:rPr>
        <w:t>主要评估内容为网络拓扑、信息有效性、监控画面、数据库、故障录波、全厂同步时钟系统、电力信息二次安全防护等。</w:t>
      </w:r>
    </w:p>
    <w:p>
      <w:pPr>
        <w:pStyle w:val="25"/>
        <w:numPr>
          <w:ilvl w:val="0"/>
          <w:numId w:val="5"/>
        </w:numPr>
        <w:autoSpaceDE/>
        <w:autoSpaceDN/>
        <w:spacing w:before="0"/>
        <w:ind w:hanging="278"/>
        <w:jc w:val="both"/>
        <w:rPr>
          <w:b/>
          <w:bCs/>
          <w:sz w:val="24"/>
          <w:szCs w:val="24"/>
          <w:lang w:eastAsia="zh-CN"/>
        </w:rPr>
      </w:pPr>
      <w:r>
        <w:rPr>
          <w:rFonts w:hint="eastAsia"/>
          <w:b/>
          <w:sz w:val="24"/>
          <w:szCs w:val="24"/>
          <w:lang w:eastAsia="zh-CN"/>
        </w:rPr>
        <w:t>直流电源与电力电子设备评估</w:t>
      </w:r>
    </w:p>
    <w:p>
      <w:pPr>
        <w:rPr>
          <w:sz w:val="24"/>
          <w:szCs w:val="24"/>
          <w:lang w:eastAsia="zh-CN"/>
        </w:rPr>
      </w:pPr>
      <w:r>
        <w:rPr>
          <w:sz w:val="24"/>
          <w:szCs w:val="24"/>
          <w:lang w:eastAsia="zh-CN"/>
        </w:rPr>
        <w:tab/>
      </w:r>
      <w:r>
        <w:rPr>
          <w:rFonts w:hint="eastAsia"/>
          <w:sz w:val="24"/>
          <w:szCs w:val="24"/>
          <w:lang w:eastAsia="zh-CN"/>
        </w:rPr>
        <w:t>主要评估内容为蓄电池、直流电源、生产仪表用U</w:t>
      </w:r>
      <w:r>
        <w:rPr>
          <w:sz w:val="24"/>
          <w:szCs w:val="24"/>
          <w:lang w:eastAsia="zh-CN"/>
        </w:rPr>
        <w:t>PS</w:t>
      </w:r>
      <w:r>
        <w:rPr>
          <w:rFonts w:hint="eastAsia"/>
          <w:sz w:val="24"/>
          <w:szCs w:val="24"/>
          <w:lang w:eastAsia="zh-CN"/>
        </w:rPr>
        <w:t>、变频器等。</w:t>
      </w:r>
    </w:p>
    <w:p>
      <w:pPr>
        <w:pStyle w:val="25"/>
        <w:numPr>
          <w:ilvl w:val="0"/>
          <w:numId w:val="5"/>
        </w:numPr>
        <w:autoSpaceDE/>
        <w:autoSpaceDN/>
        <w:spacing w:before="0"/>
        <w:ind w:hanging="278"/>
        <w:jc w:val="both"/>
        <w:rPr>
          <w:b/>
          <w:bCs/>
          <w:sz w:val="24"/>
          <w:szCs w:val="24"/>
        </w:rPr>
      </w:pPr>
      <w:r>
        <w:rPr>
          <w:rFonts w:hint="eastAsia"/>
          <w:b/>
          <w:sz w:val="24"/>
          <w:szCs w:val="24"/>
        </w:rPr>
        <w:t>运行管理评估</w:t>
      </w:r>
    </w:p>
    <w:p>
      <w:pPr>
        <w:rPr>
          <w:sz w:val="24"/>
          <w:szCs w:val="24"/>
          <w:lang w:eastAsia="zh-CN"/>
        </w:rPr>
      </w:pPr>
      <w:r>
        <w:rPr>
          <w:sz w:val="24"/>
          <w:szCs w:val="24"/>
          <w:lang w:eastAsia="zh-CN"/>
        </w:rPr>
        <w:tab/>
      </w:r>
      <w:r>
        <w:rPr>
          <w:rFonts w:hint="eastAsia"/>
          <w:sz w:val="24"/>
          <w:szCs w:val="24"/>
          <w:lang w:eastAsia="zh-CN"/>
        </w:rPr>
        <w:t>主要评估内容为管理体系建设、规程与图纸、工作票与倒闸操作票管理、档案管理、事故处理预案等。</w:t>
      </w:r>
    </w:p>
    <w:p>
      <w:pPr>
        <w:pStyle w:val="25"/>
        <w:numPr>
          <w:ilvl w:val="0"/>
          <w:numId w:val="5"/>
        </w:numPr>
        <w:autoSpaceDE/>
        <w:autoSpaceDN/>
        <w:spacing w:before="0"/>
        <w:ind w:hanging="278"/>
        <w:jc w:val="both"/>
        <w:rPr>
          <w:b/>
          <w:sz w:val="24"/>
          <w:szCs w:val="24"/>
        </w:rPr>
      </w:pPr>
      <w:r>
        <w:rPr>
          <w:rFonts w:hint="eastAsia"/>
          <w:b/>
          <w:sz w:val="24"/>
          <w:szCs w:val="24"/>
        </w:rPr>
        <w:t>设备管理评估</w:t>
      </w:r>
    </w:p>
    <w:p>
      <w:pPr>
        <w:rPr>
          <w:sz w:val="24"/>
          <w:szCs w:val="24"/>
          <w:lang w:eastAsia="zh-CN"/>
        </w:rPr>
      </w:pPr>
      <w:r>
        <w:rPr>
          <w:sz w:val="24"/>
          <w:szCs w:val="24"/>
          <w:lang w:eastAsia="zh-CN"/>
        </w:rPr>
        <w:tab/>
      </w:r>
      <w:r>
        <w:rPr>
          <w:rFonts w:hint="eastAsia"/>
          <w:sz w:val="24"/>
          <w:szCs w:val="24"/>
          <w:lang w:eastAsia="zh-CN"/>
        </w:rPr>
        <w:t>主要评估内容为设备完整性（电气设备周期性检测、维修制度建立与执行）体系建设。</w:t>
      </w:r>
    </w:p>
    <w:p>
      <w:pPr>
        <w:pStyle w:val="25"/>
        <w:numPr>
          <w:ilvl w:val="0"/>
          <w:numId w:val="5"/>
        </w:numPr>
        <w:autoSpaceDE/>
        <w:autoSpaceDN/>
        <w:spacing w:before="0"/>
        <w:ind w:hanging="278"/>
        <w:jc w:val="both"/>
        <w:rPr>
          <w:b/>
          <w:bCs/>
          <w:sz w:val="24"/>
          <w:szCs w:val="24"/>
          <w:lang w:eastAsia="zh-CN"/>
        </w:rPr>
      </w:pPr>
      <w:r>
        <w:rPr>
          <w:rFonts w:hint="eastAsia"/>
          <w:b/>
          <w:sz w:val="24"/>
          <w:szCs w:val="24"/>
          <w:lang w:eastAsia="zh-CN"/>
        </w:rPr>
        <w:t>继电保护及自动装置管理评估</w:t>
      </w:r>
    </w:p>
    <w:p>
      <w:pPr>
        <w:rPr>
          <w:sz w:val="24"/>
          <w:szCs w:val="24"/>
          <w:lang w:eastAsia="zh-CN"/>
        </w:rPr>
      </w:pPr>
      <w:r>
        <w:rPr>
          <w:sz w:val="24"/>
          <w:szCs w:val="24"/>
          <w:lang w:eastAsia="zh-CN"/>
        </w:rPr>
        <w:tab/>
      </w:r>
      <w:r>
        <w:rPr>
          <w:rFonts w:hint="eastAsia"/>
          <w:sz w:val="24"/>
          <w:szCs w:val="24"/>
          <w:lang w:eastAsia="zh-CN"/>
        </w:rPr>
        <w:t>主要评估内容为定值管理、验收（调试）管理、继电保护运行评价等。</w:t>
      </w:r>
    </w:p>
    <w:p>
      <w:pPr>
        <w:pStyle w:val="25"/>
        <w:numPr>
          <w:ilvl w:val="0"/>
          <w:numId w:val="5"/>
        </w:numPr>
        <w:autoSpaceDE/>
        <w:autoSpaceDN/>
        <w:spacing w:before="0"/>
        <w:ind w:hanging="278"/>
        <w:jc w:val="both"/>
        <w:rPr>
          <w:b/>
          <w:bCs/>
          <w:sz w:val="24"/>
          <w:szCs w:val="24"/>
        </w:rPr>
      </w:pPr>
      <w:r>
        <w:rPr>
          <w:rFonts w:hint="eastAsia"/>
          <w:b/>
          <w:sz w:val="24"/>
          <w:szCs w:val="24"/>
        </w:rPr>
        <w:t>安全管理评估</w:t>
      </w:r>
    </w:p>
    <w:p>
      <w:pPr>
        <w:rPr>
          <w:sz w:val="24"/>
          <w:szCs w:val="24"/>
          <w:lang w:eastAsia="zh-CN"/>
        </w:rPr>
      </w:pPr>
      <w:r>
        <w:rPr>
          <w:sz w:val="24"/>
          <w:szCs w:val="24"/>
          <w:lang w:eastAsia="zh-CN"/>
        </w:rPr>
        <w:tab/>
      </w:r>
      <w:r>
        <w:rPr>
          <w:rFonts w:hint="eastAsia"/>
          <w:sz w:val="24"/>
          <w:szCs w:val="24"/>
          <w:lang w:eastAsia="zh-CN"/>
        </w:rPr>
        <w:t>主要评估内容为电气安全管理体系建设、接地网管理、接地线管理、SF6气体管理、安全防误操作（五防管理）、临时用电管理、电力信息安全管理等。</w:t>
      </w:r>
    </w:p>
    <w:p>
      <w:pPr>
        <w:pStyle w:val="25"/>
        <w:numPr>
          <w:ilvl w:val="0"/>
          <w:numId w:val="5"/>
        </w:numPr>
        <w:autoSpaceDE/>
        <w:autoSpaceDN/>
        <w:spacing w:before="0"/>
        <w:ind w:hanging="278"/>
        <w:jc w:val="both"/>
        <w:rPr>
          <w:b/>
          <w:bCs/>
          <w:sz w:val="24"/>
          <w:szCs w:val="24"/>
        </w:rPr>
      </w:pPr>
      <w:r>
        <w:rPr>
          <w:rFonts w:hint="eastAsia"/>
          <w:b/>
          <w:sz w:val="24"/>
          <w:szCs w:val="24"/>
        </w:rPr>
        <w:t>人员培训评估</w:t>
      </w:r>
    </w:p>
    <w:p>
      <w:pPr>
        <w:rPr>
          <w:sz w:val="24"/>
          <w:szCs w:val="24"/>
          <w:lang w:eastAsia="zh-CN"/>
        </w:rPr>
      </w:pPr>
      <w:r>
        <w:rPr>
          <w:sz w:val="24"/>
          <w:szCs w:val="24"/>
          <w:lang w:eastAsia="zh-CN"/>
        </w:rPr>
        <w:tab/>
      </w:r>
      <w:r>
        <w:rPr>
          <w:rFonts w:hint="eastAsia"/>
          <w:sz w:val="24"/>
          <w:szCs w:val="24"/>
          <w:lang w:eastAsia="zh-CN"/>
        </w:rPr>
        <w:t>评估企业的员工培训体系建设情况，预案演练情况等。</w:t>
      </w:r>
    </w:p>
    <w:p>
      <w:pPr>
        <w:pStyle w:val="25"/>
        <w:numPr>
          <w:ilvl w:val="0"/>
          <w:numId w:val="5"/>
        </w:numPr>
        <w:autoSpaceDE/>
        <w:autoSpaceDN/>
        <w:spacing w:before="0"/>
        <w:ind w:hanging="278"/>
        <w:jc w:val="both"/>
        <w:rPr>
          <w:b/>
          <w:bCs/>
          <w:sz w:val="24"/>
          <w:szCs w:val="24"/>
          <w:lang w:eastAsia="zh-CN"/>
        </w:rPr>
      </w:pPr>
      <w:r>
        <w:rPr>
          <w:rFonts w:hint="eastAsia"/>
          <w:b/>
          <w:sz w:val="24"/>
          <w:szCs w:val="24"/>
          <w:lang w:eastAsia="zh-CN"/>
        </w:rPr>
        <w:t>电力系统仿真分析及计算</w:t>
      </w:r>
    </w:p>
    <w:p>
      <w:pPr>
        <w:ind w:firstLine="420"/>
        <w:rPr>
          <w:sz w:val="24"/>
          <w:szCs w:val="24"/>
          <w:lang w:eastAsia="zh-CN"/>
        </w:rPr>
      </w:pPr>
      <w:r>
        <w:rPr>
          <w:rFonts w:hint="eastAsia"/>
          <w:sz w:val="24"/>
          <w:szCs w:val="24"/>
          <w:lang w:eastAsia="zh-CN"/>
        </w:rPr>
        <w:t>对企业进行电力系统运行方式校核和N</w:t>
      </w:r>
      <w:r>
        <w:rPr>
          <w:sz w:val="24"/>
          <w:szCs w:val="24"/>
          <w:lang w:eastAsia="zh-CN"/>
        </w:rPr>
        <w:t>-1</w:t>
      </w:r>
      <w:r>
        <w:rPr>
          <w:rFonts w:hint="eastAsia"/>
          <w:sz w:val="24"/>
          <w:szCs w:val="24"/>
          <w:lang w:eastAsia="zh-CN"/>
        </w:rPr>
        <w:t>、短路电流（LL、LLG、LG）、大电机（或异步电机群）起动分析、电网暂态稳定性研究。</w:t>
      </w:r>
    </w:p>
    <w:p>
      <w:pPr>
        <w:pStyle w:val="25"/>
        <w:numPr>
          <w:ilvl w:val="0"/>
          <w:numId w:val="5"/>
        </w:numPr>
        <w:autoSpaceDE/>
        <w:autoSpaceDN/>
        <w:spacing w:before="0"/>
        <w:ind w:hanging="278"/>
        <w:jc w:val="both"/>
        <w:rPr>
          <w:sz w:val="24"/>
          <w:szCs w:val="24"/>
          <w:lang w:eastAsia="zh-CN"/>
        </w:rPr>
      </w:pPr>
      <w:r>
        <w:rPr>
          <w:rFonts w:hint="eastAsia"/>
          <w:sz w:val="24"/>
          <w:szCs w:val="24"/>
          <w:lang w:eastAsia="zh-CN"/>
        </w:rPr>
        <w:t>通过电力系统仿真计算，对已有全厂电力系统（2</w:t>
      </w:r>
      <w:r>
        <w:rPr>
          <w:sz w:val="24"/>
          <w:szCs w:val="24"/>
          <w:lang w:eastAsia="zh-CN"/>
        </w:rPr>
        <w:t>20kV</w:t>
      </w:r>
      <w:r>
        <w:rPr>
          <w:rFonts w:hint="eastAsia"/>
          <w:sz w:val="24"/>
          <w:szCs w:val="24"/>
          <w:lang w:eastAsia="zh-CN"/>
        </w:rPr>
        <w:t>、</w:t>
      </w:r>
      <w:r>
        <w:rPr>
          <w:sz w:val="24"/>
          <w:szCs w:val="24"/>
          <w:lang w:eastAsia="zh-CN"/>
        </w:rPr>
        <w:t>35kV</w:t>
      </w:r>
      <w:r>
        <w:rPr>
          <w:rFonts w:hint="eastAsia"/>
          <w:sz w:val="24"/>
          <w:szCs w:val="24"/>
          <w:lang w:eastAsia="zh-CN"/>
        </w:rPr>
        <w:t>、</w:t>
      </w:r>
      <w:r>
        <w:rPr>
          <w:sz w:val="24"/>
          <w:szCs w:val="24"/>
          <w:lang w:eastAsia="zh-CN"/>
        </w:rPr>
        <w:t>10kV</w:t>
      </w:r>
      <w:r>
        <w:rPr>
          <w:rFonts w:hint="eastAsia"/>
          <w:sz w:val="24"/>
          <w:szCs w:val="24"/>
          <w:lang w:eastAsia="zh-CN"/>
        </w:rPr>
        <w:t>）及配、用电继电保护方案与灵敏度校核，保护定值整定计算，并提出建设性建议。</w:t>
      </w:r>
    </w:p>
    <w:p>
      <w:pPr>
        <w:ind w:firstLine="420"/>
        <w:rPr>
          <w:sz w:val="24"/>
          <w:szCs w:val="24"/>
          <w:lang w:eastAsia="zh-CN"/>
        </w:rPr>
      </w:pPr>
      <w:r>
        <w:rPr>
          <w:rFonts w:hint="eastAsia"/>
          <w:sz w:val="24"/>
          <w:szCs w:val="24"/>
          <w:lang w:eastAsia="zh-CN"/>
        </w:rPr>
        <w:t>在前述各项工作完成后，对全厂主网系统继电保护的配置方案与当前运行的继电保护定值进行校核。</w:t>
      </w:r>
    </w:p>
    <w:p>
      <w:pPr>
        <w:rPr>
          <w:b/>
          <w:sz w:val="24"/>
          <w:szCs w:val="24"/>
        </w:rPr>
      </w:pPr>
      <w:r>
        <w:rPr>
          <w:rFonts w:hint="eastAsia"/>
          <w:b/>
          <w:sz w:val="24"/>
          <w:szCs w:val="24"/>
        </w:rPr>
        <w:t>二）技术要求</w:t>
      </w:r>
    </w:p>
    <w:p>
      <w:pPr>
        <w:pStyle w:val="25"/>
        <w:numPr>
          <w:ilvl w:val="0"/>
          <w:numId w:val="6"/>
        </w:numPr>
        <w:autoSpaceDE/>
        <w:autoSpaceDN/>
        <w:spacing w:before="0"/>
        <w:ind w:hanging="278"/>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遵循标准</w:t>
      </w:r>
    </w:p>
    <w:p>
      <w:pPr>
        <w:ind w:firstLine="42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本项目范围内的工作执行，应符合下列标准要求，标准应以最新标准为准，（但不局限于此）：</w:t>
      </w:r>
    </w:p>
    <w:p>
      <w:pPr>
        <w:tabs>
          <w:tab w:val="left" w:pos="312"/>
        </w:tabs>
        <w:ind w:left="440" w:leftChars="200"/>
        <w:rPr>
          <w:rFonts w:asciiTheme="minorEastAsia" w:hAnsiTheme="minorEastAsia" w:eastAsiaTheme="minorEastAsia"/>
          <w:sz w:val="24"/>
          <w:szCs w:val="24"/>
          <w:lang w:eastAsia="zh-CN"/>
        </w:rPr>
      </w:pPr>
      <w:r>
        <w:fldChar w:fldCharType="begin"/>
      </w:r>
      <w:r>
        <w:instrText xml:space="preserve"> HYPERLINK "http://www.baidu.com/link?url=eOj92Fl8W0l95Vp38i0pdDI4k57y3c79KN5we2JFbRvCQkzfIZuWN7QBL8Zk8HNKY4X2gFB0UGWMfCQAGM-RD_" \t "https://www.baidu.com/_blank" </w:instrText>
      </w:r>
      <w:r>
        <w:fldChar w:fldCharType="separate"/>
      </w:r>
      <w:r>
        <w:rPr>
          <w:rFonts w:hint="eastAsia" w:asciiTheme="minorEastAsia" w:hAnsiTheme="minorEastAsia" w:eastAsiaTheme="minorEastAsia"/>
          <w:sz w:val="24"/>
          <w:szCs w:val="24"/>
          <w:lang w:eastAsia="zh-CN"/>
        </w:rPr>
        <w:t xml:space="preserve">GB/T 156-2017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标准电压</w:t>
      </w:r>
      <w:r>
        <w:rPr>
          <w:rFonts w:hint="eastAsia" w:asciiTheme="minorEastAsia" w:hAnsiTheme="minorEastAsia" w:eastAsiaTheme="minorEastAsia"/>
          <w:sz w:val="24"/>
          <w:szCs w:val="24"/>
          <w:lang w:eastAsia="zh-CN"/>
        </w:rPr>
        <w:fldChar w:fldCharType="end"/>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GB/T 21210-2007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单速三相笼型感应电动机起动性能</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DL/T 1040-2015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电网运行准则（新）</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DL/T 686-2018</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 电力网电能损耗计算导则</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DL/T 1234-2013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电力系统安全稳定计算技术规程</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GB/T 38969-2020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电力系统技术导则</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DL/T 5553-2019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电力系统电气计算设计规程</w:t>
      </w:r>
    </w:p>
    <w:p>
      <w:pPr>
        <w:tabs>
          <w:tab w:val="left" w:pos="312"/>
        </w:tabs>
        <w:ind w:left="440" w:leftChars="200"/>
        <w:rPr>
          <w:rFonts w:asciiTheme="minorEastAsia" w:hAnsiTheme="minorEastAsia" w:eastAsiaTheme="minorEastAsia"/>
          <w:sz w:val="24"/>
          <w:szCs w:val="24"/>
          <w:lang w:eastAsia="zh-CN"/>
        </w:rPr>
      </w:pPr>
      <w:r>
        <w:fldChar w:fldCharType="begin"/>
      </w:r>
      <w:r>
        <w:instrText xml:space="preserve"> HYPERLINK "http://www.baidu.com/link?url=bLfWjTtxheceIK677IC7TLfDFhxJ6MRSwCPwK1FA0aoxupoIPFfPwtQrHKpVLcU8zdPBPHiq2MyH683OttxAsICctYbBGBn9KZF4GcfCIUe" \t "https://www.baidu.com/_blank" </w:instrText>
      </w:r>
      <w:r>
        <w:fldChar w:fldCharType="separate"/>
      </w:r>
      <w:r>
        <w:rPr>
          <w:rFonts w:hint="eastAsia" w:asciiTheme="minorEastAsia" w:hAnsiTheme="minorEastAsia" w:eastAsiaTheme="minorEastAsia"/>
          <w:sz w:val="24"/>
          <w:szCs w:val="24"/>
          <w:lang w:eastAsia="zh-CN"/>
        </w:rPr>
        <w:t xml:space="preserve">DL/T 5429-2009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电力系统设计技术规程</w:t>
      </w:r>
      <w:r>
        <w:rPr>
          <w:rFonts w:hint="eastAsia" w:asciiTheme="minorEastAsia" w:hAnsiTheme="minorEastAsia" w:eastAsiaTheme="minorEastAsia"/>
          <w:sz w:val="24"/>
          <w:szCs w:val="24"/>
          <w:lang w:eastAsia="zh-CN"/>
        </w:rPr>
        <w:fldChar w:fldCharType="end"/>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GB/T 38755-2019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电力系统安全稳定导则（替代DL/T 755-2001）</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GB/T </w:t>
      </w:r>
      <w:r>
        <w:rPr>
          <w:rFonts w:asciiTheme="minorEastAsia" w:hAnsiTheme="minorEastAsia" w:eastAsiaTheme="minorEastAsia"/>
          <w:sz w:val="24"/>
          <w:szCs w:val="24"/>
          <w:lang w:eastAsia="zh-CN"/>
        </w:rPr>
        <w:t>26399</w:t>
      </w:r>
      <w:r>
        <w:rPr>
          <w:rFonts w:hint="eastAsia" w:asciiTheme="minorEastAsia" w:hAnsiTheme="minorEastAsia" w:eastAsiaTheme="minorEastAsia"/>
          <w:sz w:val="24"/>
          <w:szCs w:val="24"/>
          <w:lang w:eastAsia="zh-CN"/>
        </w:rPr>
        <w:t xml:space="preserve">-2011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电力系统安全稳定控制技术导则（替代DL/T 732）</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GB/T 50703-2011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电力系统安全自动装置设计规范 </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DL/T 5147-2001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电力系统安全自动装置设计技术规定</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DL</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T</w:t>
      </w:r>
      <w:r>
        <w:rPr>
          <w:rFonts w:asciiTheme="minorEastAsia" w:hAnsiTheme="minorEastAsia" w:eastAsiaTheme="minorEastAsia"/>
          <w:sz w:val="24"/>
          <w:szCs w:val="24"/>
          <w:lang w:eastAsia="zh-CN"/>
        </w:rPr>
        <w:t xml:space="preserve"> 5554-2019   </w:t>
      </w:r>
      <w:r>
        <w:rPr>
          <w:rFonts w:hint="eastAsia" w:asciiTheme="minorEastAsia" w:hAnsiTheme="minorEastAsia" w:eastAsiaTheme="minorEastAsia"/>
          <w:sz w:val="24"/>
          <w:szCs w:val="24"/>
          <w:lang w:eastAsia="zh-CN"/>
        </w:rPr>
        <w:t>电力系统无功补偿及调压设计技术导则</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DL/T 1773-2017</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电力系统电压和无功电力技术导则</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DL/T 5242-2010</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 35kV～220kV变电站无功补偿装置设计技术规定</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GB/T 50227-2017</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 并联电容器的装置设计规范</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DL/T 836-2012</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供电系统用户供电可靠性评价规程</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DL/T 837-2018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输变电设施可靠性评价规程（新）（新2020为评价规范）</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DL/T 793-2012</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发电设备可靠性评价规程（新为793.1-2017）</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IEC-60909-2006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三相交流系统短路电流计算</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GB/T 15544-2017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三相交流系统短路电流计算（新）</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GB/T 50064-2014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交流电气装置的过电压保护和绝缘混合设计规范</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HG/T 20513-2014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仪表系统接地设计规范</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GB/T 50650-2011</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石油化工装置防雷设计规范</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SH/T 3060-2013</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石油化工企业供电系统设计规范</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SH/T 3038-2017</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石油化工装置电力设计规范</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GB/T 14285-2016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继电保护和安全自动装置技术规程（新）</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DL/T 584-2017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3</w:t>
      </w:r>
      <w:r>
        <w:rPr>
          <w:rFonts w:hint="eastAsia" w:asciiTheme="minorEastAsia" w:hAnsiTheme="minorEastAsia" w:eastAsiaTheme="minorEastAsia" w:cstheme="minorHAnsi"/>
          <w:sz w:val="24"/>
          <w:szCs w:val="24"/>
          <w:lang w:eastAsia="zh-CN"/>
        </w:rPr>
        <w:t>~110kV电网继电保护装置运行整定条件</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DL/T 559-2018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220kV~750kV电网继电保护装置运行整定规程（新）</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GB/T 29328-2018</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 重要电力用户供电电源及自备应急电源配置技术规范</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DL/T 684-2012</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大型发电机变压器继电保护整定计算导则</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DL/T 1502-2016</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厂用电继电保护整定计算导则</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DL/T 5153-2014</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火力发电厂厂用电设计技术规定（新）</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GB/T 50059-2011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35~110kV变电所设计规范</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GB/T 52062-2008</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电力装置的继电保护和自动装置设计规范</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GB/T 50217-2018</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 电力工程电缆设计规范</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DL/T 5222-2005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导体和电器选择设计技术规定</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GB/T 12325-2008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电能质量 供电电压偏差</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GB/T 12326-2008</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 电能质量 电压波动和闪变</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GB/T 18481-2001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电能质量 暂时过电压和瞬态过电压</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GB/T 24337-2009</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 电能质量 公用电网间谐波</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GB/T 7409.1-2008</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同步电机励磁系统系统</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GB/T 843-2010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大型汽轮机发电机励磁系统技术条件</w:t>
      </w:r>
    </w:p>
    <w:p>
      <w:pPr>
        <w:tabs>
          <w:tab w:val="left" w:pos="312"/>
        </w:tabs>
        <w:ind w:left="440" w:leftChars="200"/>
        <w:rPr>
          <w:rFonts w:asciiTheme="minorEastAsia" w:hAnsiTheme="minorEastAsia" w:eastAsiaTheme="minorEastAsia"/>
          <w:sz w:val="24"/>
          <w:szCs w:val="24"/>
          <w:lang w:eastAsia="zh-CN"/>
        </w:rPr>
      </w:pPr>
      <w:r>
        <w:fldChar w:fldCharType="begin"/>
      </w:r>
      <w:r>
        <w:instrText xml:space="preserve"> HYPERLINK "http://www.baidu.com/link?url=_q0cAiK9BwD3L5ASlfU3hYlfMCBzSJmtz9bt2L5lBEMxe5VUvxKVDWkdD8qWPiaOZoczHNxHZFNo2TN2d0syla" \t "https://www.baidu.com/_blank" </w:instrText>
      </w:r>
      <w:r>
        <w:fldChar w:fldCharType="separate"/>
      </w:r>
      <w:r>
        <w:rPr>
          <w:rFonts w:hint="eastAsia" w:asciiTheme="minorEastAsia" w:hAnsiTheme="minorEastAsia" w:eastAsiaTheme="minorEastAsia"/>
          <w:sz w:val="24"/>
          <w:szCs w:val="24"/>
          <w:lang w:eastAsia="zh-CN"/>
        </w:rPr>
        <w:t>GB/T 7064-2017</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 隐极同步发电机技术要求</w:t>
      </w:r>
      <w:r>
        <w:rPr>
          <w:rFonts w:hint="eastAsia" w:asciiTheme="minorEastAsia" w:hAnsiTheme="minorEastAsia" w:eastAsiaTheme="minorEastAsia"/>
          <w:sz w:val="24"/>
          <w:szCs w:val="24"/>
          <w:lang w:eastAsia="zh-CN"/>
        </w:rPr>
        <w:fldChar w:fldCharType="end"/>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DL/T 1167-2019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同步发电机励磁系统建模导则（代替DL/T 1167-2012）</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SH/T 3116-2017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炼油厂用电负荷设计计算方法</w:t>
      </w:r>
    </w:p>
    <w:p>
      <w:pPr>
        <w:tabs>
          <w:tab w:val="left" w:pos="312"/>
        </w:tabs>
        <w:ind w:left="440" w:leftChars="200"/>
        <w:rPr>
          <w:rFonts w:asciiTheme="minorEastAsia" w:hAnsiTheme="minorEastAsia" w:eastAsiaTheme="minorEastAsia"/>
          <w:sz w:val="24"/>
          <w:szCs w:val="24"/>
          <w:lang w:eastAsia="zh-CN"/>
        </w:rPr>
      </w:pPr>
      <w:r>
        <w:fldChar w:fldCharType="begin"/>
      </w:r>
      <w:r>
        <w:instrText xml:space="preserve"> HYPERLINK "http://www.baidu.com/link?url=lRfF0g6XVhNmPXOgQw3ftBjIGnxwnFPk2eld_zQ47Sft5QWBZAT5W2Li-Fy90eWuBMpN4cJ1xlia8FpoqP_K9K&amp;wd=&amp;eqid=fbf2dde80000f92500000006602f603a" \t "https://www.baidu.com/_blank" </w:instrText>
      </w:r>
      <w:r>
        <w:fldChar w:fldCharType="separate"/>
      </w:r>
      <w:r>
        <w:rPr>
          <w:rFonts w:hint="eastAsia" w:asciiTheme="minorEastAsia" w:hAnsiTheme="minorEastAsia" w:eastAsiaTheme="minorEastAsia"/>
          <w:sz w:val="24"/>
          <w:szCs w:val="24"/>
          <w:lang w:eastAsia="zh-CN"/>
        </w:rPr>
        <w:t xml:space="preserve">DL/T 615-2013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高压交流断路器参数选用导则</w:t>
      </w:r>
      <w:r>
        <w:rPr>
          <w:rFonts w:hint="eastAsia" w:asciiTheme="minorEastAsia" w:hAnsiTheme="minorEastAsia" w:eastAsiaTheme="minorEastAsia"/>
          <w:sz w:val="24"/>
          <w:szCs w:val="24"/>
          <w:lang w:eastAsia="zh-CN"/>
        </w:rPr>
        <w:fldChar w:fldCharType="end"/>
      </w:r>
      <w:r>
        <w:rPr>
          <w:rFonts w:hint="eastAsia" w:asciiTheme="minorEastAsia" w:hAnsiTheme="minorEastAsia" w:eastAsiaTheme="minorEastAsia"/>
          <w:sz w:val="24"/>
          <w:szCs w:val="24"/>
          <w:lang w:eastAsia="zh-CN"/>
        </w:rPr>
        <w:t>（注：在本方案中，是针对开关在现电力系统容量校核）</w:t>
      </w:r>
    </w:p>
    <w:p>
      <w:pPr>
        <w:tabs>
          <w:tab w:val="left" w:pos="312"/>
        </w:tabs>
        <w:ind w:left="440" w:leftChars="200"/>
        <w:rPr>
          <w:rFonts w:asciiTheme="minorEastAsia" w:hAnsiTheme="minorEastAsia" w:eastAsiaTheme="minorEastAsia"/>
          <w:sz w:val="24"/>
          <w:szCs w:val="24"/>
          <w:lang w:eastAsia="zh-CN"/>
        </w:rPr>
      </w:pPr>
      <w:r>
        <w:fldChar w:fldCharType="begin"/>
      </w:r>
      <w:r>
        <w:instrText xml:space="preserve"> HYPERLINK "http://www.baidu.com/link?url=SEZd9pVrivfgaiGJByPYgv-0HDutFxM2PZhEbcM8gRGD1EoISwVIP0rOUA_LiZjA3CdnnEFJZo-w20nfjrpcCnVkMdmfJMIVpnONC4vhWsy&amp;wd=&amp;eqid=d4fd561f0006b27e00000006602f62ed" \t "https://www.baidu.com/_blank" </w:instrText>
      </w:r>
      <w:r>
        <w:fldChar w:fldCharType="separate"/>
      </w:r>
      <w:r>
        <w:rPr>
          <w:rFonts w:hint="eastAsia" w:asciiTheme="minorEastAsia" w:hAnsiTheme="minorEastAsia" w:eastAsiaTheme="minorEastAsia"/>
          <w:sz w:val="24"/>
          <w:szCs w:val="24"/>
          <w:lang w:eastAsia="zh-CN"/>
        </w:rPr>
        <w:t xml:space="preserve">DL/T 5155-2016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220kV~1000kV变电站站用电设计技术规程</w:t>
      </w:r>
      <w:r>
        <w:rPr>
          <w:rFonts w:hint="eastAsia" w:asciiTheme="minorEastAsia" w:hAnsiTheme="minorEastAsia" w:eastAsiaTheme="minorEastAsia"/>
          <w:sz w:val="24"/>
          <w:szCs w:val="24"/>
          <w:lang w:eastAsia="zh-CN"/>
        </w:rPr>
        <w:fldChar w:fldCharType="end"/>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中国南方电网城市配电网技术导则</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中国石化电力系统主网结构技术管理规则</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中国石化电器设备及运行管理规定</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电力系统：继电保护整定计算</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防止电力生产事故：二十五项重点要求</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国家电网有限公司十八项电网重大反事故措施（修订版）</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接地变压器及其容量计算方法（文献）</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小电阻接地变压器整定计算（文献）</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10/0.4kV变压器所接地需要更新观念（文献）</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10kV配电网中性点小电阻接地系统变电所的设计（文献）</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工业与民用配电设计手册（上下）第四版（中国电力出版社）</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电力工程设计手册（一二次部分）（中国电力出版社）</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电力系统设计手册（电力工业部电力二次侧设计院）</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电气传动自动化技术手册（机械或工业出版社）</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石油石化企业电气设备及运行管理手册（化学工业出版社）</w:t>
      </w:r>
    </w:p>
    <w:p>
      <w:pPr>
        <w:tabs>
          <w:tab w:val="left" w:pos="312"/>
        </w:tabs>
        <w:ind w:left="440" w:left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电线电缆手册（第二版）（机械工业出版社）</w:t>
      </w:r>
    </w:p>
    <w:p>
      <w:pPr>
        <w:pStyle w:val="25"/>
        <w:numPr>
          <w:ilvl w:val="0"/>
          <w:numId w:val="6"/>
        </w:numPr>
        <w:autoSpaceDE/>
        <w:autoSpaceDN/>
        <w:spacing w:before="0"/>
        <w:ind w:hanging="278"/>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技术指标</w:t>
      </w:r>
    </w:p>
    <w:p>
      <w:pPr>
        <w:ind w:firstLine="420"/>
        <w:rPr>
          <w:rFonts w:eastAsiaTheme="minorEastAsia"/>
          <w:sz w:val="24"/>
          <w:szCs w:val="24"/>
          <w:lang w:eastAsia="zh-CN"/>
        </w:rPr>
      </w:pPr>
      <w:r>
        <w:rPr>
          <w:rFonts w:hint="eastAsia" w:eastAsiaTheme="minorEastAsia" w:cstheme="minorBidi"/>
          <w:sz w:val="24"/>
          <w:szCs w:val="24"/>
          <w:lang w:eastAsia="zh-CN"/>
        </w:rPr>
        <w:t>(</w:t>
      </w:r>
      <w:r>
        <w:rPr>
          <w:rFonts w:eastAsiaTheme="minorEastAsia" w:cstheme="minorBidi"/>
          <w:sz w:val="24"/>
          <w:szCs w:val="24"/>
          <w:lang w:eastAsia="zh-CN"/>
        </w:rPr>
        <w:t>1)</w:t>
      </w:r>
      <w:r>
        <w:rPr>
          <w:rFonts w:hint="eastAsia" w:eastAsiaTheme="minorEastAsia"/>
          <w:sz w:val="24"/>
          <w:szCs w:val="24"/>
          <w:lang w:eastAsia="zh-CN"/>
        </w:rPr>
        <w:t>全厂电网安全稳定评估应出具评估报告，评估报告对每个评估点要具体明确变电所及设备间隔位置，通用性的问题应写明。</w:t>
      </w:r>
    </w:p>
    <w:p>
      <w:pPr>
        <w:ind w:firstLine="420"/>
        <w:rPr>
          <w:sz w:val="24"/>
          <w:szCs w:val="24"/>
          <w:lang w:eastAsia="zh-CN"/>
        </w:rPr>
      </w:pPr>
      <w:r>
        <w:rPr>
          <w:rFonts w:hint="eastAsia" w:eastAsiaTheme="minorEastAsia"/>
          <w:sz w:val="24"/>
          <w:szCs w:val="24"/>
          <w:lang w:eastAsia="zh-CN"/>
        </w:rPr>
        <w:t>(</w:t>
      </w:r>
      <w:r>
        <w:rPr>
          <w:rFonts w:eastAsiaTheme="minorEastAsia"/>
          <w:sz w:val="24"/>
          <w:szCs w:val="24"/>
          <w:lang w:eastAsia="zh-CN"/>
        </w:rPr>
        <w:t>2)</w:t>
      </w:r>
      <w:r>
        <w:rPr>
          <w:rFonts w:hint="eastAsia" w:eastAsiaTheme="minorEastAsia"/>
          <w:sz w:val="24"/>
          <w:szCs w:val="24"/>
          <w:lang w:eastAsia="zh-CN"/>
        </w:rPr>
        <w:t>全厂电网安全稳定评估报告的核心应包括隐患评估、评估结论、整改建</w:t>
      </w:r>
      <w:r>
        <w:rPr>
          <w:rFonts w:hint="eastAsia"/>
          <w:sz w:val="24"/>
          <w:szCs w:val="24"/>
          <w:lang w:eastAsia="zh-CN"/>
        </w:rPr>
        <w:t>议三部分。</w:t>
      </w:r>
    </w:p>
    <w:p>
      <w:pPr>
        <w:ind w:firstLine="420"/>
        <w:rPr>
          <w:rFonts w:eastAsiaTheme="minorEastAsia"/>
          <w:sz w:val="24"/>
          <w:szCs w:val="24"/>
          <w:lang w:eastAsia="zh-CN"/>
        </w:rPr>
      </w:pPr>
      <w:r>
        <w:rPr>
          <w:rFonts w:hint="eastAsia" w:eastAsiaTheme="minorEastAsia"/>
          <w:sz w:val="24"/>
          <w:szCs w:val="24"/>
          <w:lang w:eastAsia="zh-CN"/>
        </w:rPr>
        <w:t>(</w:t>
      </w:r>
      <w:r>
        <w:rPr>
          <w:rFonts w:eastAsiaTheme="minorEastAsia"/>
          <w:sz w:val="24"/>
          <w:szCs w:val="24"/>
          <w:lang w:eastAsia="zh-CN"/>
        </w:rPr>
        <w:t>3)</w:t>
      </w:r>
      <w:r>
        <w:rPr>
          <w:rFonts w:hint="eastAsia" w:eastAsiaTheme="minorEastAsia"/>
          <w:sz w:val="24"/>
          <w:szCs w:val="24"/>
          <w:lang w:eastAsia="zh-CN"/>
        </w:rPr>
        <w:t>全厂继电保护校核范围涵盖220</w:t>
      </w:r>
      <w:r>
        <w:rPr>
          <w:rFonts w:eastAsiaTheme="minorEastAsia"/>
          <w:sz w:val="24"/>
          <w:szCs w:val="24"/>
          <w:lang w:eastAsia="zh-CN"/>
        </w:rPr>
        <w:t>kV</w:t>
      </w:r>
      <w:r>
        <w:rPr>
          <w:rFonts w:hint="eastAsia" w:eastAsiaTheme="minorEastAsia"/>
          <w:sz w:val="24"/>
          <w:szCs w:val="24"/>
          <w:lang w:eastAsia="zh-CN"/>
        </w:rPr>
        <w:t>到0.4</w:t>
      </w:r>
      <w:r>
        <w:rPr>
          <w:rFonts w:eastAsiaTheme="minorEastAsia"/>
          <w:sz w:val="24"/>
          <w:szCs w:val="24"/>
          <w:lang w:eastAsia="zh-CN"/>
        </w:rPr>
        <w:t>kV</w:t>
      </w:r>
      <w:r>
        <w:rPr>
          <w:rFonts w:hint="eastAsia" w:eastAsiaTheme="minorEastAsia"/>
          <w:sz w:val="24"/>
          <w:szCs w:val="24"/>
          <w:lang w:eastAsia="zh-CN"/>
        </w:rPr>
        <w:t>，其中0.4</w:t>
      </w:r>
      <w:r>
        <w:rPr>
          <w:rFonts w:eastAsiaTheme="minorEastAsia"/>
          <w:sz w:val="24"/>
          <w:szCs w:val="24"/>
          <w:lang w:eastAsia="zh-CN"/>
        </w:rPr>
        <w:t>kV</w:t>
      </w:r>
      <w:r>
        <w:rPr>
          <w:rFonts w:hint="eastAsia" w:eastAsiaTheme="minorEastAsia"/>
          <w:sz w:val="24"/>
          <w:szCs w:val="24"/>
          <w:lang w:eastAsia="zh-CN"/>
        </w:rPr>
        <w:t>具体到进线和分段，以及高、低压电动机。应对继电保护方案的可靠性、选择性、灵敏性、速动性进行全面建模、计算校核。对主网系统（到各电压等级的进线与母分）、发变组、线路变压器组供电的大容量电动机以及高、低压电动机的继电保护运行定值进行计算、校核，并提供和修订全厂电气设备的保护定值计算书和整定值。</w:t>
      </w:r>
    </w:p>
    <w:p>
      <w:pPr>
        <w:ind w:firstLine="420"/>
        <w:rPr>
          <w:rFonts w:eastAsiaTheme="minorEastAsia"/>
          <w:sz w:val="24"/>
          <w:szCs w:val="24"/>
          <w:lang w:eastAsia="zh-CN"/>
        </w:rPr>
      </w:pPr>
      <w:r>
        <w:rPr>
          <w:rFonts w:hint="eastAsia" w:eastAsiaTheme="minorEastAsia"/>
          <w:sz w:val="24"/>
          <w:szCs w:val="24"/>
          <w:lang w:eastAsia="zh-CN"/>
        </w:rPr>
        <w:t>(</w:t>
      </w:r>
      <w:r>
        <w:rPr>
          <w:rFonts w:eastAsiaTheme="minorEastAsia"/>
          <w:sz w:val="24"/>
          <w:szCs w:val="24"/>
          <w:lang w:eastAsia="zh-CN"/>
        </w:rPr>
        <w:t>4)</w:t>
      </w:r>
      <w:r>
        <w:rPr>
          <w:rFonts w:hint="eastAsia" w:eastAsiaTheme="minorEastAsia"/>
          <w:sz w:val="24"/>
          <w:szCs w:val="24"/>
          <w:lang w:eastAsia="zh-CN"/>
        </w:rPr>
        <w:t>通过系统仿真分析，校核福海创全厂当前各运行方式下系统的潮流分布以及为企业今后电力系统的发展、规划提供理论依据：</w:t>
      </w:r>
    </w:p>
    <w:p>
      <w:pPr>
        <w:ind w:firstLine="420"/>
        <w:rPr>
          <w:rFonts w:eastAsiaTheme="minorEastAsia"/>
          <w:sz w:val="24"/>
          <w:szCs w:val="24"/>
          <w:lang w:eastAsia="zh-CN"/>
        </w:rPr>
      </w:pPr>
      <w:r>
        <w:rPr>
          <w:rFonts w:eastAsiaTheme="minorEastAsia"/>
          <w:sz w:val="24"/>
          <w:szCs w:val="24"/>
          <w:lang w:eastAsia="zh-CN"/>
        </w:rPr>
        <w:t>a)</w:t>
      </w:r>
      <w:r>
        <w:rPr>
          <w:rFonts w:hint="eastAsia" w:eastAsiaTheme="minorEastAsia"/>
          <w:sz w:val="24"/>
          <w:szCs w:val="24"/>
          <w:lang w:eastAsia="zh-CN"/>
        </w:rPr>
        <w:t>系统内无功电源（无功补偿、发电机、同步电机等）分布与相关节点母线电压；</w:t>
      </w:r>
    </w:p>
    <w:p>
      <w:pPr>
        <w:ind w:firstLine="420"/>
        <w:rPr>
          <w:rFonts w:eastAsiaTheme="minorEastAsia"/>
          <w:sz w:val="24"/>
          <w:szCs w:val="24"/>
          <w:lang w:eastAsia="zh-CN"/>
        </w:rPr>
      </w:pPr>
      <w:r>
        <w:rPr>
          <w:rFonts w:hint="eastAsia" w:eastAsiaTheme="minorEastAsia"/>
          <w:sz w:val="24"/>
          <w:szCs w:val="24"/>
          <w:lang w:eastAsia="zh-CN"/>
        </w:rPr>
        <w:t>b</w:t>
      </w:r>
      <w:r>
        <w:rPr>
          <w:rFonts w:eastAsiaTheme="minorEastAsia"/>
          <w:sz w:val="24"/>
          <w:szCs w:val="24"/>
          <w:lang w:eastAsia="zh-CN"/>
        </w:rPr>
        <w:t>)</w:t>
      </w:r>
      <w:r>
        <w:rPr>
          <w:rFonts w:hint="eastAsia" w:eastAsiaTheme="minorEastAsia"/>
          <w:sz w:val="24"/>
          <w:szCs w:val="24"/>
          <w:lang w:eastAsia="zh-CN"/>
        </w:rPr>
        <w:t>系统无功平衡、相关母线电压和变压器调压是否合理（调压手段应用）；</w:t>
      </w:r>
    </w:p>
    <w:p>
      <w:pPr>
        <w:ind w:firstLine="420"/>
        <w:rPr>
          <w:rFonts w:eastAsiaTheme="minorEastAsia"/>
          <w:sz w:val="24"/>
          <w:szCs w:val="24"/>
          <w:lang w:eastAsia="zh-CN"/>
        </w:rPr>
      </w:pPr>
      <w:r>
        <w:rPr>
          <w:rFonts w:hint="eastAsia" w:eastAsiaTheme="minorEastAsia"/>
          <w:sz w:val="24"/>
          <w:szCs w:val="24"/>
          <w:lang w:eastAsia="zh-CN"/>
        </w:rPr>
        <w:t>c</w:t>
      </w:r>
      <w:r>
        <w:rPr>
          <w:rFonts w:eastAsiaTheme="minorEastAsia"/>
          <w:sz w:val="24"/>
          <w:szCs w:val="24"/>
          <w:lang w:eastAsia="zh-CN"/>
        </w:rPr>
        <w:t>)</w:t>
      </w:r>
      <w:r>
        <w:rPr>
          <w:rFonts w:hint="eastAsia" w:eastAsiaTheme="minorEastAsia"/>
          <w:sz w:val="24"/>
          <w:szCs w:val="24"/>
          <w:lang w:eastAsia="zh-CN"/>
        </w:rPr>
        <w:t>对潮流再分布，计算系统内总线路损耗（网损）是否合理，经济性是否最优；</w:t>
      </w:r>
    </w:p>
    <w:p>
      <w:pPr>
        <w:ind w:firstLine="420"/>
        <w:rPr>
          <w:rFonts w:eastAsiaTheme="minorEastAsia"/>
          <w:sz w:val="24"/>
          <w:szCs w:val="24"/>
          <w:lang w:eastAsia="zh-CN"/>
        </w:rPr>
      </w:pPr>
      <w:r>
        <w:rPr>
          <w:rFonts w:hint="eastAsia" w:eastAsiaTheme="minorEastAsia"/>
          <w:sz w:val="24"/>
          <w:szCs w:val="24"/>
          <w:lang w:eastAsia="zh-CN"/>
        </w:rPr>
        <w:t>d</w:t>
      </w:r>
      <w:r>
        <w:rPr>
          <w:rFonts w:eastAsiaTheme="minorEastAsia"/>
          <w:sz w:val="24"/>
          <w:szCs w:val="24"/>
          <w:lang w:eastAsia="zh-CN"/>
        </w:rPr>
        <w:t>)</w:t>
      </w:r>
      <w:r>
        <w:rPr>
          <w:rFonts w:hint="eastAsia" w:eastAsiaTheme="minorEastAsia"/>
          <w:sz w:val="24"/>
          <w:szCs w:val="24"/>
          <w:lang w:eastAsia="zh-CN"/>
        </w:rPr>
        <w:t>在网界段（地区电网管辖），电网供电公司如果考核用户功率因数（一般不低于</w:t>
      </w:r>
      <w:r>
        <w:rPr>
          <w:rFonts w:eastAsiaTheme="minorEastAsia"/>
          <w:sz w:val="24"/>
          <w:szCs w:val="24"/>
          <w:lang w:eastAsia="zh-CN"/>
        </w:rPr>
        <w:t>0.92</w:t>
      </w:r>
      <w:r>
        <w:rPr>
          <w:rFonts w:hint="eastAsia" w:eastAsiaTheme="minorEastAsia"/>
          <w:sz w:val="24"/>
          <w:szCs w:val="24"/>
          <w:lang w:eastAsia="zh-CN"/>
        </w:rPr>
        <w:t>～0</w:t>
      </w:r>
      <w:r>
        <w:rPr>
          <w:rFonts w:eastAsiaTheme="minorEastAsia"/>
          <w:sz w:val="24"/>
          <w:szCs w:val="24"/>
          <w:lang w:eastAsia="zh-CN"/>
        </w:rPr>
        <w:t>.95</w:t>
      </w:r>
      <w:r>
        <w:rPr>
          <w:rFonts w:hint="eastAsia" w:eastAsiaTheme="minorEastAsia"/>
          <w:sz w:val="24"/>
          <w:szCs w:val="24"/>
          <w:lang w:eastAsia="zh-CN"/>
        </w:rPr>
        <w:t>）。经分析计算应向用户，提供合理的使用、分配、调动系统内部无功源或增设补偿设备的参考建议，使无功潮流优化，节约力率成本；</w:t>
      </w:r>
    </w:p>
    <w:p>
      <w:pPr>
        <w:ind w:firstLine="420"/>
        <w:rPr>
          <w:rFonts w:eastAsiaTheme="minorEastAsia"/>
          <w:sz w:val="24"/>
          <w:szCs w:val="24"/>
          <w:lang w:eastAsia="zh-CN"/>
        </w:rPr>
      </w:pPr>
      <w:r>
        <w:rPr>
          <w:rFonts w:hint="eastAsia" w:eastAsiaTheme="minorEastAsia"/>
          <w:sz w:val="24"/>
          <w:szCs w:val="24"/>
          <w:lang w:eastAsia="zh-CN"/>
        </w:rPr>
        <w:t>e</w:t>
      </w:r>
      <w:r>
        <w:rPr>
          <w:rFonts w:eastAsiaTheme="minorEastAsia"/>
          <w:sz w:val="24"/>
          <w:szCs w:val="24"/>
          <w:lang w:eastAsia="zh-CN"/>
        </w:rPr>
        <w:t>)</w:t>
      </w:r>
      <w:r>
        <w:rPr>
          <w:rFonts w:hint="eastAsia" w:eastAsiaTheme="minorEastAsia"/>
          <w:sz w:val="24"/>
          <w:szCs w:val="24"/>
          <w:lang w:eastAsia="zh-CN"/>
        </w:rPr>
        <w:t>对电力系统内发、输、配、用电的有功潮流分布，本着电气距离最短，电压合格的原则。使发电机有功输出经济、合理，最大限度地降低企业发电成本。分析如果从电网输入有功，应分时段。充分利用好电网公司高、低、平谷电价差政策，使得有功潮流经济、企业产品用电成本低。</w:t>
      </w:r>
    </w:p>
    <w:p>
      <w:pPr>
        <w:ind w:firstLine="420"/>
        <w:rPr>
          <w:rFonts w:eastAsiaTheme="minorEastAsia"/>
          <w:sz w:val="24"/>
          <w:szCs w:val="24"/>
          <w:lang w:eastAsia="zh-CN"/>
        </w:rPr>
      </w:pPr>
      <w:r>
        <w:rPr>
          <w:rFonts w:hint="eastAsia" w:eastAsiaTheme="minorEastAsia"/>
          <w:sz w:val="24"/>
          <w:szCs w:val="24"/>
          <w:lang w:eastAsia="zh-CN"/>
        </w:rPr>
        <w:t>(</w:t>
      </w:r>
      <w:r>
        <w:rPr>
          <w:rFonts w:eastAsiaTheme="minorEastAsia"/>
          <w:sz w:val="24"/>
          <w:szCs w:val="24"/>
          <w:lang w:eastAsia="zh-CN"/>
        </w:rPr>
        <w:t>5)</w:t>
      </w:r>
      <w:r>
        <w:rPr>
          <w:rFonts w:hint="eastAsia" w:eastAsiaTheme="minorEastAsia"/>
          <w:sz w:val="24"/>
          <w:szCs w:val="24"/>
          <w:lang w:eastAsia="zh-CN"/>
        </w:rPr>
        <w:t>通过仿真分析，建立全厂短路分布图，包括短路电流与母线电压，以及电流电压的各序分量的分布；开展对开关、导体进行动、热稳定校核。设定重要节点、母线，在相间、单相短路发生与故障被隔离前，等电气距离范围内，电压下降（或百分数）及持续时间（毫秒或秒）。为等电气距离范围内的电压敏感用电设备（如：变频器、整流器、UPS、EPS、仪表电源等）抗晃电的决策制定，提供理论依据。</w:t>
      </w:r>
    </w:p>
    <w:p>
      <w:pPr>
        <w:ind w:firstLine="480" w:firstLineChars="200"/>
        <w:rPr>
          <w:sz w:val="24"/>
          <w:szCs w:val="24"/>
          <w:lang w:eastAsia="zh-CN"/>
        </w:rPr>
      </w:pPr>
      <w:r>
        <w:rPr>
          <w:rFonts w:hint="eastAsia"/>
          <w:sz w:val="24"/>
          <w:szCs w:val="24"/>
          <w:lang w:eastAsia="zh-CN"/>
        </w:rPr>
        <w:t>(</w:t>
      </w:r>
      <w:r>
        <w:rPr>
          <w:sz w:val="24"/>
          <w:szCs w:val="24"/>
          <w:lang w:eastAsia="zh-CN"/>
        </w:rPr>
        <w:t>6)</w:t>
      </w:r>
      <w:r>
        <w:rPr>
          <w:rFonts w:hint="eastAsia"/>
          <w:sz w:val="24"/>
          <w:szCs w:val="24"/>
          <w:lang w:eastAsia="zh-CN"/>
        </w:rPr>
        <w:t>全厂电气系统稳定性分析，研究企业电网在各种内部和外部的故障下的暂态稳定性，包括电压稳定与功角稳定；校核系统振荡的可能先导条件；选取典型的6kV、10kV、3</w:t>
      </w:r>
      <w:r>
        <w:rPr>
          <w:sz w:val="24"/>
          <w:szCs w:val="24"/>
          <w:lang w:eastAsia="zh-CN"/>
        </w:rPr>
        <w:t>5kV</w:t>
      </w:r>
      <w:r>
        <w:rPr>
          <w:rFonts w:hint="eastAsia"/>
          <w:sz w:val="24"/>
          <w:szCs w:val="24"/>
          <w:lang w:eastAsia="zh-CN"/>
        </w:rPr>
        <w:t>变电所，计算在不同短路时间窗内，母线快切装置动作情况；校核和优化系统安全稳定性配置方案，为系统操作和运行方式调整提供支撑。</w:t>
      </w:r>
    </w:p>
    <w:p>
      <w:pPr>
        <w:ind w:firstLine="480" w:firstLineChars="200"/>
        <w:rPr>
          <w:sz w:val="24"/>
          <w:szCs w:val="24"/>
          <w:lang w:eastAsia="zh-CN"/>
        </w:rPr>
      </w:pPr>
      <w:r>
        <w:rPr>
          <w:rFonts w:hint="eastAsia"/>
          <w:sz w:val="24"/>
          <w:szCs w:val="24"/>
          <w:lang w:eastAsia="zh-CN"/>
        </w:rPr>
        <w:t>(7</w:t>
      </w:r>
      <w:r>
        <w:rPr>
          <w:sz w:val="24"/>
          <w:szCs w:val="24"/>
          <w:lang w:eastAsia="zh-CN"/>
        </w:rPr>
        <w:t>)</w:t>
      </w:r>
      <w:r>
        <w:rPr>
          <w:rFonts w:hint="eastAsia"/>
          <w:sz w:val="24"/>
          <w:szCs w:val="24"/>
          <w:lang w:eastAsia="zh-CN"/>
        </w:rPr>
        <w:t>大型电动机（电机群自起）起动分析。对电动机起动方式和起动设备进行计算，全面评估电动机起动的效果和对电网的影响。研究各工艺装置变电所内中压电机的起动，分别计算变电所内两段中压母线各自所接最大一台电机在最恶劣情况下起动过程中对本母线段及下一级母线段的电压水平影响情况。对同步电动机起动、运行方式的合理性计算，给出优化潮流的运行建议。通过起动分析，校核系统或线路变压器电动机组的保护定值。</w:t>
      </w:r>
    </w:p>
    <w:p>
      <w:pPr>
        <w:pStyle w:val="25"/>
        <w:numPr>
          <w:ilvl w:val="0"/>
          <w:numId w:val="6"/>
        </w:numPr>
        <w:autoSpaceDE/>
        <w:autoSpaceDN/>
        <w:spacing w:before="0"/>
        <w:ind w:hanging="278"/>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报告交付</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4263"/>
        <w:gridCol w:w="1532"/>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序号</w:t>
            </w:r>
          </w:p>
        </w:tc>
        <w:tc>
          <w:tcPr>
            <w:tcW w:w="4144" w:type="dxa"/>
            <w:tcBorders>
              <w:top w:val="single" w:color="auto" w:sz="4" w:space="0"/>
              <w:left w:val="nil"/>
              <w:bottom w:val="single" w:color="auto" w:sz="4" w:space="0"/>
              <w:right w:val="single" w:color="auto" w:sz="4" w:space="0"/>
            </w:tcBorders>
            <w:vAlign w:val="center"/>
          </w:tcPr>
          <w:p>
            <w:pPr>
              <w:jc w:val="center"/>
              <w:rPr>
                <w:b/>
                <w:bCs/>
              </w:rPr>
            </w:pPr>
            <w:r>
              <w:rPr>
                <w:rFonts w:hint="eastAsia"/>
                <w:b/>
                <w:bCs/>
              </w:rPr>
              <w:t>交付内容</w:t>
            </w:r>
          </w:p>
        </w:tc>
        <w:tc>
          <w:tcPr>
            <w:tcW w:w="1489" w:type="dxa"/>
            <w:tcBorders>
              <w:top w:val="single" w:color="auto" w:sz="4" w:space="0"/>
              <w:left w:val="nil"/>
              <w:bottom w:val="single" w:color="auto" w:sz="4" w:space="0"/>
              <w:right w:val="single" w:color="auto" w:sz="4" w:space="0"/>
            </w:tcBorders>
            <w:vAlign w:val="center"/>
          </w:tcPr>
          <w:p>
            <w:pPr>
              <w:jc w:val="center"/>
              <w:rPr>
                <w:b/>
                <w:bCs/>
              </w:rPr>
            </w:pPr>
            <w:r>
              <w:rPr>
                <w:rFonts w:hint="eastAsia"/>
                <w:b/>
                <w:bCs/>
              </w:rPr>
              <w:t>版式</w:t>
            </w:r>
          </w:p>
        </w:tc>
        <w:tc>
          <w:tcPr>
            <w:tcW w:w="1553" w:type="dxa"/>
            <w:tcBorders>
              <w:top w:val="single" w:color="auto" w:sz="4" w:space="0"/>
              <w:left w:val="nil"/>
              <w:bottom w:val="single" w:color="auto" w:sz="4" w:space="0"/>
              <w:right w:val="single" w:color="auto" w:sz="4" w:space="0"/>
            </w:tcBorders>
            <w:vAlign w:val="center"/>
          </w:tcPr>
          <w:p>
            <w:pPr>
              <w:jc w:val="center"/>
              <w:rPr>
                <w:b/>
                <w:bCs/>
              </w:rPr>
            </w:pPr>
            <w:r>
              <w:rPr>
                <w:rFonts w:hint="eastAsia"/>
                <w:b/>
                <w:bCs/>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w:t>
            </w:r>
          </w:p>
        </w:tc>
        <w:tc>
          <w:tcPr>
            <w:tcW w:w="4144" w:type="dxa"/>
            <w:tcBorders>
              <w:top w:val="single" w:color="auto" w:sz="4" w:space="0"/>
              <w:left w:val="nil"/>
              <w:bottom w:val="single" w:color="auto" w:sz="4" w:space="0"/>
              <w:right w:val="single" w:color="auto" w:sz="4" w:space="0"/>
            </w:tcBorders>
            <w:vAlign w:val="center"/>
          </w:tcPr>
          <w:p>
            <w:pPr>
              <w:jc w:val="center"/>
              <w:rPr>
                <w:lang w:eastAsia="zh-CN"/>
              </w:rPr>
            </w:pPr>
            <w:r>
              <w:rPr>
                <w:rFonts w:hint="eastAsia"/>
                <w:lang w:eastAsia="zh-CN"/>
              </w:rPr>
              <w:t>全厂电力系统安全稳定评估报告</w:t>
            </w:r>
          </w:p>
        </w:tc>
        <w:tc>
          <w:tcPr>
            <w:tcW w:w="1489" w:type="dxa"/>
            <w:vMerge w:val="restart"/>
            <w:tcBorders>
              <w:top w:val="single" w:color="auto" w:sz="4" w:space="0"/>
              <w:left w:val="nil"/>
              <w:right w:val="single" w:color="auto" w:sz="4" w:space="0"/>
            </w:tcBorders>
            <w:vAlign w:val="center"/>
          </w:tcPr>
          <w:p>
            <w:pPr>
              <w:jc w:val="center"/>
            </w:pPr>
            <w:r>
              <w:rPr>
                <w:rFonts w:hint="eastAsia"/>
              </w:rPr>
              <w:t>电子（光盘）/纸质</w:t>
            </w:r>
          </w:p>
        </w:tc>
        <w:tc>
          <w:tcPr>
            <w:tcW w:w="1553" w:type="dxa"/>
            <w:tcBorders>
              <w:top w:val="single" w:color="auto" w:sz="4" w:space="0"/>
              <w:left w:val="nil"/>
              <w:bottom w:val="single" w:color="auto" w:sz="4" w:space="0"/>
              <w:right w:val="single" w:color="auto" w:sz="4" w:space="0"/>
            </w:tcBorders>
            <w:vAlign w:val="center"/>
          </w:tcPr>
          <w:p>
            <w:pPr>
              <w:jc w:val="center"/>
            </w:pPr>
            <w:r>
              <w:rPr>
                <w:rFonts w:hint="eastAsia"/>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w:t>
            </w:r>
          </w:p>
        </w:tc>
        <w:tc>
          <w:tcPr>
            <w:tcW w:w="4144" w:type="dxa"/>
            <w:tcBorders>
              <w:top w:val="single" w:color="auto" w:sz="4" w:space="0"/>
              <w:left w:val="nil"/>
              <w:bottom w:val="single" w:color="auto" w:sz="4" w:space="0"/>
              <w:right w:val="single" w:color="auto" w:sz="4" w:space="0"/>
            </w:tcBorders>
            <w:vAlign w:val="center"/>
          </w:tcPr>
          <w:p>
            <w:pPr>
              <w:jc w:val="center"/>
              <w:rPr>
                <w:lang w:eastAsia="zh-CN"/>
              </w:rPr>
            </w:pPr>
            <w:r>
              <w:rPr>
                <w:rFonts w:hint="eastAsia"/>
                <w:lang w:eastAsia="zh-CN"/>
              </w:rPr>
              <w:t>全厂电力系统仿真分析报告</w:t>
            </w:r>
          </w:p>
        </w:tc>
        <w:tc>
          <w:tcPr>
            <w:tcW w:w="1489" w:type="dxa"/>
            <w:vMerge w:val="continue"/>
            <w:tcBorders>
              <w:left w:val="nil"/>
              <w:right w:val="single" w:color="auto" w:sz="4" w:space="0"/>
            </w:tcBorders>
            <w:vAlign w:val="center"/>
          </w:tcPr>
          <w:p>
            <w:pPr>
              <w:jc w:val="center"/>
              <w:rPr>
                <w:lang w:eastAsia="zh-CN"/>
              </w:rPr>
            </w:pPr>
          </w:p>
        </w:tc>
        <w:tc>
          <w:tcPr>
            <w:tcW w:w="1553" w:type="dxa"/>
            <w:tcBorders>
              <w:top w:val="single" w:color="auto" w:sz="4" w:space="0"/>
              <w:left w:val="nil"/>
              <w:bottom w:val="single" w:color="auto" w:sz="4" w:space="0"/>
              <w:right w:val="single" w:color="auto" w:sz="4" w:space="0"/>
            </w:tcBorders>
            <w:vAlign w:val="center"/>
          </w:tcPr>
          <w:p>
            <w:pPr>
              <w:jc w:val="center"/>
            </w:pPr>
            <w:r>
              <w:rPr>
                <w:rFonts w:hint="eastAsia"/>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w:t>
            </w:r>
          </w:p>
        </w:tc>
        <w:tc>
          <w:tcPr>
            <w:tcW w:w="4144" w:type="dxa"/>
            <w:tcBorders>
              <w:top w:val="single" w:color="auto" w:sz="4" w:space="0"/>
              <w:left w:val="nil"/>
              <w:bottom w:val="single" w:color="auto" w:sz="4" w:space="0"/>
              <w:right w:val="single" w:color="auto" w:sz="4" w:space="0"/>
            </w:tcBorders>
            <w:vAlign w:val="center"/>
          </w:tcPr>
          <w:p>
            <w:pPr>
              <w:jc w:val="center"/>
              <w:rPr>
                <w:lang w:eastAsia="zh-CN"/>
              </w:rPr>
            </w:pPr>
            <w:r>
              <w:rPr>
                <w:rFonts w:hint="eastAsia"/>
                <w:lang w:eastAsia="zh-CN"/>
              </w:rPr>
              <w:t>继电保护校核分析报告</w:t>
            </w:r>
          </w:p>
        </w:tc>
        <w:tc>
          <w:tcPr>
            <w:tcW w:w="1489" w:type="dxa"/>
            <w:vMerge w:val="continue"/>
            <w:tcBorders>
              <w:left w:val="nil"/>
              <w:bottom w:val="single" w:color="auto" w:sz="4" w:space="0"/>
              <w:right w:val="single" w:color="auto" w:sz="4" w:space="0"/>
            </w:tcBorders>
            <w:vAlign w:val="center"/>
          </w:tcPr>
          <w:p>
            <w:pPr>
              <w:jc w:val="center"/>
              <w:rPr>
                <w:lang w:eastAsia="zh-CN"/>
              </w:rPr>
            </w:pPr>
          </w:p>
        </w:tc>
        <w:tc>
          <w:tcPr>
            <w:tcW w:w="1553" w:type="dxa"/>
            <w:tcBorders>
              <w:top w:val="single" w:color="auto" w:sz="4" w:space="0"/>
              <w:left w:val="nil"/>
              <w:bottom w:val="single" w:color="auto" w:sz="4" w:space="0"/>
              <w:right w:val="single" w:color="auto" w:sz="4" w:space="0"/>
            </w:tcBorders>
            <w:vAlign w:val="center"/>
          </w:tcPr>
          <w:p>
            <w:pPr>
              <w:jc w:val="center"/>
            </w:pPr>
            <w:r>
              <w:rPr>
                <w:rFonts w:hint="eastAsia"/>
              </w:rPr>
              <w:t>3/10</w:t>
            </w:r>
          </w:p>
        </w:tc>
      </w:tr>
    </w:tbl>
    <w:p>
      <w:pPr>
        <w:pStyle w:val="25"/>
        <w:numPr>
          <w:ilvl w:val="0"/>
          <w:numId w:val="6"/>
        </w:numPr>
        <w:autoSpaceDE/>
        <w:autoSpaceDN/>
        <w:spacing w:before="0"/>
        <w:ind w:hanging="278"/>
        <w:jc w:val="both"/>
        <w:rPr>
          <w:rFonts w:asciiTheme="minorEastAsia" w:hAnsiTheme="minorEastAsia" w:eastAsiaTheme="minorEastAsia"/>
          <w:sz w:val="24"/>
          <w:szCs w:val="24"/>
        </w:rPr>
      </w:pPr>
      <w:r>
        <w:rPr>
          <w:rFonts w:hint="eastAsia" w:asciiTheme="minorEastAsia" w:hAnsiTheme="minorEastAsia" w:eastAsiaTheme="minorEastAsia"/>
          <w:sz w:val="24"/>
          <w:szCs w:val="24"/>
        </w:rPr>
        <w:t>双方责任</w:t>
      </w:r>
    </w:p>
    <w:p>
      <w:pPr>
        <w:pStyle w:val="4"/>
        <w:spacing w:line="480" w:lineRule="auto"/>
      </w:pPr>
      <w:r>
        <w:rPr>
          <w:rFonts w:hint="eastAsia"/>
        </w:rPr>
        <w:t>4.1发包方责任</w:t>
      </w:r>
    </w:p>
    <w:p>
      <w:pPr>
        <w:ind w:firstLine="420"/>
        <w:rPr>
          <w:sz w:val="24"/>
          <w:szCs w:val="24"/>
          <w:lang w:eastAsia="zh-CN"/>
        </w:rPr>
      </w:pPr>
      <w:r>
        <w:rPr>
          <w:sz w:val="24"/>
          <w:szCs w:val="24"/>
          <w:lang w:eastAsia="zh-CN"/>
        </w:rPr>
        <w:t>(1)</w:t>
      </w:r>
      <w:r>
        <w:rPr>
          <w:rFonts w:hint="eastAsia"/>
          <w:sz w:val="24"/>
          <w:szCs w:val="24"/>
          <w:lang w:eastAsia="zh-CN"/>
        </w:rPr>
        <w:t>按照承包方的项目进度分阶段及时向承包方提供相关技术资料。</w:t>
      </w:r>
    </w:p>
    <w:p>
      <w:pPr>
        <w:ind w:firstLine="420"/>
        <w:rPr>
          <w:sz w:val="24"/>
          <w:szCs w:val="24"/>
          <w:lang w:eastAsia="zh-CN"/>
        </w:rPr>
      </w:pPr>
      <w:r>
        <w:rPr>
          <w:sz w:val="24"/>
          <w:szCs w:val="24"/>
          <w:lang w:eastAsia="zh-CN"/>
        </w:rPr>
        <w:t>(2)</w:t>
      </w:r>
      <w:r>
        <w:rPr>
          <w:rFonts w:hint="eastAsia"/>
          <w:sz w:val="24"/>
          <w:szCs w:val="24"/>
          <w:lang w:eastAsia="zh-CN"/>
        </w:rPr>
        <w:t>配合承包方现场工作。</w:t>
      </w:r>
    </w:p>
    <w:p>
      <w:pPr>
        <w:ind w:firstLine="420"/>
        <w:rPr>
          <w:sz w:val="24"/>
          <w:szCs w:val="24"/>
          <w:lang w:eastAsia="zh-CN"/>
        </w:rPr>
      </w:pPr>
      <w:r>
        <w:rPr>
          <w:sz w:val="24"/>
          <w:szCs w:val="24"/>
          <w:lang w:eastAsia="zh-CN"/>
        </w:rPr>
        <w:t>(3)</w:t>
      </w:r>
      <w:r>
        <w:rPr>
          <w:rFonts w:hint="eastAsia"/>
          <w:sz w:val="24"/>
          <w:szCs w:val="24"/>
          <w:lang w:eastAsia="zh-CN"/>
        </w:rPr>
        <w:t>双方应及时就本次技术服务的有关工作情况进行沟通。</w:t>
      </w:r>
    </w:p>
    <w:p>
      <w:pPr>
        <w:ind w:firstLine="420"/>
        <w:rPr>
          <w:sz w:val="24"/>
          <w:szCs w:val="24"/>
          <w:lang w:eastAsia="zh-CN"/>
        </w:rPr>
      </w:pPr>
      <w:r>
        <w:rPr>
          <w:sz w:val="24"/>
          <w:szCs w:val="24"/>
          <w:lang w:eastAsia="zh-CN"/>
        </w:rPr>
        <w:t>(4)</w:t>
      </w:r>
      <w:r>
        <w:rPr>
          <w:rFonts w:hint="eastAsia"/>
          <w:sz w:val="24"/>
          <w:szCs w:val="24"/>
          <w:lang w:eastAsia="zh-CN"/>
        </w:rPr>
        <w:t>双方分别完成本合同各自工作范围内所有责任及相关工作。</w:t>
      </w:r>
    </w:p>
    <w:p>
      <w:pPr>
        <w:ind w:firstLine="420"/>
        <w:rPr>
          <w:sz w:val="24"/>
          <w:szCs w:val="24"/>
          <w:lang w:eastAsia="zh-CN"/>
        </w:rPr>
      </w:pPr>
      <w:r>
        <w:rPr>
          <w:sz w:val="24"/>
          <w:szCs w:val="24"/>
          <w:lang w:eastAsia="zh-CN"/>
        </w:rPr>
        <w:t>(5)</w:t>
      </w:r>
      <w:r>
        <w:rPr>
          <w:rFonts w:hint="eastAsia"/>
          <w:sz w:val="24"/>
          <w:szCs w:val="24"/>
          <w:lang w:eastAsia="zh-CN"/>
        </w:rPr>
        <w:t>应按合同约定时间向承包方支付技术服务费用。</w:t>
      </w:r>
    </w:p>
    <w:p>
      <w:pPr>
        <w:pStyle w:val="4"/>
        <w:spacing w:line="480" w:lineRule="auto"/>
        <w:rPr>
          <w:lang w:eastAsia="zh-CN"/>
        </w:rPr>
      </w:pPr>
      <w:r>
        <w:rPr>
          <w:rFonts w:hint="eastAsia"/>
          <w:lang w:eastAsia="zh-CN"/>
        </w:rPr>
        <w:t>4.2承包方责任</w:t>
      </w:r>
    </w:p>
    <w:p>
      <w:pPr>
        <w:ind w:firstLine="420"/>
        <w:rPr>
          <w:sz w:val="24"/>
          <w:szCs w:val="24"/>
          <w:lang w:eastAsia="zh-CN"/>
        </w:rPr>
      </w:pPr>
      <w:r>
        <w:rPr>
          <w:sz w:val="24"/>
          <w:szCs w:val="24"/>
          <w:lang w:eastAsia="zh-CN"/>
        </w:rPr>
        <w:t>(1)</w:t>
      </w:r>
      <w:r>
        <w:rPr>
          <w:rFonts w:hint="eastAsia"/>
          <w:sz w:val="24"/>
          <w:szCs w:val="24"/>
          <w:lang w:eastAsia="zh-CN"/>
        </w:rPr>
        <w:t>应以全面、及时的方式履行本协议定义的所有工作。</w:t>
      </w:r>
    </w:p>
    <w:p>
      <w:pPr>
        <w:ind w:firstLine="420"/>
        <w:rPr>
          <w:sz w:val="24"/>
          <w:szCs w:val="24"/>
          <w:lang w:eastAsia="zh-CN"/>
        </w:rPr>
      </w:pPr>
      <w:r>
        <w:rPr>
          <w:sz w:val="24"/>
          <w:szCs w:val="24"/>
          <w:lang w:eastAsia="zh-CN"/>
        </w:rPr>
        <w:t>(2)</w:t>
      </w:r>
      <w:r>
        <w:rPr>
          <w:rFonts w:hint="eastAsia"/>
          <w:sz w:val="24"/>
          <w:szCs w:val="24"/>
          <w:lang w:eastAsia="zh-CN"/>
        </w:rPr>
        <w:t>配备足够的人力物力，以合适的工作方式和安排确保合同按时执行。</w:t>
      </w:r>
    </w:p>
    <w:p>
      <w:pPr>
        <w:ind w:firstLine="420"/>
        <w:rPr>
          <w:sz w:val="24"/>
          <w:szCs w:val="24"/>
          <w:lang w:eastAsia="zh-CN"/>
        </w:rPr>
      </w:pPr>
      <w:r>
        <w:rPr>
          <w:sz w:val="24"/>
          <w:szCs w:val="24"/>
          <w:lang w:eastAsia="zh-CN"/>
        </w:rPr>
        <w:t>(3)</w:t>
      </w:r>
      <w:r>
        <w:rPr>
          <w:rFonts w:hint="eastAsia"/>
          <w:sz w:val="24"/>
          <w:szCs w:val="24"/>
          <w:lang w:eastAsia="zh-CN"/>
        </w:rPr>
        <w:t>双方定期沟通工作进展情况，相互协助以便技术服务工作顺利完成。</w:t>
      </w:r>
    </w:p>
    <w:p>
      <w:pPr>
        <w:ind w:firstLine="420"/>
        <w:rPr>
          <w:sz w:val="24"/>
          <w:szCs w:val="24"/>
          <w:lang w:eastAsia="zh-CN"/>
        </w:rPr>
      </w:pPr>
      <w:r>
        <w:rPr>
          <w:sz w:val="24"/>
          <w:szCs w:val="24"/>
          <w:lang w:eastAsia="zh-CN"/>
        </w:rPr>
        <w:t>(4)</w:t>
      </w:r>
      <w:r>
        <w:rPr>
          <w:rFonts w:hint="eastAsia"/>
          <w:sz w:val="24"/>
          <w:szCs w:val="24"/>
          <w:lang w:eastAsia="zh-CN"/>
        </w:rPr>
        <w:t>按合同规定的内容、时间等要求向发包方交付相应的证明和报告文件，并对范围内的技术服务质量负责。</w:t>
      </w:r>
    </w:p>
    <w:p>
      <w:pPr>
        <w:pStyle w:val="4"/>
        <w:spacing w:line="480" w:lineRule="auto"/>
        <w:rPr>
          <w:lang w:eastAsia="zh-CN"/>
        </w:rPr>
      </w:pPr>
      <w:r>
        <w:rPr>
          <w:rFonts w:hint="eastAsia"/>
          <w:lang w:eastAsia="zh-CN"/>
        </w:rPr>
        <w:t>4.3现场HSE管理</w:t>
      </w:r>
    </w:p>
    <w:p>
      <w:pPr>
        <w:ind w:firstLine="420"/>
        <w:rPr>
          <w:sz w:val="24"/>
          <w:szCs w:val="24"/>
          <w:lang w:eastAsia="zh-CN"/>
        </w:rPr>
      </w:pPr>
      <w:r>
        <w:rPr>
          <w:rFonts w:hint="eastAsia"/>
          <w:sz w:val="24"/>
          <w:szCs w:val="24"/>
          <w:lang w:eastAsia="zh-CN"/>
        </w:rPr>
        <w:t>发包方与承包方必须严格执行相关规程规定，任何人不得违章作业和指挥。承包方进入现场前，应接受发包方的入厂教育和人员的资历核实。并把工作班成员名单及资历申报发包方核准。承包方要严格执行发包方的规章制度，对于违章违纪人员，发包方有权视情节停止其工做直至离厂。发包方必须按规程规定做好承包方进入现场工作前的各项安全组织和技术措施，确保承包方作业安全。</w:t>
      </w:r>
    </w:p>
    <w:p>
      <w:pPr>
        <w:pStyle w:val="25"/>
        <w:numPr>
          <w:ilvl w:val="0"/>
          <w:numId w:val="6"/>
        </w:numPr>
        <w:autoSpaceDE/>
        <w:autoSpaceDN/>
        <w:spacing w:before="0"/>
        <w:ind w:hanging="278"/>
        <w:jc w:val="both"/>
        <w:rPr>
          <w:rFonts w:asciiTheme="minorEastAsia" w:hAnsiTheme="minorEastAsia" w:eastAsiaTheme="minorEastAsia"/>
          <w:sz w:val="24"/>
          <w:szCs w:val="24"/>
        </w:rPr>
      </w:pPr>
      <w:r>
        <w:rPr>
          <w:rFonts w:hint="eastAsia" w:asciiTheme="minorEastAsia" w:hAnsiTheme="minorEastAsia" w:eastAsiaTheme="minorEastAsia"/>
          <w:sz w:val="24"/>
          <w:szCs w:val="24"/>
        </w:rPr>
        <w:t>质量检验及验收</w:t>
      </w:r>
    </w:p>
    <w:p>
      <w:pPr>
        <w:ind w:firstLine="420"/>
        <w:rPr>
          <w:sz w:val="24"/>
          <w:szCs w:val="24"/>
          <w:lang w:eastAsia="zh-CN"/>
        </w:rPr>
      </w:pPr>
      <w:r>
        <w:rPr>
          <w:rFonts w:hint="eastAsia"/>
          <w:sz w:val="24"/>
          <w:szCs w:val="24"/>
          <w:lang w:eastAsia="zh-CN"/>
        </w:rPr>
        <w:t>承包方在工程结束后应按第3节的定义提供给发包方相应的报告，满足发包方的技术要求和验收标准，经双方确认后，视为验收合格。</w:t>
      </w:r>
    </w:p>
    <w:p>
      <w:pPr>
        <w:pStyle w:val="25"/>
        <w:numPr>
          <w:ilvl w:val="0"/>
          <w:numId w:val="6"/>
        </w:numPr>
        <w:autoSpaceDE/>
        <w:autoSpaceDN/>
        <w:spacing w:before="0"/>
        <w:ind w:hanging="278"/>
        <w:jc w:val="both"/>
        <w:rPr>
          <w:rFonts w:asciiTheme="minorEastAsia" w:hAnsiTheme="minorEastAsia" w:eastAsiaTheme="minorEastAsia"/>
          <w:sz w:val="24"/>
          <w:szCs w:val="24"/>
        </w:rPr>
      </w:pPr>
      <w:r>
        <w:rPr>
          <w:rFonts w:hint="eastAsia" w:asciiTheme="minorEastAsia" w:hAnsiTheme="minorEastAsia" w:eastAsiaTheme="minorEastAsia"/>
          <w:sz w:val="24"/>
          <w:szCs w:val="24"/>
        </w:rPr>
        <w:t>其他</w:t>
      </w:r>
    </w:p>
    <w:p>
      <w:pPr>
        <w:ind w:firstLine="420"/>
        <w:rPr>
          <w:sz w:val="24"/>
          <w:szCs w:val="24"/>
          <w:lang w:eastAsia="zh-CN"/>
        </w:rPr>
      </w:pPr>
      <w:r>
        <w:rPr>
          <w:sz w:val="24"/>
          <w:szCs w:val="24"/>
          <w:lang w:eastAsia="zh-CN"/>
        </w:rPr>
        <w:t>(1)</w:t>
      </w:r>
      <w:r>
        <w:rPr>
          <w:rFonts w:hint="eastAsia"/>
          <w:sz w:val="24"/>
          <w:szCs w:val="24"/>
          <w:lang w:eastAsia="zh-CN"/>
        </w:rPr>
        <w:t>其他未尽事宜由双方协商定。</w:t>
      </w:r>
    </w:p>
    <w:p>
      <w:pPr>
        <w:ind w:firstLine="420"/>
        <w:rPr>
          <w:sz w:val="24"/>
          <w:szCs w:val="24"/>
          <w:lang w:eastAsia="zh-CN"/>
        </w:rPr>
      </w:pPr>
      <w:r>
        <w:rPr>
          <w:sz w:val="24"/>
          <w:szCs w:val="24"/>
          <w:lang w:eastAsia="zh-CN"/>
        </w:rPr>
        <w:t>(2)</w:t>
      </w:r>
      <w:r>
        <w:rPr>
          <w:rFonts w:hint="eastAsia"/>
          <w:sz w:val="24"/>
          <w:szCs w:val="24"/>
          <w:lang w:eastAsia="zh-CN"/>
        </w:rPr>
        <w:t>本技术协议作为合同的附件，随合同一并生效，具有同等效力。</w:t>
      </w:r>
    </w:p>
    <w:p>
      <w:pPr>
        <w:ind w:firstLine="420"/>
        <w:rPr>
          <w:sz w:val="24"/>
          <w:szCs w:val="24"/>
          <w:lang w:eastAsia="zh-CN"/>
        </w:rPr>
      </w:pPr>
      <w:r>
        <w:rPr>
          <w:rFonts w:hint="eastAsia"/>
          <w:sz w:val="24"/>
          <w:szCs w:val="24"/>
          <w:lang w:eastAsia="zh-CN"/>
        </w:rPr>
        <w:t>(</w:t>
      </w:r>
      <w:r>
        <w:rPr>
          <w:sz w:val="24"/>
          <w:szCs w:val="24"/>
          <w:lang w:eastAsia="zh-CN"/>
        </w:rPr>
        <w:t>3)</w:t>
      </w:r>
      <w:r>
        <w:rPr>
          <w:rFonts w:hint="eastAsia"/>
          <w:sz w:val="24"/>
          <w:szCs w:val="24"/>
          <w:lang w:eastAsia="zh-CN"/>
        </w:rPr>
        <w:t>本协议一式两份，由双方共同签署。</w:t>
      </w:r>
    </w:p>
    <w:p>
      <w:pPr>
        <w:rPr>
          <w:sz w:val="24"/>
          <w:szCs w:val="24"/>
        </w:rPr>
      </w:pPr>
      <w:r>
        <w:rPr>
          <w:rFonts w:hint="eastAsia"/>
          <w:sz w:val="24"/>
          <w:szCs w:val="24"/>
        </w:rPr>
        <w:t>7.附件：</w:t>
      </w:r>
    </w:p>
    <w:p>
      <w:pPr>
        <w:pStyle w:val="25"/>
        <w:numPr>
          <w:ilvl w:val="0"/>
          <w:numId w:val="7"/>
        </w:numPr>
        <w:autoSpaceDE/>
        <w:autoSpaceDN/>
        <w:spacing w:before="0"/>
        <w:jc w:val="both"/>
        <w:rPr>
          <w:sz w:val="24"/>
          <w:szCs w:val="24"/>
        </w:rPr>
      </w:pPr>
      <w:r>
        <w:rPr>
          <w:rFonts w:hint="eastAsia"/>
          <w:sz w:val="24"/>
          <w:szCs w:val="24"/>
        </w:rPr>
        <w:t>全厂电气一次主接线图</w:t>
      </w:r>
    </w:p>
    <w:p>
      <w:pPr>
        <w:pStyle w:val="25"/>
        <w:numPr>
          <w:ilvl w:val="0"/>
          <w:numId w:val="7"/>
        </w:numPr>
        <w:autoSpaceDE/>
        <w:autoSpaceDN/>
        <w:spacing w:before="0"/>
        <w:jc w:val="both"/>
        <w:rPr>
          <w:sz w:val="24"/>
          <w:szCs w:val="24"/>
        </w:rPr>
      </w:pPr>
      <w:r>
        <w:rPr>
          <w:rFonts w:hint="eastAsia"/>
          <w:sz w:val="24"/>
          <w:szCs w:val="24"/>
        </w:rPr>
        <w:t>全厂总平图</w:t>
      </w:r>
    </w:p>
    <w:p>
      <w:pPr>
        <w:rPr>
          <w:sz w:val="24"/>
          <w:szCs w:val="24"/>
        </w:rPr>
      </w:pPr>
    </w:p>
    <w:p>
      <w:pPr>
        <w:pStyle w:val="2"/>
        <w:rPr>
          <w:b/>
          <w:bCs/>
          <w:sz w:val="28"/>
          <w:szCs w:val="28"/>
        </w:rPr>
      </w:pPr>
    </w:p>
    <w:p>
      <w:pPr>
        <w:pStyle w:val="2"/>
        <w:rPr>
          <w:b/>
          <w:bCs/>
          <w:sz w:val="28"/>
          <w:szCs w:val="28"/>
        </w:rPr>
      </w:pPr>
      <w:r>
        <w:rPr>
          <w:rFonts w:hint="eastAsia"/>
          <w:b/>
          <w:bCs/>
          <w:sz w:val="28"/>
          <w:szCs w:val="28"/>
        </w:rPr>
        <w:t>附件二参选文件范本</w:t>
      </w:r>
    </w:p>
    <w:p>
      <w:pPr>
        <w:pStyle w:val="10"/>
        <w:jc w:val="center"/>
        <w:rPr>
          <w:rFonts w:ascii="Times New Roman" w:hAnsi="Times New Roman"/>
          <w:b/>
          <w:sz w:val="52"/>
          <w:szCs w:val="52"/>
          <w:lang w:eastAsia="zh-CN"/>
        </w:rPr>
      </w:pPr>
    </w:p>
    <w:p>
      <w:pPr>
        <w:pStyle w:val="10"/>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spacing w:before="38"/>
        <w:ind w:left="172"/>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 xml:space="preserve"> </w:t>
      </w:r>
      <w:r>
        <w:rPr>
          <w:rFonts w:ascii="方正小标宋简体" w:hAnsi="方正小标宋简体" w:eastAsia="方正小标宋简体" w:cs="方正小标宋简体"/>
          <w:b/>
          <w:sz w:val="44"/>
          <w:szCs w:val="44"/>
          <w:lang w:eastAsia="zh-CN"/>
        </w:rPr>
        <w:t xml:space="preserve"> </w:t>
      </w:r>
      <w:r>
        <w:rPr>
          <w:rFonts w:hint="eastAsia" w:ascii="方正小标宋简体" w:hAnsi="方正小标宋简体" w:eastAsia="方正小标宋简体" w:cs="方正小标宋简体"/>
          <w:b/>
          <w:sz w:val="44"/>
          <w:szCs w:val="44"/>
          <w:lang w:eastAsia="zh-CN"/>
        </w:rPr>
        <w:t>全厂电力系统安全稳定评估项目</w:t>
      </w:r>
    </w:p>
    <w:p>
      <w:pPr>
        <w:spacing w:before="38"/>
        <w:ind w:left="172"/>
        <w:jc w:val="center"/>
        <w:rPr>
          <w:rFonts w:ascii="微软雅黑" w:eastAsia="微软雅黑"/>
          <w:b/>
          <w:sz w:val="52"/>
          <w:lang w:eastAsia="zh-CN"/>
        </w:rPr>
      </w:pP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0"/>
        <w:rPr>
          <w:rFonts w:ascii="Times New Roman" w:hAnsi="Times New Roman"/>
          <w:lang w:eastAsia="zh-CN"/>
        </w:rPr>
      </w:pPr>
    </w:p>
    <w:p>
      <w:pPr>
        <w:pStyle w:val="10"/>
        <w:rPr>
          <w:rFonts w:ascii="Times New Roman" w:hAnsi="Times New Roman"/>
          <w:lang w:eastAsia="zh-CN"/>
        </w:rPr>
      </w:pPr>
    </w:p>
    <w:p>
      <w:pPr>
        <w:pStyle w:val="10"/>
        <w:rPr>
          <w:rFonts w:ascii="Times New Roman" w:hAnsi="Times New Roman"/>
          <w:b/>
          <w:bCs/>
          <w:sz w:val="32"/>
          <w:szCs w:val="32"/>
          <w:lang w:eastAsia="zh-CN"/>
        </w:rPr>
      </w:pPr>
    </w:p>
    <w:p>
      <w:pPr>
        <w:pStyle w:val="10"/>
        <w:rPr>
          <w:rFonts w:ascii="Times New Roman" w:hAnsi="Times New Roman"/>
          <w:b/>
          <w:bCs/>
          <w:sz w:val="32"/>
          <w:szCs w:val="32"/>
          <w:lang w:eastAsia="zh-CN"/>
        </w:rPr>
      </w:pPr>
    </w:p>
    <w:p>
      <w:pPr>
        <w:pStyle w:val="10"/>
        <w:rPr>
          <w:rFonts w:ascii="Times New Roman" w:hAnsi="Times New Roman"/>
          <w:b/>
          <w:bCs/>
          <w:sz w:val="32"/>
          <w:szCs w:val="32"/>
          <w:lang w:eastAsia="zh-CN"/>
        </w:rPr>
      </w:pPr>
    </w:p>
    <w:p>
      <w:pPr>
        <w:pStyle w:val="10"/>
        <w:rPr>
          <w:rFonts w:ascii="Times New Roman" w:hAnsi="Times New Roman"/>
          <w:b/>
          <w:bCs/>
          <w:sz w:val="32"/>
          <w:szCs w:val="36"/>
          <w:lang w:eastAsia="zh-CN"/>
        </w:rPr>
      </w:pPr>
    </w:p>
    <w:p>
      <w:pPr>
        <w:pStyle w:val="10"/>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p>
    <w:p>
      <w:pPr>
        <w:pStyle w:val="10"/>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2021 </w:t>
      </w:r>
      <w:r>
        <w:rPr>
          <w:rFonts w:ascii="Times New Roman" w:hAnsi="Times New Roman"/>
          <w:b/>
          <w:bCs/>
          <w:w w:val="95"/>
          <w:sz w:val="32"/>
          <w:lang w:eastAsia="zh-CN"/>
        </w:rPr>
        <w:t>年</w:t>
      </w:r>
      <w:r>
        <w:rPr>
          <w:rFonts w:hint="eastAsia" w:ascii="Times New Roman" w:hAnsi="Times New Roman"/>
          <w:b/>
          <w:bCs/>
          <w:w w:val="95"/>
          <w:sz w:val="32"/>
          <w:lang w:eastAsia="zh-CN"/>
        </w:rPr>
        <w:t>06</w:t>
      </w:r>
      <w:r>
        <w:rPr>
          <w:rFonts w:ascii="Times New Roman" w:hAnsi="Times New Roman"/>
          <w:b/>
          <w:bCs/>
          <w:w w:val="95"/>
          <w:sz w:val="32"/>
          <w:lang w:eastAsia="zh-CN"/>
        </w:rPr>
        <w:t>月</w:t>
      </w:r>
    </w:p>
    <w:p>
      <w:pPr>
        <w:rPr>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pPr>
    </w:p>
    <w:p>
      <w:pPr>
        <w:pStyle w:val="2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1．参选人应按规定，向比选人递交参选文件，正本一份、副本一份，当正本与副本有不一致时，以正本为准。</w:t>
      </w:r>
    </w:p>
    <w:p>
      <w:pPr>
        <w:pStyle w:val="2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纸胶装、平装。所有参选文件应增加统一外层包封。</w:t>
      </w:r>
    </w:p>
    <w:p>
      <w:pPr>
        <w:pStyle w:val="2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3.提交参选文件时提供两个包装，商务参选文件（报价单）一个包装、技术参选文件一个包装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w:t>
      </w:r>
    </w:p>
    <w:p>
      <w:pPr>
        <w:pStyle w:val="2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4.凡因参选文件不按规定填写，或填写不清晰、不完整、或密封不合要求而引起的一切后果，由参选人自行负责。</w:t>
      </w:r>
    </w:p>
    <w:p>
      <w:pPr>
        <w:pStyle w:val="2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5.参选文件正本必须逐页或骑缝加盖参选人公章或由法人代表或法人代表授权人逐页签字方视为有效，同时应注明提交日期，否则视为废标。</w:t>
      </w:r>
    </w:p>
    <w:p>
      <w:pPr>
        <w:pStyle w:val="2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pPr>
        <w:rPr>
          <w:sz w:val="24"/>
          <w:szCs w:val="24"/>
          <w:lang w:eastAsia="zh-CN"/>
        </w:rPr>
      </w:pPr>
      <w:r>
        <w:rPr>
          <w:rFonts w:ascii="Calibri"/>
          <w:sz w:val="24"/>
          <w:szCs w:val="24"/>
        </w:rPr>
        <w:pict>
          <v:shape id="_x0000_s1026" o:spid="_x0000_s1026" o:spt="202" type="#_x0000_t202" style="position:absolute;left:0pt;margin-left:5.25pt;margin-top:0.5pt;height:119.1pt;width:363.2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 w:val="24"/>
          <w:szCs w:val="24"/>
          <w:lang w:eastAsia="zh-CN"/>
        </w:rPr>
      </w:pPr>
    </w:p>
    <w:p>
      <w:pPr>
        <w:rPr>
          <w:sz w:val="24"/>
          <w:szCs w:val="24"/>
          <w:lang w:eastAsia="zh-CN"/>
        </w:rPr>
      </w:pPr>
    </w:p>
    <w:p>
      <w:pPr>
        <w:rPr>
          <w:sz w:val="24"/>
          <w:szCs w:val="24"/>
          <w:lang w:eastAsia="zh-CN"/>
        </w:rPr>
      </w:pPr>
    </w:p>
    <w:p>
      <w:pPr>
        <w:rPr>
          <w:sz w:val="24"/>
          <w:szCs w:val="24"/>
          <w:lang w:eastAsia="zh-CN"/>
        </w:rPr>
      </w:pPr>
    </w:p>
    <w:p>
      <w:pPr>
        <w:rPr>
          <w:sz w:val="24"/>
          <w:szCs w:val="24"/>
          <w:lang w:eastAsia="zh-CN"/>
        </w:rPr>
      </w:pPr>
    </w:p>
    <w:p>
      <w:pPr>
        <w:pStyle w:val="27"/>
        <w:spacing w:beforeLines="0" w:afterLines="0" w:line="240" w:lineRule="auto"/>
        <w:ind w:firstLine="530" w:firstLineChars="221"/>
        <w:rPr>
          <w:rFonts w:cs="Times New Roman"/>
          <w:bCs w:val="0"/>
          <w:color w:val="C00000"/>
          <w:sz w:val="24"/>
          <w:szCs w:val="24"/>
          <w:lang w:eastAsia="zh-CN"/>
        </w:rPr>
      </w:pPr>
    </w:p>
    <w:p>
      <w:pPr>
        <w:pStyle w:val="27"/>
        <w:spacing w:beforeLines="0" w:afterLines="0" w:line="240" w:lineRule="auto"/>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7、以下文件中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字体部分，请各参选单位根据实际情况填写后，修改为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pPr>
        <w:pStyle w:val="27"/>
        <w:spacing w:beforeLines="0" w:afterLines="0" w:line="240" w:lineRule="auto"/>
        <w:ind w:firstLine="530" w:firstLineChars="221"/>
        <w:rPr>
          <w:rFonts w:cs="Times New Roman"/>
          <w:b/>
          <w:color w:val="C00000"/>
          <w:lang w:eastAsia="zh-CN"/>
        </w:rPr>
      </w:pPr>
      <w:r>
        <w:rPr>
          <w:rFonts w:hint="eastAsia" w:cs="Times New Roman"/>
          <w:color w:val="C00000"/>
          <w:sz w:val="24"/>
          <w:szCs w:val="24"/>
          <w:lang w:eastAsia="zh-CN"/>
        </w:rPr>
        <w:t>8、以下文件中红色字体部分，打印时请删除。</w:t>
      </w:r>
    </w:p>
    <w:p>
      <w:pPr>
        <w:spacing w:line="1000" w:lineRule="exact"/>
        <w:jc w:val="center"/>
        <w:rPr>
          <w:b/>
          <w:sz w:val="44"/>
          <w:szCs w:val="44"/>
          <w:lang w:eastAsia="zh-CN"/>
        </w:rPr>
      </w:pPr>
    </w:p>
    <w:p>
      <w:pPr>
        <w:widowControl/>
        <w:autoSpaceDE/>
        <w:autoSpaceDN/>
        <w:rPr>
          <w:b/>
          <w:sz w:val="44"/>
          <w:szCs w:val="44"/>
          <w:lang w:eastAsia="zh-CN"/>
        </w:rPr>
      </w:pPr>
      <w:r>
        <w:rPr>
          <w:b/>
          <w:sz w:val="44"/>
          <w:szCs w:val="44"/>
          <w:lang w:eastAsia="zh-CN"/>
        </w:rPr>
        <w:br w:type="page"/>
      </w:r>
    </w:p>
    <w:p>
      <w:pPr>
        <w:pStyle w:val="2"/>
        <w:rPr>
          <w:sz w:val="24"/>
          <w:szCs w:val="24"/>
        </w:rPr>
      </w:pPr>
      <w:r>
        <w:rPr>
          <w:rFonts w:hint="eastAsia"/>
          <w:sz w:val="24"/>
          <w:szCs w:val="24"/>
        </w:rPr>
        <w:t>附件1、</w:t>
      </w:r>
    </w:p>
    <w:p>
      <w:pPr>
        <w:pStyle w:val="10"/>
        <w:jc w:val="center"/>
        <w:rPr>
          <w:rFonts w:ascii="Times New Roman" w:hAnsi="Times New Roman"/>
          <w:b/>
          <w:sz w:val="52"/>
          <w:szCs w:val="52"/>
          <w:lang w:eastAsia="zh-CN"/>
        </w:rPr>
      </w:pPr>
    </w:p>
    <w:p>
      <w:pPr>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资质证书、拟投入本项目的人员信息、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w:t>
      </w:r>
    </w:p>
    <w:p>
      <w:pPr>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kern w:val="59"/>
          <w:sz w:val="24"/>
          <w:szCs w:val="24"/>
          <w:u w:val="single"/>
          <w:lang w:eastAsia="zh-CN"/>
        </w:rPr>
        <w:t>全厂电力系统安全稳定评估</w:t>
      </w:r>
      <w:r>
        <w:rPr>
          <w:rFonts w:hint="eastAsia"/>
          <w:sz w:val="24"/>
          <w:lang w:eastAsia="zh-CN"/>
        </w:rPr>
        <w:t>项目公开自主比选，以本公司名义参与报价、合同执行并处理与之有关的其他事务，相关责任及后果由本公司承担。</w:t>
      </w:r>
    </w:p>
    <w:p>
      <w:pPr>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ind w:firstLine="480" w:firstLineChars="200"/>
        <w:rPr>
          <w:sz w:val="24"/>
          <w:szCs w:val="24"/>
          <w:lang w:eastAsia="zh-CN"/>
        </w:rPr>
      </w:pPr>
      <w:r>
        <w:rPr>
          <w:rFonts w:hint="eastAsia"/>
          <w:sz w:val="24"/>
          <w:szCs w:val="24"/>
          <w:lang w:eastAsia="zh-CN"/>
        </w:rPr>
        <w:t>代理人无转委托权，特此委托。</w:t>
      </w:r>
    </w:p>
    <w:p>
      <w:pPr>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rPr>
                <w:color w:val="000000"/>
                <w:szCs w:val="21"/>
                <w:lang w:eastAsia="zh-CN"/>
              </w:rPr>
            </w:pPr>
          </w:p>
          <w:p>
            <w:pPr>
              <w:jc w:val="center"/>
              <w:rPr>
                <w:color w:val="000000"/>
                <w:szCs w:val="21"/>
              </w:rPr>
            </w:pPr>
            <w:r>
              <w:rPr>
                <w:rFonts w:hint="eastAsia"/>
                <w:color w:val="000000"/>
                <w:szCs w:val="21"/>
              </w:rPr>
              <w:t>（正面）</w:t>
            </w:r>
          </w:p>
          <w:p>
            <w:pPr>
              <w:rPr>
                <w:color w:val="000000"/>
                <w:szCs w:val="21"/>
                <w:lang w:eastAsia="zh-CN"/>
              </w:rPr>
            </w:pPr>
          </w:p>
        </w:tc>
        <w:tc>
          <w:tcPr>
            <w:tcW w:w="4643" w:type="dxa"/>
          </w:tcPr>
          <w:p>
            <w:pPr>
              <w:rPr>
                <w:color w:val="000000"/>
                <w:szCs w:val="21"/>
                <w:lang w:eastAsia="zh-CN"/>
              </w:rPr>
            </w:pPr>
          </w:p>
          <w:p>
            <w:pPr>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ind w:firstLine="480" w:firstLineChars="200"/>
        <w:rPr>
          <w:color w:val="000000"/>
          <w:sz w:val="24"/>
          <w:szCs w:val="24"/>
          <w:lang w:eastAsia="zh-CN"/>
        </w:rPr>
      </w:pPr>
    </w:p>
    <w:p>
      <w:pPr>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ind w:firstLine="480" w:firstLineChars="200"/>
        <w:rPr>
          <w:color w:val="000000"/>
          <w:sz w:val="24"/>
          <w:szCs w:val="24"/>
          <w:lang w:eastAsia="zh-CN"/>
        </w:rPr>
      </w:pPr>
      <w:r>
        <w:rPr>
          <w:rFonts w:hint="eastAsia"/>
          <w:color w:val="000000"/>
          <w:sz w:val="24"/>
          <w:szCs w:val="24"/>
          <w:lang w:eastAsia="zh-CN"/>
        </w:rPr>
        <w:t>附：代理人身份证明</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rPr>
                <w:color w:val="000000"/>
                <w:szCs w:val="21"/>
                <w:lang w:eastAsia="zh-CN"/>
              </w:rPr>
            </w:pPr>
          </w:p>
          <w:p>
            <w:pPr>
              <w:jc w:val="center"/>
              <w:rPr>
                <w:color w:val="000000"/>
                <w:szCs w:val="21"/>
              </w:rPr>
            </w:pPr>
            <w:r>
              <w:rPr>
                <w:rFonts w:hint="eastAsia"/>
                <w:color w:val="000000"/>
                <w:szCs w:val="21"/>
              </w:rPr>
              <w:t>（正面）</w:t>
            </w:r>
          </w:p>
          <w:p>
            <w:pPr>
              <w:rPr>
                <w:color w:val="000000"/>
                <w:szCs w:val="21"/>
                <w:lang w:eastAsia="zh-CN"/>
              </w:rPr>
            </w:pPr>
          </w:p>
        </w:tc>
        <w:tc>
          <w:tcPr>
            <w:tcW w:w="4643" w:type="dxa"/>
          </w:tcPr>
          <w:p>
            <w:pPr>
              <w:rPr>
                <w:color w:val="000000"/>
                <w:szCs w:val="21"/>
                <w:lang w:eastAsia="zh-CN"/>
              </w:rPr>
            </w:pPr>
          </w:p>
          <w:p>
            <w:pPr>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2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kern w:val="59"/>
          <w:sz w:val="24"/>
          <w:szCs w:val="24"/>
          <w:u w:val="single"/>
          <w:lang w:eastAsia="zh-CN"/>
        </w:rPr>
        <w:t>全厂电力系统安全稳定评估</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7"/>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参选报价单</w:t>
      </w:r>
    </w:p>
    <w:p>
      <w:pPr>
        <w:pStyle w:val="27"/>
        <w:spacing w:beforeLines="0" w:afterLines="0" w:line="240" w:lineRule="auto"/>
        <w:ind w:firstLine="413" w:firstLineChars="147"/>
        <w:rPr>
          <w:rFonts w:ascii="Times New Roman" w:hAnsi="Times New Roman" w:cs="Times New Roman"/>
          <w:b/>
          <w:lang w:eastAsia="zh-CN"/>
        </w:rPr>
      </w:pPr>
      <w:r>
        <w:rPr>
          <w:rFonts w:hint="eastAsia" w:ascii="Times New Roman" w:hAnsi="Times New Roman" w:cs="Times New Roman"/>
          <w:b/>
          <w:color w:val="FF0000"/>
          <w:lang w:eastAsia="zh-CN"/>
        </w:rPr>
        <w:t>（注：本报价单需单独密封）</w:t>
      </w:r>
    </w:p>
    <w:p>
      <w:pPr>
        <w:ind w:firstLine="1970" w:firstLineChars="545"/>
        <w:rPr>
          <w:b/>
          <w:bCs/>
          <w:sz w:val="36"/>
          <w:lang w:eastAsia="zh-CN"/>
        </w:rPr>
      </w:pPr>
      <w:r>
        <w:rPr>
          <w:rFonts w:hint="eastAsia"/>
          <w:b/>
          <w:bCs/>
          <w:sz w:val="36"/>
          <w:lang w:eastAsia="zh-CN"/>
        </w:rPr>
        <w:t xml:space="preserve">   报  价  单</w:t>
      </w:r>
    </w:p>
    <w:p>
      <w:pPr>
        <w:ind w:firstLine="480" w:firstLineChars="200"/>
        <w:rPr>
          <w:sz w:val="24"/>
          <w:szCs w:val="24"/>
          <w:u w:val="single"/>
          <w:lang w:eastAsia="zh-CN"/>
        </w:rPr>
      </w:pPr>
      <w:r>
        <w:rPr>
          <w:rFonts w:hint="eastAsia"/>
          <w:sz w:val="24"/>
          <w:szCs w:val="24"/>
          <w:lang w:eastAsia="zh-CN"/>
        </w:rPr>
        <w:t>参选单位：</w:t>
      </w:r>
      <w:r>
        <w:rPr>
          <w:sz w:val="24"/>
          <w:szCs w:val="24"/>
          <w:lang w:eastAsia="zh-CN"/>
        </w:rPr>
        <w:t xml:space="preserve"> ____________________</w:t>
      </w:r>
    </w:p>
    <w:p>
      <w:pPr>
        <w:ind w:firstLine="480" w:firstLineChars="200"/>
        <w:rPr>
          <w:sz w:val="24"/>
          <w:szCs w:val="24"/>
          <w:u w:val="single"/>
          <w:lang w:eastAsia="zh-CN"/>
        </w:rPr>
      </w:pPr>
      <w:r>
        <w:rPr>
          <w:rFonts w:hint="eastAsia"/>
          <w:sz w:val="24"/>
          <w:szCs w:val="24"/>
          <w:lang w:eastAsia="zh-CN"/>
        </w:rPr>
        <w:t>项目名称：</w:t>
      </w:r>
      <w:r>
        <w:rPr>
          <w:rFonts w:hint="eastAsia"/>
          <w:sz w:val="24"/>
          <w:szCs w:val="24"/>
          <w:u w:val="single"/>
          <w:lang w:eastAsia="zh-CN"/>
        </w:rPr>
        <w:t>全厂电力系统安全稳定评估</w:t>
      </w:r>
      <w:r>
        <w:rPr>
          <w:rFonts w:hint="eastAsia" w:asciiTheme="majorEastAsia" w:hAnsiTheme="majorEastAsia" w:eastAsiaTheme="majorEastAsia"/>
          <w:sz w:val="24"/>
          <w:szCs w:val="24"/>
          <w:u w:val="single"/>
          <w:lang w:eastAsia="zh-CN"/>
        </w:rPr>
        <w:t>项目</w:t>
      </w:r>
    </w:p>
    <w:p>
      <w:pPr>
        <w:ind w:firstLine="480" w:firstLineChars="200"/>
        <w:rPr>
          <w:sz w:val="24"/>
          <w:szCs w:val="24"/>
          <w:lang w:eastAsia="zh-CN"/>
        </w:rPr>
      </w:pPr>
      <w:r>
        <w:rPr>
          <w:rFonts w:hint="eastAsia"/>
          <w:sz w:val="24"/>
          <w:szCs w:val="24"/>
          <w:lang w:eastAsia="zh-CN"/>
        </w:rPr>
        <w:t>参选报价：</w:t>
      </w:r>
    </w:p>
    <w:p>
      <w:pPr>
        <w:ind w:firstLine="1320" w:firstLineChars="550"/>
        <w:rPr>
          <w:b/>
          <w:color w:val="00B050"/>
          <w:sz w:val="24"/>
          <w:szCs w:val="24"/>
          <w:u w:val="single"/>
          <w:lang w:eastAsia="zh-CN"/>
        </w:rPr>
      </w:pPr>
      <w:r>
        <w:rPr>
          <w:rFonts w:hint="eastAsia"/>
          <w:sz w:val="24"/>
          <w:szCs w:val="24"/>
          <w:lang w:eastAsia="zh-CN"/>
        </w:rPr>
        <w:t xml:space="preserve">报价: </w:t>
      </w:r>
      <w:r>
        <w:rPr>
          <w:rFonts w:hint="eastAsia"/>
          <w:sz w:val="24"/>
          <w:szCs w:val="24"/>
          <w:u w:val="single"/>
          <w:lang w:eastAsia="zh-CN"/>
        </w:rPr>
        <w:t xml:space="preserve">         </w:t>
      </w:r>
      <w:r>
        <w:rPr>
          <w:rFonts w:hint="eastAsia"/>
          <w:sz w:val="24"/>
          <w:szCs w:val="24"/>
          <w:lang w:eastAsia="zh-CN"/>
        </w:rPr>
        <w:t>元 （分项价格详见附表）</w:t>
      </w:r>
    </w:p>
    <w:p>
      <w:pPr>
        <w:pStyle w:val="2"/>
        <w:spacing w:line="360" w:lineRule="auto"/>
        <w:rPr>
          <w:sz w:val="24"/>
          <w:szCs w:val="24"/>
        </w:rPr>
      </w:pPr>
      <w:r>
        <w:rPr>
          <w:rFonts w:hint="eastAsia"/>
          <w:sz w:val="24"/>
          <w:szCs w:val="24"/>
        </w:rPr>
        <w:t xml:space="preserve">      注： 1、价格为含税价，税率：</w:t>
      </w:r>
      <w:r>
        <w:rPr>
          <w:rFonts w:hint="eastAsia"/>
          <w:sz w:val="24"/>
          <w:szCs w:val="24"/>
          <w:u w:val="single"/>
        </w:rPr>
        <w:t xml:space="preserve">  6  %  </w:t>
      </w:r>
      <w:r>
        <w:rPr>
          <w:rFonts w:hint="eastAsia"/>
          <w:sz w:val="24"/>
          <w:szCs w:val="24"/>
        </w:rPr>
        <w:t xml:space="preserve"> ；</w:t>
      </w:r>
    </w:p>
    <w:p>
      <w:pPr>
        <w:pStyle w:val="10"/>
        <w:rPr>
          <w:sz w:val="24"/>
          <w:szCs w:val="24"/>
          <w:lang w:eastAsia="zh-CN"/>
        </w:rPr>
      </w:pPr>
      <w:r>
        <w:rPr>
          <w:rFonts w:hint="eastAsia"/>
          <w:sz w:val="24"/>
          <w:szCs w:val="24"/>
          <w:lang w:eastAsia="zh-CN"/>
        </w:rPr>
        <w:t xml:space="preserve">           2、付款方式：按照比选文件中要求执行</w:t>
      </w:r>
    </w:p>
    <w:p>
      <w:pPr>
        <w:pStyle w:val="2"/>
        <w:spacing w:line="360" w:lineRule="auto"/>
        <w:rPr>
          <w:sz w:val="24"/>
          <w:szCs w:val="24"/>
          <w:u w:val="single"/>
        </w:rPr>
      </w:pPr>
      <w:r>
        <w:rPr>
          <w:rFonts w:hint="eastAsia"/>
          <w:sz w:val="24"/>
          <w:szCs w:val="24"/>
        </w:rPr>
        <w:t xml:space="preserve">           3、服务期限：</w:t>
      </w:r>
      <w:r>
        <w:rPr>
          <w:rFonts w:hint="eastAsia"/>
          <w:sz w:val="24"/>
          <w:szCs w:val="24"/>
          <w:u w:val="single"/>
        </w:rPr>
        <w:t xml:space="preserve">  90天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2"/>
        <w:spacing w:line="360" w:lineRule="auto"/>
        <w:ind w:firstLine="451" w:firstLineChars="188"/>
        <w:jc w:val="center"/>
        <w:rPr>
          <w:rFonts w:hAnsi="宋体" w:cs="宋体"/>
          <w:kern w:val="2"/>
          <w:sz w:val="24"/>
          <w:szCs w:val="24"/>
        </w:rPr>
      </w:pPr>
    </w:p>
    <w:p>
      <w:pPr>
        <w:pStyle w:val="2"/>
        <w:spacing w:line="360" w:lineRule="auto"/>
        <w:ind w:firstLine="451" w:firstLineChars="188"/>
        <w:jc w:val="center"/>
        <w:rPr>
          <w:rFonts w:hAnsi="宋体" w:cs="宋体"/>
          <w:kern w:val="2"/>
          <w:sz w:val="24"/>
          <w:szCs w:val="24"/>
        </w:rPr>
      </w:pPr>
      <w:r>
        <w:rPr>
          <w:rFonts w:hint="eastAsia" w:hAnsi="宋体" w:cs="宋体"/>
          <w:kern w:val="2"/>
          <w:sz w:val="24"/>
          <w:szCs w:val="24"/>
        </w:rPr>
        <w:t>参选人：</w:t>
      </w:r>
      <w:r>
        <w:rPr>
          <w:rFonts w:hint="eastAsia" w:hAnsi="宋体" w:cs="宋体"/>
          <w:color w:val="00B050"/>
          <w:kern w:val="2"/>
          <w:sz w:val="24"/>
          <w:szCs w:val="24"/>
        </w:rPr>
        <w:t>（盖单位公章）</w:t>
      </w:r>
    </w:p>
    <w:p>
      <w:pPr>
        <w:pStyle w:val="2"/>
        <w:spacing w:line="360" w:lineRule="auto"/>
        <w:ind w:firstLine="451" w:firstLineChars="188"/>
        <w:jc w:val="center"/>
        <w:rPr>
          <w:rFonts w:hAnsi="宋体" w:cs="宋体"/>
          <w:kern w:val="2"/>
          <w:sz w:val="24"/>
          <w:szCs w:val="24"/>
        </w:rPr>
      </w:pPr>
      <w:r>
        <w:rPr>
          <w:rFonts w:hint="eastAsia" w:hAnsi="宋体" w:cs="宋体"/>
          <w:kern w:val="2"/>
          <w:sz w:val="24"/>
          <w:szCs w:val="24"/>
        </w:rPr>
        <w:t>年  月  日</w:t>
      </w:r>
      <w:bookmarkEnd w:id="9"/>
    </w:p>
    <w:p>
      <w:pPr>
        <w:pStyle w:val="2"/>
        <w:spacing w:line="360" w:lineRule="auto"/>
        <w:ind w:firstLine="451" w:firstLineChars="188"/>
        <w:jc w:val="center"/>
        <w:rPr>
          <w:rFonts w:hAnsi="宋体" w:cs="宋体"/>
          <w:kern w:val="2"/>
          <w:sz w:val="24"/>
          <w:szCs w:val="24"/>
        </w:rPr>
      </w:pPr>
    </w:p>
    <w:p>
      <w:pPr>
        <w:pStyle w:val="2"/>
        <w:spacing w:line="360" w:lineRule="auto"/>
        <w:jc w:val="left"/>
        <w:rPr>
          <w:rFonts w:hAnsi="宋体" w:cs="宋体"/>
          <w:kern w:val="2"/>
          <w:sz w:val="24"/>
          <w:szCs w:val="24"/>
        </w:rPr>
      </w:pPr>
      <w:r>
        <w:rPr>
          <w:rFonts w:hint="eastAsia" w:hAnsi="宋体" w:cs="宋体"/>
          <w:kern w:val="2"/>
          <w:sz w:val="24"/>
          <w:szCs w:val="24"/>
        </w:rPr>
        <w:t>附表：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5245"/>
        <w:gridCol w:w="1701"/>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spacing w:line="360" w:lineRule="auto"/>
              <w:jc w:val="center"/>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序号</w:t>
            </w:r>
          </w:p>
        </w:tc>
        <w:tc>
          <w:tcPr>
            <w:tcW w:w="5245" w:type="dxa"/>
            <w:vAlign w:val="center"/>
          </w:tcPr>
          <w:p>
            <w:pPr>
              <w:pStyle w:val="2"/>
              <w:spacing w:line="360" w:lineRule="auto"/>
              <w:jc w:val="center"/>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名称</w:t>
            </w:r>
          </w:p>
        </w:tc>
        <w:tc>
          <w:tcPr>
            <w:tcW w:w="1701" w:type="dxa"/>
            <w:vAlign w:val="center"/>
          </w:tcPr>
          <w:p>
            <w:pPr>
              <w:pStyle w:val="2"/>
              <w:spacing w:line="360" w:lineRule="auto"/>
              <w:jc w:val="center"/>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价格（元）</w:t>
            </w:r>
          </w:p>
        </w:tc>
        <w:tc>
          <w:tcPr>
            <w:tcW w:w="1145" w:type="dxa"/>
            <w:vAlign w:val="center"/>
          </w:tcPr>
          <w:p>
            <w:pPr>
              <w:pStyle w:val="2"/>
              <w:spacing w:line="360" w:lineRule="auto"/>
              <w:jc w:val="center"/>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spacing w:line="360" w:lineRule="auto"/>
              <w:jc w:val="center"/>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1</w:t>
            </w:r>
          </w:p>
        </w:tc>
        <w:tc>
          <w:tcPr>
            <w:tcW w:w="5245" w:type="dxa"/>
          </w:tcPr>
          <w:p>
            <w:pPr>
              <w:pStyle w:val="2"/>
              <w:spacing w:line="360" w:lineRule="auto"/>
              <w:jc w:val="left"/>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系统隐患（排查）评估</w:t>
            </w:r>
          </w:p>
        </w:tc>
        <w:tc>
          <w:tcPr>
            <w:tcW w:w="1701" w:type="dxa"/>
          </w:tcPr>
          <w:p>
            <w:pPr>
              <w:pStyle w:val="2"/>
              <w:spacing w:line="360" w:lineRule="auto"/>
              <w:jc w:val="left"/>
              <w:rPr>
                <w:rFonts w:cs="宋体" w:asciiTheme="majorEastAsia" w:hAnsiTheme="majorEastAsia" w:eastAsiaTheme="majorEastAsia"/>
                <w:kern w:val="2"/>
                <w:sz w:val="21"/>
                <w:szCs w:val="21"/>
              </w:rPr>
            </w:pPr>
          </w:p>
        </w:tc>
        <w:tc>
          <w:tcPr>
            <w:tcW w:w="1145" w:type="dxa"/>
          </w:tcPr>
          <w:p>
            <w:pPr>
              <w:pStyle w:val="2"/>
              <w:spacing w:line="360" w:lineRule="auto"/>
              <w:jc w:val="left"/>
              <w:rPr>
                <w:rFonts w:cs="宋体" w:asciiTheme="majorEastAsia" w:hAnsiTheme="majorEastAsia" w:eastAsiaTheme="maj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spacing w:line="360" w:lineRule="auto"/>
              <w:jc w:val="center"/>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2</w:t>
            </w:r>
          </w:p>
        </w:tc>
        <w:tc>
          <w:tcPr>
            <w:tcW w:w="5245" w:type="dxa"/>
          </w:tcPr>
          <w:p>
            <w:pPr>
              <w:pStyle w:val="2"/>
              <w:spacing w:line="360" w:lineRule="auto"/>
              <w:jc w:val="left"/>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设备隐患（排查）评估</w:t>
            </w:r>
          </w:p>
        </w:tc>
        <w:tc>
          <w:tcPr>
            <w:tcW w:w="1701" w:type="dxa"/>
          </w:tcPr>
          <w:p>
            <w:pPr>
              <w:pStyle w:val="2"/>
              <w:spacing w:line="360" w:lineRule="auto"/>
              <w:jc w:val="left"/>
              <w:rPr>
                <w:rFonts w:cs="宋体" w:asciiTheme="majorEastAsia" w:hAnsiTheme="majorEastAsia" w:eastAsiaTheme="majorEastAsia"/>
                <w:kern w:val="2"/>
                <w:sz w:val="21"/>
                <w:szCs w:val="21"/>
              </w:rPr>
            </w:pPr>
          </w:p>
        </w:tc>
        <w:tc>
          <w:tcPr>
            <w:tcW w:w="1145" w:type="dxa"/>
          </w:tcPr>
          <w:p>
            <w:pPr>
              <w:pStyle w:val="2"/>
              <w:spacing w:line="360" w:lineRule="auto"/>
              <w:jc w:val="left"/>
              <w:rPr>
                <w:rFonts w:cs="宋体" w:asciiTheme="majorEastAsia" w:hAnsiTheme="majorEastAsia" w:eastAsiaTheme="maj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spacing w:line="360" w:lineRule="auto"/>
              <w:jc w:val="center"/>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3</w:t>
            </w:r>
          </w:p>
        </w:tc>
        <w:tc>
          <w:tcPr>
            <w:tcW w:w="5245" w:type="dxa"/>
          </w:tcPr>
          <w:p>
            <w:pPr>
              <w:pStyle w:val="2"/>
              <w:spacing w:line="360" w:lineRule="auto"/>
              <w:jc w:val="left"/>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防雷与接地评估</w:t>
            </w:r>
          </w:p>
        </w:tc>
        <w:tc>
          <w:tcPr>
            <w:tcW w:w="1701" w:type="dxa"/>
          </w:tcPr>
          <w:p>
            <w:pPr>
              <w:pStyle w:val="2"/>
              <w:spacing w:line="360" w:lineRule="auto"/>
              <w:jc w:val="left"/>
              <w:rPr>
                <w:rFonts w:cs="宋体" w:asciiTheme="majorEastAsia" w:hAnsiTheme="majorEastAsia" w:eastAsiaTheme="majorEastAsia"/>
                <w:kern w:val="2"/>
                <w:sz w:val="21"/>
                <w:szCs w:val="21"/>
              </w:rPr>
            </w:pPr>
          </w:p>
        </w:tc>
        <w:tc>
          <w:tcPr>
            <w:tcW w:w="1145" w:type="dxa"/>
          </w:tcPr>
          <w:p>
            <w:pPr>
              <w:pStyle w:val="2"/>
              <w:spacing w:line="360" w:lineRule="auto"/>
              <w:jc w:val="left"/>
              <w:rPr>
                <w:rFonts w:cs="宋体" w:asciiTheme="majorEastAsia" w:hAnsiTheme="majorEastAsia" w:eastAsiaTheme="maj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spacing w:line="360" w:lineRule="auto"/>
              <w:jc w:val="center"/>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4</w:t>
            </w:r>
          </w:p>
        </w:tc>
        <w:tc>
          <w:tcPr>
            <w:tcW w:w="5245" w:type="dxa"/>
          </w:tcPr>
          <w:p>
            <w:pPr>
              <w:pStyle w:val="2"/>
              <w:spacing w:line="360" w:lineRule="auto"/>
              <w:jc w:val="left"/>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变电所（站）消防评估</w:t>
            </w:r>
          </w:p>
        </w:tc>
        <w:tc>
          <w:tcPr>
            <w:tcW w:w="1701" w:type="dxa"/>
          </w:tcPr>
          <w:p>
            <w:pPr>
              <w:pStyle w:val="2"/>
              <w:spacing w:line="360" w:lineRule="auto"/>
              <w:jc w:val="left"/>
              <w:rPr>
                <w:rFonts w:cs="宋体" w:asciiTheme="majorEastAsia" w:hAnsiTheme="majorEastAsia" w:eastAsiaTheme="majorEastAsia"/>
                <w:kern w:val="2"/>
                <w:sz w:val="21"/>
                <w:szCs w:val="21"/>
              </w:rPr>
            </w:pPr>
          </w:p>
        </w:tc>
        <w:tc>
          <w:tcPr>
            <w:tcW w:w="1145" w:type="dxa"/>
          </w:tcPr>
          <w:p>
            <w:pPr>
              <w:pStyle w:val="2"/>
              <w:spacing w:line="360" w:lineRule="auto"/>
              <w:jc w:val="left"/>
              <w:rPr>
                <w:rFonts w:cs="宋体" w:asciiTheme="majorEastAsia" w:hAnsiTheme="majorEastAsia" w:eastAsiaTheme="maj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spacing w:line="360" w:lineRule="auto"/>
              <w:jc w:val="center"/>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5</w:t>
            </w:r>
          </w:p>
        </w:tc>
        <w:tc>
          <w:tcPr>
            <w:tcW w:w="5245" w:type="dxa"/>
          </w:tcPr>
          <w:p>
            <w:pPr>
              <w:pStyle w:val="2"/>
              <w:spacing w:line="360" w:lineRule="auto"/>
              <w:jc w:val="left"/>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电力系统继电保护装置、自动装置与整定评估</w:t>
            </w:r>
          </w:p>
        </w:tc>
        <w:tc>
          <w:tcPr>
            <w:tcW w:w="1701" w:type="dxa"/>
          </w:tcPr>
          <w:p>
            <w:pPr>
              <w:pStyle w:val="2"/>
              <w:spacing w:line="360" w:lineRule="auto"/>
              <w:jc w:val="left"/>
              <w:rPr>
                <w:rFonts w:cs="宋体" w:asciiTheme="majorEastAsia" w:hAnsiTheme="majorEastAsia" w:eastAsiaTheme="majorEastAsia"/>
                <w:kern w:val="2"/>
                <w:sz w:val="21"/>
                <w:szCs w:val="21"/>
              </w:rPr>
            </w:pPr>
          </w:p>
        </w:tc>
        <w:tc>
          <w:tcPr>
            <w:tcW w:w="1145" w:type="dxa"/>
          </w:tcPr>
          <w:p>
            <w:pPr>
              <w:pStyle w:val="2"/>
              <w:spacing w:line="360" w:lineRule="auto"/>
              <w:jc w:val="left"/>
              <w:rPr>
                <w:rFonts w:cs="宋体" w:asciiTheme="majorEastAsia" w:hAnsiTheme="majorEastAsia" w:eastAsiaTheme="maj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spacing w:line="360" w:lineRule="auto"/>
              <w:jc w:val="center"/>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6</w:t>
            </w:r>
          </w:p>
        </w:tc>
        <w:tc>
          <w:tcPr>
            <w:tcW w:w="5245" w:type="dxa"/>
          </w:tcPr>
          <w:p>
            <w:pPr>
              <w:pStyle w:val="2"/>
              <w:spacing w:line="360" w:lineRule="auto"/>
              <w:jc w:val="left"/>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综合自动化系统评估</w:t>
            </w:r>
          </w:p>
        </w:tc>
        <w:tc>
          <w:tcPr>
            <w:tcW w:w="1701" w:type="dxa"/>
          </w:tcPr>
          <w:p>
            <w:pPr>
              <w:pStyle w:val="2"/>
              <w:spacing w:line="360" w:lineRule="auto"/>
              <w:jc w:val="left"/>
              <w:rPr>
                <w:rFonts w:cs="宋体" w:asciiTheme="majorEastAsia" w:hAnsiTheme="majorEastAsia" w:eastAsiaTheme="majorEastAsia"/>
                <w:kern w:val="2"/>
                <w:sz w:val="21"/>
                <w:szCs w:val="21"/>
              </w:rPr>
            </w:pPr>
          </w:p>
        </w:tc>
        <w:tc>
          <w:tcPr>
            <w:tcW w:w="1145" w:type="dxa"/>
          </w:tcPr>
          <w:p>
            <w:pPr>
              <w:pStyle w:val="2"/>
              <w:spacing w:line="360" w:lineRule="auto"/>
              <w:jc w:val="left"/>
              <w:rPr>
                <w:rFonts w:cs="宋体" w:asciiTheme="majorEastAsia" w:hAnsiTheme="majorEastAsia" w:eastAsiaTheme="maj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tcPr>
          <w:p>
            <w:pPr>
              <w:pStyle w:val="2"/>
              <w:spacing w:line="360" w:lineRule="auto"/>
              <w:jc w:val="center"/>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7</w:t>
            </w:r>
          </w:p>
        </w:tc>
        <w:tc>
          <w:tcPr>
            <w:tcW w:w="5245" w:type="dxa"/>
          </w:tcPr>
          <w:p>
            <w:pPr>
              <w:pStyle w:val="2"/>
              <w:spacing w:line="360" w:lineRule="auto"/>
              <w:jc w:val="left"/>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直流电源与电力电子设备评估</w:t>
            </w:r>
          </w:p>
        </w:tc>
        <w:tc>
          <w:tcPr>
            <w:tcW w:w="1701" w:type="dxa"/>
          </w:tcPr>
          <w:p>
            <w:pPr>
              <w:pStyle w:val="2"/>
              <w:spacing w:line="360" w:lineRule="auto"/>
              <w:jc w:val="left"/>
              <w:rPr>
                <w:rFonts w:cs="宋体" w:asciiTheme="majorEastAsia" w:hAnsiTheme="majorEastAsia" w:eastAsiaTheme="majorEastAsia"/>
                <w:kern w:val="2"/>
                <w:sz w:val="21"/>
                <w:szCs w:val="21"/>
              </w:rPr>
            </w:pPr>
          </w:p>
        </w:tc>
        <w:tc>
          <w:tcPr>
            <w:tcW w:w="1145" w:type="dxa"/>
          </w:tcPr>
          <w:p>
            <w:pPr>
              <w:pStyle w:val="2"/>
              <w:spacing w:line="360" w:lineRule="auto"/>
              <w:jc w:val="left"/>
              <w:rPr>
                <w:rFonts w:cs="宋体" w:asciiTheme="majorEastAsia" w:hAnsiTheme="majorEastAsia" w:eastAsiaTheme="maj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spacing w:line="360" w:lineRule="auto"/>
              <w:jc w:val="center"/>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8</w:t>
            </w:r>
          </w:p>
        </w:tc>
        <w:tc>
          <w:tcPr>
            <w:tcW w:w="5245" w:type="dxa"/>
          </w:tcPr>
          <w:p>
            <w:pPr>
              <w:pStyle w:val="2"/>
              <w:spacing w:line="360" w:lineRule="auto"/>
              <w:jc w:val="left"/>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运行管理评估</w:t>
            </w:r>
          </w:p>
        </w:tc>
        <w:tc>
          <w:tcPr>
            <w:tcW w:w="1701" w:type="dxa"/>
          </w:tcPr>
          <w:p>
            <w:pPr>
              <w:pStyle w:val="2"/>
              <w:spacing w:line="360" w:lineRule="auto"/>
              <w:jc w:val="left"/>
              <w:rPr>
                <w:rFonts w:cs="宋体" w:asciiTheme="majorEastAsia" w:hAnsiTheme="majorEastAsia" w:eastAsiaTheme="majorEastAsia"/>
                <w:kern w:val="2"/>
                <w:sz w:val="21"/>
                <w:szCs w:val="21"/>
              </w:rPr>
            </w:pPr>
          </w:p>
        </w:tc>
        <w:tc>
          <w:tcPr>
            <w:tcW w:w="1145" w:type="dxa"/>
          </w:tcPr>
          <w:p>
            <w:pPr>
              <w:pStyle w:val="2"/>
              <w:spacing w:line="360" w:lineRule="auto"/>
              <w:jc w:val="left"/>
              <w:rPr>
                <w:rFonts w:cs="宋体" w:asciiTheme="majorEastAsia" w:hAnsiTheme="majorEastAsia" w:eastAsiaTheme="maj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spacing w:line="360" w:lineRule="auto"/>
              <w:jc w:val="center"/>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9</w:t>
            </w:r>
          </w:p>
        </w:tc>
        <w:tc>
          <w:tcPr>
            <w:tcW w:w="5245" w:type="dxa"/>
          </w:tcPr>
          <w:p>
            <w:pPr>
              <w:pStyle w:val="2"/>
              <w:spacing w:line="360" w:lineRule="auto"/>
              <w:jc w:val="left"/>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设备管理评估</w:t>
            </w:r>
          </w:p>
        </w:tc>
        <w:tc>
          <w:tcPr>
            <w:tcW w:w="1701" w:type="dxa"/>
          </w:tcPr>
          <w:p>
            <w:pPr>
              <w:pStyle w:val="2"/>
              <w:spacing w:line="360" w:lineRule="auto"/>
              <w:jc w:val="left"/>
              <w:rPr>
                <w:rFonts w:cs="宋体" w:asciiTheme="majorEastAsia" w:hAnsiTheme="majorEastAsia" w:eastAsiaTheme="majorEastAsia"/>
                <w:kern w:val="2"/>
                <w:sz w:val="21"/>
                <w:szCs w:val="21"/>
              </w:rPr>
            </w:pPr>
          </w:p>
        </w:tc>
        <w:tc>
          <w:tcPr>
            <w:tcW w:w="1145" w:type="dxa"/>
          </w:tcPr>
          <w:p>
            <w:pPr>
              <w:pStyle w:val="2"/>
              <w:spacing w:line="360" w:lineRule="auto"/>
              <w:jc w:val="left"/>
              <w:rPr>
                <w:rFonts w:cs="宋体" w:asciiTheme="majorEastAsia" w:hAnsiTheme="majorEastAsia" w:eastAsiaTheme="maj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spacing w:line="360" w:lineRule="auto"/>
              <w:jc w:val="center"/>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10</w:t>
            </w:r>
          </w:p>
        </w:tc>
        <w:tc>
          <w:tcPr>
            <w:tcW w:w="5245" w:type="dxa"/>
          </w:tcPr>
          <w:p>
            <w:pPr>
              <w:pStyle w:val="2"/>
              <w:spacing w:line="360" w:lineRule="auto"/>
              <w:jc w:val="left"/>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继电保护及自动装置管理评估</w:t>
            </w:r>
          </w:p>
        </w:tc>
        <w:tc>
          <w:tcPr>
            <w:tcW w:w="1701" w:type="dxa"/>
          </w:tcPr>
          <w:p>
            <w:pPr>
              <w:pStyle w:val="2"/>
              <w:spacing w:line="360" w:lineRule="auto"/>
              <w:jc w:val="left"/>
              <w:rPr>
                <w:rFonts w:cs="宋体" w:asciiTheme="majorEastAsia" w:hAnsiTheme="majorEastAsia" w:eastAsiaTheme="majorEastAsia"/>
                <w:kern w:val="2"/>
                <w:sz w:val="21"/>
                <w:szCs w:val="21"/>
              </w:rPr>
            </w:pPr>
          </w:p>
        </w:tc>
        <w:tc>
          <w:tcPr>
            <w:tcW w:w="1145" w:type="dxa"/>
          </w:tcPr>
          <w:p>
            <w:pPr>
              <w:pStyle w:val="2"/>
              <w:spacing w:line="360" w:lineRule="auto"/>
              <w:jc w:val="left"/>
              <w:rPr>
                <w:rFonts w:cs="宋体" w:asciiTheme="majorEastAsia" w:hAnsiTheme="majorEastAsia" w:eastAsiaTheme="maj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spacing w:line="360" w:lineRule="auto"/>
              <w:jc w:val="center"/>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11</w:t>
            </w:r>
          </w:p>
        </w:tc>
        <w:tc>
          <w:tcPr>
            <w:tcW w:w="5245" w:type="dxa"/>
          </w:tcPr>
          <w:p>
            <w:pPr>
              <w:pStyle w:val="2"/>
              <w:spacing w:line="360" w:lineRule="auto"/>
              <w:jc w:val="left"/>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安全管理评估</w:t>
            </w:r>
          </w:p>
        </w:tc>
        <w:tc>
          <w:tcPr>
            <w:tcW w:w="1701" w:type="dxa"/>
          </w:tcPr>
          <w:p>
            <w:pPr>
              <w:pStyle w:val="2"/>
              <w:spacing w:line="360" w:lineRule="auto"/>
              <w:jc w:val="left"/>
              <w:rPr>
                <w:rFonts w:cs="宋体" w:asciiTheme="majorEastAsia" w:hAnsiTheme="majorEastAsia" w:eastAsiaTheme="majorEastAsia"/>
                <w:kern w:val="2"/>
                <w:sz w:val="21"/>
                <w:szCs w:val="21"/>
              </w:rPr>
            </w:pPr>
          </w:p>
        </w:tc>
        <w:tc>
          <w:tcPr>
            <w:tcW w:w="1145" w:type="dxa"/>
          </w:tcPr>
          <w:p>
            <w:pPr>
              <w:pStyle w:val="2"/>
              <w:spacing w:line="360" w:lineRule="auto"/>
              <w:jc w:val="left"/>
              <w:rPr>
                <w:rFonts w:cs="宋体" w:asciiTheme="majorEastAsia" w:hAnsiTheme="majorEastAsia" w:eastAsiaTheme="maj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spacing w:line="360" w:lineRule="auto"/>
              <w:jc w:val="center"/>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12</w:t>
            </w:r>
          </w:p>
        </w:tc>
        <w:tc>
          <w:tcPr>
            <w:tcW w:w="5245" w:type="dxa"/>
          </w:tcPr>
          <w:p>
            <w:pPr>
              <w:pStyle w:val="2"/>
              <w:spacing w:line="360" w:lineRule="auto"/>
              <w:jc w:val="left"/>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人员培训评估</w:t>
            </w:r>
          </w:p>
        </w:tc>
        <w:tc>
          <w:tcPr>
            <w:tcW w:w="1701" w:type="dxa"/>
          </w:tcPr>
          <w:p>
            <w:pPr>
              <w:pStyle w:val="2"/>
              <w:spacing w:line="360" w:lineRule="auto"/>
              <w:jc w:val="left"/>
              <w:rPr>
                <w:rFonts w:cs="宋体" w:asciiTheme="majorEastAsia" w:hAnsiTheme="majorEastAsia" w:eastAsiaTheme="majorEastAsia"/>
                <w:kern w:val="2"/>
                <w:sz w:val="21"/>
                <w:szCs w:val="21"/>
              </w:rPr>
            </w:pPr>
          </w:p>
        </w:tc>
        <w:tc>
          <w:tcPr>
            <w:tcW w:w="1145" w:type="dxa"/>
          </w:tcPr>
          <w:p>
            <w:pPr>
              <w:pStyle w:val="2"/>
              <w:spacing w:line="360" w:lineRule="auto"/>
              <w:jc w:val="left"/>
              <w:rPr>
                <w:rFonts w:cs="宋体" w:asciiTheme="majorEastAsia" w:hAnsiTheme="majorEastAsia" w:eastAsiaTheme="maj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spacing w:line="360" w:lineRule="auto"/>
              <w:jc w:val="center"/>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13</w:t>
            </w:r>
          </w:p>
        </w:tc>
        <w:tc>
          <w:tcPr>
            <w:tcW w:w="5245" w:type="dxa"/>
          </w:tcPr>
          <w:p>
            <w:pPr>
              <w:pStyle w:val="2"/>
              <w:spacing w:line="360" w:lineRule="auto"/>
              <w:jc w:val="left"/>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电力系统仿真分析及计算，并提出建设性建议。</w:t>
            </w:r>
          </w:p>
        </w:tc>
        <w:tc>
          <w:tcPr>
            <w:tcW w:w="1701" w:type="dxa"/>
          </w:tcPr>
          <w:p>
            <w:pPr>
              <w:pStyle w:val="2"/>
              <w:spacing w:line="360" w:lineRule="auto"/>
              <w:jc w:val="left"/>
              <w:rPr>
                <w:rFonts w:cs="宋体" w:asciiTheme="majorEastAsia" w:hAnsiTheme="majorEastAsia" w:eastAsiaTheme="majorEastAsia"/>
                <w:kern w:val="2"/>
                <w:sz w:val="21"/>
                <w:szCs w:val="21"/>
              </w:rPr>
            </w:pPr>
          </w:p>
        </w:tc>
        <w:tc>
          <w:tcPr>
            <w:tcW w:w="1145" w:type="dxa"/>
          </w:tcPr>
          <w:p>
            <w:pPr>
              <w:pStyle w:val="2"/>
              <w:spacing w:line="360" w:lineRule="auto"/>
              <w:jc w:val="left"/>
              <w:rPr>
                <w:rFonts w:cs="宋体" w:asciiTheme="majorEastAsia" w:hAnsiTheme="majorEastAsia" w:eastAsiaTheme="maj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spacing w:line="360" w:lineRule="auto"/>
              <w:jc w:val="center"/>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14</w:t>
            </w:r>
          </w:p>
        </w:tc>
        <w:tc>
          <w:tcPr>
            <w:tcW w:w="5245" w:type="dxa"/>
          </w:tcPr>
          <w:p>
            <w:pPr>
              <w:pStyle w:val="2"/>
              <w:spacing w:line="240" w:lineRule="atLeast"/>
              <w:jc w:val="left"/>
              <w:rPr>
                <w:rFonts w:cs="宋体" w:asciiTheme="majorEastAsia" w:hAnsiTheme="majorEastAsia" w:eastAsiaTheme="majorEastAsia"/>
                <w:kern w:val="2"/>
                <w:sz w:val="21"/>
                <w:szCs w:val="21"/>
              </w:rPr>
            </w:pPr>
            <w:r>
              <w:rPr>
                <w:rFonts w:hint="eastAsia" w:cs="宋体" w:asciiTheme="majorEastAsia" w:hAnsiTheme="majorEastAsia" w:eastAsiaTheme="majorEastAsia"/>
                <w:kern w:val="2"/>
                <w:sz w:val="21"/>
                <w:szCs w:val="21"/>
              </w:rPr>
              <w:t xml:space="preserve">对全厂主网系统继电保护的配置方案与当前运行的继电保护定值进行校核。 </w:t>
            </w:r>
          </w:p>
        </w:tc>
        <w:tc>
          <w:tcPr>
            <w:tcW w:w="1701" w:type="dxa"/>
          </w:tcPr>
          <w:p>
            <w:pPr>
              <w:pStyle w:val="2"/>
              <w:spacing w:line="360" w:lineRule="auto"/>
              <w:jc w:val="left"/>
              <w:rPr>
                <w:rFonts w:cs="宋体" w:asciiTheme="majorEastAsia" w:hAnsiTheme="majorEastAsia" w:eastAsiaTheme="majorEastAsia"/>
                <w:kern w:val="2"/>
                <w:sz w:val="21"/>
                <w:szCs w:val="21"/>
              </w:rPr>
            </w:pPr>
          </w:p>
        </w:tc>
        <w:tc>
          <w:tcPr>
            <w:tcW w:w="1145" w:type="dxa"/>
          </w:tcPr>
          <w:p>
            <w:pPr>
              <w:pStyle w:val="2"/>
              <w:spacing w:line="360" w:lineRule="auto"/>
              <w:jc w:val="left"/>
              <w:rPr>
                <w:rFonts w:cs="宋体" w:asciiTheme="majorEastAsia" w:hAnsiTheme="majorEastAsia" w:eastAsiaTheme="maj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spacing w:line="360" w:lineRule="auto"/>
              <w:jc w:val="center"/>
              <w:rPr>
                <w:rFonts w:cs="宋体" w:asciiTheme="majorEastAsia" w:hAnsiTheme="majorEastAsia" w:eastAsiaTheme="majorEastAsia"/>
                <w:kern w:val="2"/>
                <w:sz w:val="21"/>
                <w:szCs w:val="21"/>
              </w:rPr>
            </w:pPr>
          </w:p>
        </w:tc>
        <w:tc>
          <w:tcPr>
            <w:tcW w:w="5245" w:type="dxa"/>
          </w:tcPr>
          <w:p>
            <w:pPr>
              <w:pStyle w:val="2"/>
              <w:spacing w:line="360" w:lineRule="auto"/>
              <w:jc w:val="left"/>
              <w:rPr>
                <w:rFonts w:cs="宋体" w:asciiTheme="majorEastAsia" w:hAnsiTheme="majorEastAsia" w:eastAsiaTheme="majorEastAsia"/>
                <w:kern w:val="2"/>
                <w:sz w:val="21"/>
                <w:szCs w:val="21"/>
              </w:rPr>
            </w:pPr>
          </w:p>
        </w:tc>
        <w:tc>
          <w:tcPr>
            <w:tcW w:w="1701" w:type="dxa"/>
          </w:tcPr>
          <w:p>
            <w:pPr>
              <w:pStyle w:val="2"/>
              <w:spacing w:line="360" w:lineRule="auto"/>
              <w:jc w:val="left"/>
              <w:rPr>
                <w:rFonts w:cs="宋体" w:asciiTheme="majorEastAsia" w:hAnsiTheme="majorEastAsia" w:eastAsiaTheme="majorEastAsia"/>
                <w:kern w:val="2"/>
                <w:sz w:val="21"/>
                <w:szCs w:val="21"/>
              </w:rPr>
            </w:pPr>
          </w:p>
        </w:tc>
        <w:tc>
          <w:tcPr>
            <w:tcW w:w="1145" w:type="dxa"/>
          </w:tcPr>
          <w:p>
            <w:pPr>
              <w:pStyle w:val="2"/>
              <w:spacing w:line="360" w:lineRule="auto"/>
              <w:jc w:val="left"/>
              <w:rPr>
                <w:rFonts w:cs="宋体" w:asciiTheme="majorEastAsia" w:hAnsiTheme="majorEastAsia" w:eastAsiaTheme="majorEastAsia"/>
                <w:kern w:val="2"/>
                <w:sz w:val="21"/>
                <w:szCs w:val="21"/>
              </w:rPr>
            </w:pPr>
          </w:p>
        </w:tc>
      </w:tr>
    </w:tbl>
    <w:p>
      <w:pPr>
        <w:pStyle w:val="2"/>
        <w:spacing w:line="360" w:lineRule="auto"/>
        <w:jc w:val="left"/>
        <w:rPr>
          <w:rFonts w:hAnsi="宋体" w:cs="宋体"/>
          <w:kern w:val="2"/>
          <w:sz w:val="24"/>
          <w:szCs w:val="24"/>
        </w:rPr>
      </w:pPr>
    </w:p>
    <w:p>
      <w:pPr>
        <w:pStyle w:val="2"/>
        <w:spacing w:line="360" w:lineRule="auto"/>
        <w:ind w:firstLine="451" w:firstLineChars="188"/>
        <w:jc w:val="center"/>
        <w:rPr>
          <w:rFonts w:hAnsi="宋体" w:cs="宋体"/>
          <w:kern w:val="2"/>
          <w:sz w:val="24"/>
          <w:szCs w:val="24"/>
        </w:rPr>
      </w:pPr>
    </w:p>
    <w:p>
      <w:pPr>
        <w:pStyle w:val="2"/>
        <w:spacing w:line="360" w:lineRule="auto"/>
        <w:ind w:firstLine="451" w:firstLineChars="188"/>
        <w:jc w:val="center"/>
        <w:rPr>
          <w:rFonts w:hAnsi="宋体" w:cs="宋体"/>
          <w:kern w:val="2"/>
          <w:sz w:val="24"/>
          <w:szCs w:val="24"/>
        </w:rPr>
      </w:pPr>
    </w:p>
    <w:p>
      <w:pPr>
        <w:pStyle w:val="2"/>
        <w:spacing w:line="360" w:lineRule="auto"/>
        <w:ind w:firstLine="526" w:firstLineChars="188"/>
        <w:jc w:val="center"/>
        <w:rPr>
          <w:rFonts w:hAnsi="宋体" w:cs="宋体"/>
          <w:kern w:val="2"/>
          <w:sz w:val="28"/>
          <w:szCs w:val="28"/>
        </w:rPr>
      </w:pPr>
    </w:p>
    <w:sectPr>
      <w:footerReference r:id="rId8" w:type="default"/>
      <w:pgSz w:w="11910" w:h="16840"/>
      <w:pgMar w:top="1500" w:right="1680" w:bottom="740" w:left="1680" w:header="0" w:footer="55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89266"/>
      <w:docPartObj>
        <w:docPartGallery w:val="autotext"/>
      </w:docPartObj>
    </w:sdtPr>
    <w:sdtContent>
      <w:sdt>
        <w:sdtPr>
          <w:id w:val="98381352"/>
          <w:docPartObj>
            <w:docPartGallery w:val="autotext"/>
          </w:docPartObj>
        </w:sdtPr>
        <w:sdtContent>
          <w:p>
            <w:pPr>
              <w:pStyle w:val="1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34</w:t>
            </w:r>
            <w:r>
              <w:rPr>
                <w:b/>
                <w:sz w:val="24"/>
                <w:szCs w:val="24"/>
              </w:rPr>
              <w:fldChar w:fldCharType="end"/>
            </w:r>
          </w:p>
        </w:sdtContent>
      </w:sdt>
    </w:sdtContent>
  </w:sdt>
  <w:p>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427671"/>
      <w:docPartObj>
        <w:docPartGallery w:val="autotext"/>
      </w:docPartObj>
    </w:sdtPr>
    <w:sdtContent>
      <w:sdt>
        <w:sdtPr>
          <w:id w:val="171357217"/>
          <w:docPartObj>
            <w:docPartGallery w:val="autotext"/>
          </w:docPartObj>
        </w:sdtPr>
        <w:sdtContent>
          <w:p>
            <w:pPr>
              <w:pStyle w:val="1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18</w:t>
            </w:r>
            <w:r>
              <w:rPr>
                <w:b/>
                <w:sz w:val="24"/>
                <w:szCs w:val="24"/>
              </w:rPr>
              <w:fldChar w:fldCharType="end"/>
            </w:r>
          </w:p>
        </w:sdtContent>
      </w:sdt>
    </w:sdtContent>
  </w:sdt>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8"/>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A51F8"/>
    <w:multiLevelType w:val="multilevel"/>
    <w:tmpl w:val="017A51F8"/>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2162C9E"/>
    <w:multiLevelType w:val="multilevel"/>
    <w:tmpl w:val="02162C9E"/>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82A0B62"/>
    <w:multiLevelType w:val="multilevel"/>
    <w:tmpl w:val="282A0B62"/>
    <w:lvl w:ilvl="0" w:tentative="0">
      <w:start w:val="4"/>
      <w:numFmt w:val="japaneseCounting"/>
      <w:lvlText w:val="%1、"/>
      <w:lvlJc w:val="left"/>
      <w:pPr>
        <w:ind w:left="1310" w:hanging="720"/>
      </w:pPr>
      <w:rPr>
        <w:rFonts w:hint="default"/>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abstractNum w:abstractNumId="3">
    <w:nsid w:val="519F12F7"/>
    <w:multiLevelType w:val="multilevel"/>
    <w:tmpl w:val="519F12F7"/>
    <w:lvl w:ilvl="0" w:tentative="0">
      <w:start w:val="1"/>
      <w:numFmt w:val="chineseCountingThousand"/>
      <w:lvlText w:val="%1."/>
      <w:lvlJc w:val="center"/>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58B44D5B"/>
    <w:multiLevelType w:val="multilevel"/>
    <w:tmpl w:val="58B44D5B"/>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7C336C4"/>
    <w:multiLevelType w:val="multilevel"/>
    <w:tmpl w:val="77C336C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F6E7779"/>
    <w:multiLevelType w:val="multilevel"/>
    <w:tmpl w:val="7F6E7779"/>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footnotePr>
    <w:footnote w:id="0"/>
    <w:footnote w:id="1"/>
  </w:footnotePr>
  <w:endnotePr>
    <w:endnote w:id="0"/>
    <w:endnote w:id="1"/>
  </w:endnotePr>
  <w:compat>
    <w:ulTrailSpace/>
    <w:useFELayout/>
    <w:compatSetting w:name="compatibilityMode" w:uri="http://schemas.microsoft.com/office/word" w:val="12"/>
  </w:compat>
  <w:rsids>
    <w:rsidRoot w:val="00967702"/>
    <w:rsid w:val="00000DD4"/>
    <w:rsid w:val="00004A4B"/>
    <w:rsid w:val="00011407"/>
    <w:rsid w:val="0001646D"/>
    <w:rsid w:val="00036F9A"/>
    <w:rsid w:val="0005617A"/>
    <w:rsid w:val="00056334"/>
    <w:rsid w:val="000679D6"/>
    <w:rsid w:val="00071B25"/>
    <w:rsid w:val="00072774"/>
    <w:rsid w:val="00080812"/>
    <w:rsid w:val="000914CE"/>
    <w:rsid w:val="00096304"/>
    <w:rsid w:val="00096FA0"/>
    <w:rsid w:val="00097881"/>
    <w:rsid w:val="000A0820"/>
    <w:rsid w:val="000A0B41"/>
    <w:rsid w:val="000B0660"/>
    <w:rsid w:val="0015691F"/>
    <w:rsid w:val="0015730E"/>
    <w:rsid w:val="00166C0E"/>
    <w:rsid w:val="00193817"/>
    <w:rsid w:val="001A3E35"/>
    <w:rsid w:val="001A4283"/>
    <w:rsid w:val="001B0034"/>
    <w:rsid w:val="001B698B"/>
    <w:rsid w:val="001D3581"/>
    <w:rsid w:val="001F0CEE"/>
    <w:rsid w:val="001F2FE5"/>
    <w:rsid w:val="001F35BB"/>
    <w:rsid w:val="0020750C"/>
    <w:rsid w:val="00214E06"/>
    <w:rsid w:val="00217FB9"/>
    <w:rsid w:val="00220E3C"/>
    <w:rsid w:val="00227556"/>
    <w:rsid w:val="002323C2"/>
    <w:rsid w:val="0025561A"/>
    <w:rsid w:val="00260CCA"/>
    <w:rsid w:val="00274096"/>
    <w:rsid w:val="00275301"/>
    <w:rsid w:val="002814C9"/>
    <w:rsid w:val="0028464C"/>
    <w:rsid w:val="0028648A"/>
    <w:rsid w:val="00292A4F"/>
    <w:rsid w:val="00297ECA"/>
    <w:rsid w:val="002B21E2"/>
    <w:rsid w:val="002C2335"/>
    <w:rsid w:val="002C4D01"/>
    <w:rsid w:val="002C50B1"/>
    <w:rsid w:val="002D31F1"/>
    <w:rsid w:val="002E240C"/>
    <w:rsid w:val="002E4DA5"/>
    <w:rsid w:val="002E74B5"/>
    <w:rsid w:val="002E787B"/>
    <w:rsid w:val="002F23FF"/>
    <w:rsid w:val="002F5451"/>
    <w:rsid w:val="002F781F"/>
    <w:rsid w:val="00315A3D"/>
    <w:rsid w:val="00322549"/>
    <w:rsid w:val="00344A4E"/>
    <w:rsid w:val="00354A2A"/>
    <w:rsid w:val="003569D4"/>
    <w:rsid w:val="00361FCC"/>
    <w:rsid w:val="00365EBB"/>
    <w:rsid w:val="00383BF7"/>
    <w:rsid w:val="003850AC"/>
    <w:rsid w:val="00385255"/>
    <w:rsid w:val="00391B4E"/>
    <w:rsid w:val="003921AC"/>
    <w:rsid w:val="003928C8"/>
    <w:rsid w:val="003B2198"/>
    <w:rsid w:val="003B4EC5"/>
    <w:rsid w:val="003C21C9"/>
    <w:rsid w:val="003D0571"/>
    <w:rsid w:val="003D678E"/>
    <w:rsid w:val="003F0053"/>
    <w:rsid w:val="003F43B1"/>
    <w:rsid w:val="0040417A"/>
    <w:rsid w:val="004102A6"/>
    <w:rsid w:val="004109C6"/>
    <w:rsid w:val="004138FE"/>
    <w:rsid w:val="004146F2"/>
    <w:rsid w:val="00427728"/>
    <w:rsid w:val="004442E7"/>
    <w:rsid w:val="00447C71"/>
    <w:rsid w:val="00451042"/>
    <w:rsid w:val="00453194"/>
    <w:rsid w:val="00457500"/>
    <w:rsid w:val="00460D79"/>
    <w:rsid w:val="0047282D"/>
    <w:rsid w:val="0047773A"/>
    <w:rsid w:val="004826C0"/>
    <w:rsid w:val="004835AF"/>
    <w:rsid w:val="004849FD"/>
    <w:rsid w:val="00492047"/>
    <w:rsid w:val="004B1066"/>
    <w:rsid w:val="004B144F"/>
    <w:rsid w:val="004B1DD8"/>
    <w:rsid w:val="004C3AF4"/>
    <w:rsid w:val="004C6BF7"/>
    <w:rsid w:val="004D0D80"/>
    <w:rsid w:val="004D34F3"/>
    <w:rsid w:val="004D3571"/>
    <w:rsid w:val="004D5630"/>
    <w:rsid w:val="004E1FBD"/>
    <w:rsid w:val="004F3B24"/>
    <w:rsid w:val="004F5E80"/>
    <w:rsid w:val="00500FC0"/>
    <w:rsid w:val="00505A38"/>
    <w:rsid w:val="00514188"/>
    <w:rsid w:val="005158CB"/>
    <w:rsid w:val="00515FEE"/>
    <w:rsid w:val="00527BB2"/>
    <w:rsid w:val="00535736"/>
    <w:rsid w:val="00552A74"/>
    <w:rsid w:val="00553A22"/>
    <w:rsid w:val="00556574"/>
    <w:rsid w:val="00557069"/>
    <w:rsid w:val="00570107"/>
    <w:rsid w:val="005709F6"/>
    <w:rsid w:val="005742D0"/>
    <w:rsid w:val="00585A33"/>
    <w:rsid w:val="00586FE6"/>
    <w:rsid w:val="00587FE3"/>
    <w:rsid w:val="00595F8F"/>
    <w:rsid w:val="00596C39"/>
    <w:rsid w:val="005A5310"/>
    <w:rsid w:val="005B4BA0"/>
    <w:rsid w:val="005B50B3"/>
    <w:rsid w:val="005D0B52"/>
    <w:rsid w:val="005D1B67"/>
    <w:rsid w:val="005D47FB"/>
    <w:rsid w:val="005D58C4"/>
    <w:rsid w:val="005E5C97"/>
    <w:rsid w:val="005F141D"/>
    <w:rsid w:val="005F261C"/>
    <w:rsid w:val="006046FB"/>
    <w:rsid w:val="0061544E"/>
    <w:rsid w:val="00633387"/>
    <w:rsid w:val="00636649"/>
    <w:rsid w:val="00646EC8"/>
    <w:rsid w:val="00653120"/>
    <w:rsid w:val="0066438C"/>
    <w:rsid w:val="00667F1D"/>
    <w:rsid w:val="0067550B"/>
    <w:rsid w:val="006773E6"/>
    <w:rsid w:val="00684DAC"/>
    <w:rsid w:val="006937BE"/>
    <w:rsid w:val="006957A7"/>
    <w:rsid w:val="006A2CC5"/>
    <w:rsid w:val="006A36AF"/>
    <w:rsid w:val="006B1DD1"/>
    <w:rsid w:val="006B2672"/>
    <w:rsid w:val="006B2863"/>
    <w:rsid w:val="006B28E9"/>
    <w:rsid w:val="006C4ED8"/>
    <w:rsid w:val="006E07D8"/>
    <w:rsid w:val="006E5F75"/>
    <w:rsid w:val="006E72DD"/>
    <w:rsid w:val="007108B9"/>
    <w:rsid w:val="007212E4"/>
    <w:rsid w:val="00723977"/>
    <w:rsid w:val="00735199"/>
    <w:rsid w:val="007531B8"/>
    <w:rsid w:val="0076017A"/>
    <w:rsid w:val="00764FA8"/>
    <w:rsid w:val="00766668"/>
    <w:rsid w:val="007815E0"/>
    <w:rsid w:val="00785D1B"/>
    <w:rsid w:val="007947F9"/>
    <w:rsid w:val="007A235C"/>
    <w:rsid w:val="007A5D50"/>
    <w:rsid w:val="007B6101"/>
    <w:rsid w:val="007B6F0A"/>
    <w:rsid w:val="007C1B01"/>
    <w:rsid w:val="007C79EE"/>
    <w:rsid w:val="007D3315"/>
    <w:rsid w:val="007D398A"/>
    <w:rsid w:val="007E3EF5"/>
    <w:rsid w:val="00804E85"/>
    <w:rsid w:val="00824119"/>
    <w:rsid w:val="00835E9C"/>
    <w:rsid w:val="00854829"/>
    <w:rsid w:val="00855BA1"/>
    <w:rsid w:val="00861D75"/>
    <w:rsid w:val="008671DE"/>
    <w:rsid w:val="008702B4"/>
    <w:rsid w:val="00872EC2"/>
    <w:rsid w:val="00875AF4"/>
    <w:rsid w:val="00876BD4"/>
    <w:rsid w:val="008A191D"/>
    <w:rsid w:val="008B3F8D"/>
    <w:rsid w:val="008B7944"/>
    <w:rsid w:val="008C7228"/>
    <w:rsid w:val="008D126B"/>
    <w:rsid w:val="008E107A"/>
    <w:rsid w:val="008E17CD"/>
    <w:rsid w:val="008F0413"/>
    <w:rsid w:val="008F5317"/>
    <w:rsid w:val="008F7AE5"/>
    <w:rsid w:val="009013B6"/>
    <w:rsid w:val="0090206D"/>
    <w:rsid w:val="009172FC"/>
    <w:rsid w:val="009312CA"/>
    <w:rsid w:val="00932015"/>
    <w:rsid w:val="009421B0"/>
    <w:rsid w:val="009428FE"/>
    <w:rsid w:val="00951102"/>
    <w:rsid w:val="0095556D"/>
    <w:rsid w:val="00955B5E"/>
    <w:rsid w:val="00956747"/>
    <w:rsid w:val="00967702"/>
    <w:rsid w:val="00981E93"/>
    <w:rsid w:val="00983954"/>
    <w:rsid w:val="009947C4"/>
    <w:rsid w:val="009A052B"/>
    <w:rsid w:val="009B6212"/>
    <w:rsid w:val="009C0F2F"/>
    <w:rsid w:val="009C2DD0"/>
    <w:rsid w:val="009C5294"/>
    <w:rsid w:val="009D16B8"/>
    <w:rsid w:val="009D51FB"/>
    <w:rsid w:val="009E658E"/>
    <w:rsid w:val="009F25C2"/>
    <w:rsid w:val="009F4939"/>
    <w:rsid w:val="009F5B1F"/>
    <w:rsid w:val="00A016A8"/>
    <w:rsid w:val="00A0663A"/>
    <w:rsid w:val="00A13C33"/>
    <w:rsid w:val="00A13E67"/>
    <w:rsid w:val="00A26F27"/>
    <w:rsid w:val="00A3071D"/>
    <w:rsid w:val="00A372FD"/>
    <w:rsid w:val="00A42218"/>
    <w:rsid w:val="00A4425C"/>
    <w:rsid w:val="00A46063"/>
    <w:rsid w:val="00A51DBD"/>
    <w:rsid w:val="00A55AFA"/>
    <w:rsid w:val="00A72525"/>
    <w:rsid w:val="00A9677B"/>
    <w:rsid w:val="00AA0ED3"/>
    <w:rsid w:val="00AA7284"/>
    <w:rsid w:val="00AB7A1A"/>
    <w:rsid w:val="00AD23CF"/>
    <w:rsid w:val="00AD246B"/>
    <w:rsid w:val="00AD7833"/>
    <w:rsid w:val="00AD79B2"/>
    <w:rsid w:val="00AE3D6C"/>
    <w:rsid w:val="00AF1527"/>
    <w:rsid w:val="00AF1AA4"/>
    <w:rsid w:val="00B016E6"/>
    <w:rsid w:val="00B169F6"/>
    <w:rsid w:val="00B26F91"/>
    <w:rsid w:val="00B35AE9"/>
    <w:rsid w:val="00B40916"/>
    <w:rsid w:val="00B42F6B"/>
    <w:rsid w:val="00B44FC3"/>
    <w:rsid w:val="00B54AC6"/>
    <w:rsid w:val="00B63148"/>
    <w:rsid w:val="00B7354F"/>
    <w:rsid w:val="00B740DE"/>
    <w:rsid w:val="00B914C4"/>
    <w:rsid w:val="00B95390"/>
    <w:rsid w:val="00BA43E5"/>
    <w:rsid w:val="00BA6F1C"/>
    <w:rsid w:val="00BB0BE1"/>
    <w:rsid w:val="00BC508A"/>
    <w:rsid w:val="00BC74FB"/>
    <w:rsid w:val="00BD05C2"/>
    <w:rsid w:val="00BD0E2D"/>
    <w:rsid w:val="00BF21AF"/>
    <w:rsid w:val="00C00630"/>
    <w:rsid w:val="00C10D4E"/>
    <w:rsid w:val="00C31868"/>
    <w:rsid w:val="00C344E2"/>
    <w:rsid w:val="00C40813"/>
    <w:rsid w:val="00C47989"/>
    <w:rsid w:val="00C52299"/>
    <w:rsid w:val="00C67700"/>
    <w:rsid w:val="00C67890"/>
    <w:rsid w:val="00C67897"/>
    <w:rsid w:val="00C721A6"/>
    <w:rsid w:val="00C74B28"/>
    <w:rsid w:val="00C95FDD"/>
    <w:rsid w:val="00CA4F31"/>
    <w:rsid w:val="00CB2773"/>
    <w:rsid w:val="00CB2E01"/>
    <w:rsid w:val="00CB3337"/>
    <w:rsid w:val="00CB5AC9"/>
    <w:rsid w:val="00CC034A"/>
    <w:rsid w:val="00CC0DB2"/>
    <w:rsid w:val="00CC5C3D"/>
    <w:rsid w:val="00CE08FB"/>
    <w:rsid w:val="00CF78A1"/>
    <w:rsid w:val="00D11B76"/>
    <w:rsid w:val="00D16B99"/>
    <w:rsid w:val="00D201C8"/>
    <w:rsid w:val="00D22A6E"/>
    <w:rsid w:val="00D2565F"/>
    <w:rsid w:val="00D418CF"/>
    <w:rsid w:val="00D52B1C"/>
    <w:rsid w:val="00D62EAC"/>
    <w:rsid w:val="00D65FBC"/>
    <w:rsid w:val="00D71D8E"/>
    <w:rsid w:val="00D749CB"/>
    <w:rsid w:val="00D87A95"/>
    <w:rsid w:val="00D947D8"/>
    <w:rsid w:val="00DA20C9"/>
    <w:rsid w:val="00DA3CA7"/>
    <w:rsid w:val="00DA6512"/>
    <w:rsid w:val="00DB061F"/>
    <w:rsid w:val="00DC4B21"/>
    <w:rsid w:val="00DC4EE8"/>
    <w:rsid w:val="00DD0909"/>
    <w:rsid w:val="00DD56C2"/>
    <w:rsid w:val="00DD61B1"/>
    <w:rsid w:val="00DF062C"/>
    <w:rsid w:val="00DF1BFD"/>
    <w:rsid w:val="00DF7A10"/>
    <w:rsid w:val="00E15F12"/>
    <w:rsid w:val="00E165C7"/>
    <w:rsid w:val="00E3279B"/>
    <w:rsid w:val="00E36DAF"/>
    <w:rsid w:val="00E47B9F"/>
    <w:rsid w:val="00E47EF8"/>
    <w:rsid w:val="00E5138B"/>
    <w:rsid w:val="00E55BF0"/>
    <w:rsid w:val="00E57297"/>
    <w:rsid w:val="00E607BF"/>
    <w:rsid w:val="00E61853"/>
    <w:rsid w:val="00E62C5E"/>
    <w:rsid w:val="00E70394"/>
    <w:rsid w:val="00E73BE8"/>
    <w:rsid w:val="00E77813"/>
    <w:rsid w:val="00E86367"/>
    <w:rsid w:val="00E92DDC"/>
    <w:rsid w:val="00ED1BF8"/>
    <w:rsid w:val="00EE4441"/>
    <w:rsid w:val="00EE6090"/>
    <w:rsid w:val="00EF2696"/>
    <w:rsid w:val="00F0678C"/>
    <w:rsid w:val="00F14572"/>
    <w:rsid w:val="00F22509"/>
    <w:rsid w:val="00F322B9"/>
    <w:rsid w:val="00F40AD6"/>
    <w:rsid w:val="00F54418"/>
    <w:rsid w:val="00F6409E"/>
    <w:rsid w:val="00F66B51"/>
    <w:rsid w:val="00F67994"/>
    <w:rsid w:val="00F701B4"/>
    <w:rsid w:val="00F74A7A"/>
    <w:rsid w:val="00F8634D"/>
    <w:rsid w:val="00F963AF"/>
    <w:rsid w:val="00F96FF0"/>
    <w:rsid w:val="00F976D3"/>
    <w:rsid w:val="00FA36C5"/>
    <w:rsid w:val="00FA7916"/>
    <w:rsid w:val="00FB0A0B"/>
    <w:rsid w:val="00FB45D7"/>
    <w:rsid w:val="00FC18DD"/>
    <w:rsid w:val="00FC37B1"/>
    <w:rsid w:val="00FD4B68"/>
    <w:rsid w:val="00FD7AB3"/>
    <w:rsid w:val="00FF1E2A"/>
    <w:rsid w:val="00FF396F"/>
    <w:rsid w:val="00FF797A"/>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175710"/>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qFormat="1" w:unhideWhenUsed="0" w:uiPriority="99"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360" w:lineRule="auto"/>
    </w:pPr>
    <w:rPr>
      <w:rFonts w:ascii="宋体" w:hAnsi="宋体" w:eastAsia="宋体" w:cs="宋体"/>
      <w:sz w:val="22"/>
      <w:szCs w:val="22"/>
      <w:lang w:val="en-US" w:eastAsia="en-US" w:bidi="ar-SA"/>
    </w:rPr>
  </w:style>
  <w:style w:type="paragraph" w:styleId="3">
    <w:name w:val="heading 1"/>
    <w:basedOn w:val="1"/>
    <w:next w:val="1"/>
    <w:link w:val="35"/>
    <w:qFormat/>
    <w:uiPriority w:val="0"/>
    <w:pPr>
      <w:ind w:left="538"/>
      <w:outlineLvl w:val="0"/>
    </w:pPr>
    <w:rPr>
      <w:b/>
      <w:bCs/>
      <w:sz w:val="28"/>
      <w:szCs w:val="28"/>
    </w:rPr>
  </w:style>
  <w:style w:type="paragraph" w:styleId="4">
    <w:name w:val="heading 2"/>
    <w:basedOn w:val="1"/>
    <w:next w:val="1"/>
    <w:link w:val="58"/>
    <w:qFormat/>
    <w:uiPriority w:val="0"/>
    <w:pPr>
      <w:ind w:left="629"/>
      <w:outlineLvl w:val="1"/>
    </w:pPr>
    <w:rPr>
      <w:b/>
      <w:bCs/>
      <w:sz w:val="24"/>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正文1"/>
    <w:link w:val="59"/>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5">
    <w:name w:val="Normal Indent"/>
    <w:basedOn w:val="1"/>
    <w:link w:val="31"/>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6">
    <w:name w:val="annotation text"/>
    <w:basedOn w:val="1"/>
    <w:link w:val="33"/>
    <w:unhideWhenUsed/>
    <w:qFormat/>
    <w:uiPriority w:val="99"/>
    <w:pPr>
      <w:autoSpaceDE/>
      <w:autoSpaceDN/>
    </w:pPr>
    <w:rPr>
      <w:rFonts w:ascii="Times New Roman" w:hAnsi="Times New Roman" w:cs="Times New Roman"/>
      <w:kern w:val="2"/>
      <w:sz w:val="21"/>
      <w:szCs w:val="24"/>
      <w:lang w:eastAsia="zh-CN"/>
    </w:rPr>
  </w:style>
  <w:style w:type="paragraph" w:styleId="7">
    <w:name w:val="Closing"/>
    <w:basedOn w:val="1"/>
    <w:link w:val="62"/>
    <w:qFormat/>
    <w:uiPriority w:val="99"/>
    <w:pPr>
      <w:autoSpaceDE/>
      <w:autoSpaceDN/>
      <w:spacing w:line="240" w:lineRule="auto"/>
      <w:ind w:left="100" w:leftChars="2100"/>
      <w:jc w:val="both"/>
    </w:pPr>
    <w:rPr>
      <w:rFonts w:ascii="Times New Roman" w:hAnsi="Times New Roman" w:cs="Times New Roman"/>
      <w:b/>
      <w:kern w:val="2"/>
      <w:sz w:val="21"/>
      <w:szCs w:val="20"/>
      <w:lang w:eastAsia="zh-CN"/>
    </w:rPr>
  </w:style>
  <w:style w:type="paragraph" w:styleId="8">
    <w:name w:val="Body Text"/>
    <w:basedOn w:val="1"/>
    <w:link w:val="36"/>
    <w:qFormat/>
    <w:uiPriority w:val="1"/>
    <w:rPr>
      <w:sz w:val="24"/>
      <w:szCs w:val="24"/>
    </w:rPr>
  </w:style>
  <w:style w:type="paragraph" w:styleId="9">
    <w:name w:val="Body Text Indent"/>
    <w:basedOn w:val="1"/>
    <w:link w:val="57"/>
    <w:qFormat/>
    <w:uiPriority w:val="0"/>
    <w:pPr>
      <w:spacing w:after="120"/>
      <w:ind w:left="420" w:leftChars="200"/>
    </w:pPr>
  </w:style>
  <w:style w:type="paragraph" w:styleId="10">
    <w:name w:val="Plain Text"/>
    <w:basedOn w:val="1"/>
    <w:link w:val="29"/>
    <w:qFormat/>
    <w:uiPriority w:val="0"/>
    <w:rPr>
      <w:rFonts w:hAnsi="Courier New" w:cs="Courier New"/>
      <w:szCs w:val="21"/>
    </w:rPr>
  </w:style>
  <w:style w:type="paragraph" w:styleId="11">
    <w:name w:val="Balloon Text"/>
    <w:basedOn w:val="1"/>
    <w:link w:val="30"/>
    <w:qFormat/>
    <w:uiPriority w:val="99"/>
    <w:rPr>
      <w:sz w:val="18"/>
      <w:szCs w:val="18"/>
    </w:rPr>
  </w:style>
  <w:style w:type="paragraph" w:styleId="12">
    <w:name w:val="footer"/>
    <w:basedOn w:val="1"/>
    <w:link w:val="28"/>
    <w:qFormat/>
    <w:uiPriority w:val="99"/>
    <w:pPr>
      <w:tabs>
        <w:tab w:val="center" w:pos="4153"/>
        <w:tab w:val="right" w:pos="8306"/>
      </w:tabs>
      <w:snapToGrid w:val="0"/>
    </w:pPr>
    <w:rPr>
      <w:sz w:val="18"/>
      <w:szCs w:val="18"/>
    </w:rPr>
  </w:style>
  <w:style w:type="paragraph" w:styleId="13">
    <w:name w:val="header"/>
    <w:basedOn w:val="1"/>
    <w:link w:val="3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Normal (Web)"/>
    <w:basedOn w:val="1"/>
    <w:unhideWhenUsed/>
    <w:uiPriority w:val="99"/>
    <w:pPr>
      <w:widowControl/>
      <w:autoSpaceDE/>
      <w:autoSpaceDN/>
      <w:spacing w:before="100" w:beforeAutospacing="1" w:after="100" w:afterAutospacing="1"/>
    </w:pPr>
    <w:rPr>
      <w:sz w:val="24"/>
      <w:szCs w:val="24"/>
      <w:lang w:eastAsia="zh-CN"/>
    </w:rPr>
  </w:style>
  <w:style w:type="paragraph" w:styleId="15">
    <w:name w:val="Title"/>
    <w:basedOn w:val="1"/>
    <w:next w:val="1"/>
    <w:link w:val="55"/>
    <w:qFormat/>
    <w:uiPriority w:val="10"/>
    <w:pPr>
      <w:autoSpaceDE/>
      <w:autoSpaceDN/>
      <w:spacing w:before="240" w:after="60"/>
      <w:jc w:val="center"/>
      <w:outlineLvl w:val="0"/>
    </w:pPr>
    <w:rPr>
      <w:rFonts w:ascii="Cambria" w:hAnsi="Cambria" w:cs="Times New Roman"/>
      <w:b/>
      <w:bCs/>
      <w:kern w:val="2"/>
      <w:sz w:val="32"/>
      <w:szCs w:val="32"/>
      <w:lang w:eastAsia="zh-CN"/>
    </w:rPr>
  </w:style>
  <w:style w:type="paragraph" w:styleId="16">
    <w:name w:val="annotation subject"/>
    <w:basedOn w:val="6"/>
    <w:next w:val="6"/>
    <w:link w:val="34"/>
    <w:unhideWhenUsed/>
    <w:uiPriority w:val="99"/>
    <w:rPr>
      <w:b/>
      <w:bCs/>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FollowedHyperlink"/>
    <w:qFormat/>
    <w:uiPriority w:val="99"/>
    <w:rPr>
      <w:color w:val="800080"/>
      <w:u w:val="single"/>
    </w:rPr>
  </w:style>
  <w:style w:type="character" w:styleId="22">
    <w:name w:val="Hyperlink"/>
    <w:basedOn w:val="19"/>
    <w:qFormat/>
    <w:uiPriority w:val="99"/>
    <w:rPr>
      <w:color w:val="0000FF"/>
      <w:u w:val="single"/>
    </w:rPr>
  </w:style>
  <w:style w:type="character" w:styleId="23">
    <w:name w:val="annotation reference"/>
    <w:basedOn w:val="19"/>
    <w:unhideWhenUsed/>
    <w:qFormat/>
    <w:uiPriority w:val="99"/>
    <w:rPr>
      <w:sz w:val="21"/>
      <w:szCs w:val="21"/>
    </w:rPr>
  </w:style>
  <w:style w:type="table" w:customStyle="1" w:styleId="24">
    <w:name w:val="Table Normal"/>
    <w:semiHidden/>
    <w:unhideWhenUsed/>
    <w:qFormat/>
    <w:uiPriority w:val="2"/>
    <w:tblPr>
      <w:tblCellMar>
        <w:top w:w="0" w:type="dxa"/>
        <w:left w:w="0" w:type="dxa"/>
        <w:bottom w:w="0" w:type="dxa"/>
        <w:right w:w="0" w:type="dxa"/>
      </w:tblCellMar>
    </w:tblPr>
  </w:style>
  <w:style w:type="paragraph" w:styleId="25">
    <w:name w:val="List Paragraph"/>
    <w:basedOn w:val="1"/>
    <w:qFormat/>
    <w:uiPriority w:val="34"/>
    <w:pPr>
      <w:spacing w:before="206"/>
      <w:ind w:left="959" w:hanging="361"/>
    </w:pPr>
  </w:style>
  <w:style w:type="paragraph" w:customStyle="1" w:styleId="26">
    <w:name w:val="Table Paragraph"/>
    <w:basedOn w:val="1"/>
    <w:qFormat/>
    <w:uiPriority w:val="1"/>
  </w:style>
  <w:style w:type="paragraph" w:customStyle="1" w:styleId="27">
    <w:name w:val="文档正文"/>
    <w:basedOn w:val="1"/>
    <w:qFormat/>
    <w:uiPriority w:val="0"/>
    <w:pPr>
      <w:spacing w:beforeLines="50" w:afterLines="50"/>
      <w:ind w:firstLine="560" w:firstLineChars="200"/>
    </w:pPr>
    <w:rPr>
      <w:rFonts w:cs="Arial"/>
      <w:bCs/>
      <w:sz w:val="28"/>
      <w:szCs w:val="28"/>
    </w:rPr>
  </w:style>
  <w:style w:type="character" w:customStyle="1" w:styleId="28">
    <w:name w:val="页脚 Char"/>
    <w:basedOn w:val="19"/>
    <w:link w:val="12"/>
    <w:qFormat/>
    <w:uiPriority w:val="99"/>
    <w:rPr>
      <w:rFonts w:ascii="宋体" w:hAnsi="宋体" w:cs="宋体"/>
      <w:sz w:val="18"/>
      <w:szCs w:val="18"/>
      <w:lang w:eastAsia="en-US"/>
    </w:rPr>
  </w:style>
  <w:style w:type="character" w:customStyle="1" w:styleId="29">
    <w:name w:val="纯文本 Char"/>
    <w:basedOn w:val="19"/>
    <w:link w:val="10"/>
    <w:qFormat/>
    <w:uiPriority w:val="0"/>
    <w:rPr>
      <w:rFonts w:ascii="宋体" w:hAnsi="Courier New" w:cs="Courier New"/>
      <w:sz w:val="22"/>
      <w:szCs w:val="21"/>
      <w:lang w:eastAsia="en-US"/>
    </w:rPr>
  </w:style>
  <w:style w:type="character" w:customStyle="1" w:styleId="30">
    <w:name w:val="批注框文本 Char"/>
    <w:basedOn w:val="19"/>
    <w:link w:val="11"/>
    <w:qFormat/>
    <w:uiPriority w:val="99"/>
    <w:rPr>
      <w:rFonts w:ascii="宋体" w:hAnsi="宋体" w:cs="宋体"/>
      <w:sz w:val="18"/>
      <w:szCs w:val="18"/>
      <w:lang w:eastAsia="en-US"/>
    </w:rPr>
  </w:style>
  <w:style w:type="character" w:customStyle="1" w:styleId="31">
    <w:name w:val="正文缩进 Char"/>
    <w:link w:val="5"/>
    <w:qFormat/>
    <w:uiPriority w:val="0"/>
    <w:rPr>
      <w:kern w:val="2"/>
      <w:sz w:val="21"/>
    </w:rPr>
  </w:style>
  <w:style w:type="character" w:customStyle="1" w:styleId="32">
    <w:name w:val="页眉 Char"/>
    <w:basedOn w:val="19"/>
    <w:link w:val="13"/>
    <w:uiPriority w:val="0"/>
    <w:rPr>
      <w:rFonts w:ascii="宋体" w:hAnsi="宋体" w:cs="宋体"/>
      <w:sz w:val="18"/>
      <w:szCs w:val="22"/>
      <w:lang w:eastAsia="en-US"/>
    </w:rPr>
  </w:style>
  <w:style w:type="character" w:customStyle="1" w:styleId="33">
    <w:name w:val="批注文字 Char"/>
    <w:basedOn w:val="19"/>
    <w:link w:val="6"/>
    <w:qFormat/>
    <w:uiPriority w:val="99"/>
    <w:rPr>
      <w:kern w:val="2"/>
      <w:sz w:val="21"/>
      <w:szCs w:val="24"/>
    </w:rPr>
  </w:style>
  <w:style w:type="character" w:customStyle="1" w:styleId="34">
    <w:name w:val="批注主题 Char"/>
    <w:basedOn w:val="33"/>
    <w:link w:val="16"/>
    <w:qFormat/>
    <w:uiPriority w:val="99"/>
    <w:rPr>
      <w:b/>
      <w:bCs/>
    </w:rPr>
  </w:style>
  <w:style w:type="character" w:customStyle="1" w:styleId="35">
    <w:name w:val="标题 1 Char"/>
    <w:basedOn w:val="19"/>
    <w:link w:val="3"/>
    <w:uiPriority w:val="0"/>
    <w:rPr>
      <w:rFonts w:ascii="宋体" w:hAnsi="宋体" w:cs="宋体"/>
      <w:b/>
      <w:bCs/>
      <w:sz w:val="28"/>
      <w:szCs w:val="28"/>
      <w:lang w:eastAsia="en-US"/>
    </w:rPr>
  </w:style>
  <w:style w:type="character" w:customStyle="1" w:styleId="36">
    <w:name w:val="正文文本 Char"/>
    <w:basedOn w:val="19"/>
    <w:link w:val="8"/>
    <w:qFormat/>
    <w:uiPriority w:val="0"/>
    <w:rPr>
      <w:rFonts w:ascii="宋体" w:hAnsi="宋体" w:cs="宋体"/>
      <w:sz w:val="24"/>
      <w:szCs w:val="24"/>
      <w:lang w:eastAsia="en-US"/>
    </w:rPr>
  </w:style>
  <w:style w:type="character" w:customStyle="1" w:styleId="37">
    <w:name w:val="xdrichtextbox2"/>
    <w:basedOn w:val="19"/>
    <w:qFormat/>
    <w:uiPriority w:val="0"/>
    <w:rPr>
      <w:color w:val="0000FF"/>
      <w:sz w:val="18"/>
      <w:szCs w:val="18"/>
      <w:u w:val="none"/>
      <w:bdr w:val="single" w:color="DCDCDC" w:sz="8" w:space="0"/>
      <w:shd w:val="clear" w:color="auto" w:fill="FFFFFF"/>
    </w:rPr>
  </w:style>
  <w:style w:type="paragraph" w:customStyle="1" w:styleId="38">
    <w:name w:val="font0"/>
    <w:basedOn w:val="1"/>
    <w:qFormat/>
    <w:uiPriority w:val="0"/>
    <w:pPr>
      <w:widowControl/>
      <w:autoSpaceDE/>
      <w:autoSpaceDN/>
      <w:spacing w:before="100" w:beforeAutospacing="1" w:after="100" w:afterAutospacing="1"/>
    </w:pPr>
    <w:rPr>
      <w:color w:val="000000"/>
      <w:lang w:eastAsia="zh-CN"/>
    </w:rPr>
  </w:style>
  <w:style w:type="paragraph" w:customStyle="1" w:styleId="39">
    <w:name w:val="font5"/>
    <w:basedOn w:val="1"/>
    <w:qFormat/>
    <w:uiPriority w:val="0"/>
    <w:pPr>
      <w:widowControl/>
      <w:autoSpaceDE/>
      <w:autoSpaceDN/>
      <w:spacing w:before="100" w:beforeAutospacing="1" w:after="100" w:afterAutospacing="1"/>
    </w:pPr>
    <w:rPr>
      <w:color w:val="000000"/>
      <w:sz w:val="24"/>
      <w:szCs w:val="24"/>
      <w:lang w:eastAsia="zh-CN"/>
    </w:rPr>
  </w:style>
  <w:style w:type="paragraph" w:customStyle="1" w:styleId="40">
    <w:name w:val="xl67"/>
    <w:basedOn w:val="1"/>
    <w:qFormat/>
    <w:uiPriority w:val="0"/>
    <w:pPr>
      <w:widowControl/>
      <w:autoSpaceDE/>
      <w:autoSpaceDN/>
      <w:spacing w:before="100" w:beforeAutospacing="1" w:after="100" w:afterAutospacing="1"/>
    </w:pPr>
    <w:rPr>
      <w:sz w:val="24"/>
      <w:szCs w:val="24"/>
      <w:lang w:eastAsia="zh-CN"/>
    </w:rPr>
  </w:style>
  <w:style w:type="paragraph" w:customStyle="1" w:styleId="41">
    <w:name w:val="xl68"/>
    <w:basedOn w:val="1"/>
    <w:qFormat/>
    <w:uiPriority w:val="0"/>
    <w:pPr>
      <w:widowControl/>
      <w:autoSpaceDE/>
      <w:autoSpaceDN/>
      <w:spacing w:before="100" w:beforeAutospacing="1" w:after="100" w:afterAutospacing="1"/>
    </w:pPr>
    <w:rPr>
      <w:b/>
      <w:bCs/>
      <w:sz w:val="24"/>
      <w:szCs w:val="24"/>
      <w:lang w:eastAsia="zh-CN"/>
    </w:rPr>
  </w:style>
  <w:style w:type="paragraph" w:customStyle="1" w:styleId="42">
    <w:name w:val="xl69"/>
    <w:basedOn w:val="1"/>
    <w:qFormat/>
    <w:uiPriority w:val="0"/>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43">
    <w:name w:val="xl70"/>
    <w:basedOn w:val="1"/>
    <w:qFormat/>
    <w:uiPriority w:val="0"/>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44">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b/>
      <w:bCs/>
      <w:sz w:val="24"/>
      <w:szCs w:val="24"/>
      <w:lang w:eastAsia="zh-CN"/>
    </w:rPr>
  </w:style>
  <w:style w:type="paragraph" w:customStyle="1" w:styleId="45">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b/>
      <w:bCs/>
      <w:sz w:val="24"/>
      <w:szCs w:val="24"/>
      <w:lang w:eastAsia="zh-CN"/>
    </w:rPr>
  </w:style>
  <w:style w:type="paragraph" w:customStyle="1" w:styleId="46">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47">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sz w:val="24"/>
      <w:szCs w:val="24"/>
      <w:lang w:eastAsia="zh-CN"/>
    </w:rPr>
  </w:style>
  <w:style w:type="paragraph" w:customStyle="1" w:styleId="48">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sz w:val="24"/>
      <w:szCs w:val="24"/>
      <w:lang w:eastAsia="zh-CN"/>
    </w:rPr>
  </w:style>
  <w:style w:type="paragraph" w:customStyle="1" w:styleId="49">
    <w:name w:val="xl7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eastAsia="zh-CN"/>
    </w:rPr>
  </w:style>
  <w:style w:type="paragraph" w:customStyle="1" w:styleId="5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5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sz w:val="24"/>
      <w:szCs w:val="24"/>
      <w:lang w:eastAsia="zh-CN"/>
    </w:rPr>
  </w:style>
  <w:style w:type="paragraph" w:customStyle="1" w:styleId="52">
    <w:name w:val="xl79"/>
    <w:basedOn w:val="1"/>
    <w:qFormat/>
    <w:uiPriority w:val="0"/>
    <w:pPr>
      <w:widowControl/>
      <w:pBdr>
        <w:bottom w:val="single" w:color="auto" w:sz="4" w:space="0"/>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53">
    <w:name w:val="wz141"/>
    <w:qFormat/>
    <w:uiPriority w:val="0"/>
    <w:rPr>
      <w:rFonts w:hint="default" w:ascii="Arial" w:hAnsi="Arial" w:cs="Arial"/>
      <w:color w:val="000000"/>
      <w:sz w:val="21"/>
      <w:szCs w:val="21"/>
    </w:rPr>
  </w:style>
  <w:style w:type="character" w:customStyle="1" w:styleId="54">
    <w:name w:val="apple-converted-space"/>
    <w:basedOn w:val="19"/>
    <w:qFormat/>
    <w:uiPriority w:val="0"/>
  </w:style>
  <w:style w:type="character" w:customStyle="1" w:styleId="55">
    <w:name w:val="标题 Char"/>
    <w:basedOn w:val="19"/>
    <w:link w:val="15"/>
    <w:qFormat/>
    <w:uiPriority w:val="10"/>
    <w:rPr>
      <w:rFonts w:ascii="Cambria" w:hAnsi="Cambria"/>
      <w:b/>
      <w:bCs/>
      <w:kern w:val="2"/>
      <w:sz w:val="32"/>
      <w:szCs w:val="32"/>
    </w:rPr>
  </w:style>
  <w:style w:type="character" w:customStyle="1" w:styleId="56">
    <w:name w:val="纯文本 Char1"/>
    <w:qFormat/>
    <w:uiPriority w:val="0"/>
    <w:rPr>
      <w:rFonts w:ascii="宋体" w:hAnsi="Courier New" w:cs="Courier New"/>
      <w:sz w:val="22"/>
      <w:szCs w:val="21"/>
      <w:lang w:eastAsia="en-US"/>
    </w:rPr>
  </w:style>
  <w:style w:type="character" w:customStyle="1" w:styleId="57">
    <w:name w:val="正文文本缩进 Char"/>
    <w:basedOn w:val="19"/>
    <w:link w:val="9"/>
    <w:qFormat/>
    <w:uiPriority w:val="0"/>
    <w:rPr>
      <w:rFonts w:ascii="宋体" w:hAnsi="宋体" w:cs="宋体"/>
      <w:sz w:val="22"/>
      <w:szCs w:val="22"/>
      <w:lang w:eastAsia="en-US"/>
    </w:rPr>
  </w:style>
  <w:style w:type="character" w:customStyle="1" w:styleId="58">
    <w:name w:val="标题 2 Char"/>
    <w:basedOn w:val="19"/>
    <w:link w:val="4"/>
    <w:qFormat/>
    <w:uiPriority w:val="0"/>
    <w:rPr>
      <w:rFonts w:ascii="宋体" w:hAnsi="宋体" w:cs="宋体"/>
      <w:b/>
      <w:bCs/>
      <w:sz w:val="24"/>
      <w:szCs w:val="24"/>
      <w:lang w:eastAsia="en-US"/>
    </w:rPr>
  </w:style>
  <w:style w:type="character" w:customStyle="1" w:styleId="59">
    <w:name w:val="正文1 Char"/>
    <w:basedOn w:val="19"/>
    <w:link w:val="2"/>
    <w:qFormat/>
    <w:locked/>
    <w:uiPriority w:val="0"/>
    <w:rPr>
      <w:rFonts w:ascii="宋体" w:hAnsi="Calibri"/>
      <w:sz w:val="34"/>
      <w:szCs w:val="22"/>
    </w:rPr>
  </w:style>
  <w:style w:type="paragraph" w:customStyle="1" w:styleId="60">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61">
    <w:name w:val="列出段落2"/>
    <w:basedOn w:val="1"/>
    <w:qFormat/>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62">
    <w:name w:val="结束语 Char"/>
    <w:basedOn w:val="19"/>
    <w:link w:val="7"/>
    <w:qFormat/>
    <w:uiPriority w:val="99"/>
    <w:rPr>
      <w:b/>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6"/>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30FD12-F8E9-4B05-B666-338EF2E6D53F}">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34</Pages>
  <Words>3110</Words>
  <Characters>17732</Characters>
  <Lines>147</Lines>
  <Paragraphs>41</Paragraphs>
  <TotalTime>155</TotalTime>
  <ScaleCrop>false</ScaleCrop>
  <LinksUpToDate>false</LinksUpToDate>
  <CharactersWithSpaces>20801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2021-05-27T01:01:00Z</dcterms:created>
  <dc:creator>CGC</dc:creator>
  <cp:lastModifiedBy>潘骏</cp:lastModifiedBy>
  <cp:lastPrinted>2019-10-12T01:19:00Z</cp:lastPrinted>
  <dcterms:modified xsi:type="dcterms:W3CDTF">2021-06-29T08:13:48Z</dcterms:modified>
  <dc:title>公开招标文件（货物服务类）</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2052-11.1.0.10578</vt:lpwstr>
  </property>
  <property fmtid="{D5CDD505-2E9C-101B-9397-08002B2CF9AE}" pid="6" name="ICV">
    <vt:lpwstr>CC044C6B2C894066BAE009631C8C6E62</vt:lpwstr>
  </property>
</Properties>
</file>