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5"/>
        <w:rPr>
          <w:rFonts w:ascii="Times New Roman"/>
          <w:sz w:val="20"/>
        </w:rPr>
      </w:pPr>
    </w:p>
    <w:p>
      <w:pPr>
        <w:spacing w:line="788" w:lineRule="exact"/>
        <w:ind w:left="167"/>
        <w:jc w:val="center"/>
        <w:rPr>
          <w:rFonts w:ascii="微软雅黑" w:eastAsia="微软雅黑"/>
          <w:b/>
          <w:sz w:val="36"/>
          <w:szCs w:val="36"/>
          <w:lang w:eastAsia="zh-CN"/>
        </w:rPr>
      </w:pPr>
      <w:r>
        <w:rPr>
          <w:rFonts w:hint="eastAsia" w:ascii="微软雅黑" w:eastAsia="微软雅黑"/>
          <w:b/>
          <w:sz w:val="36"/>
          <w:szCs w:val="36"/>
          <w:lang w:eastAsia="zh-CN"/>
        </w:rPr>
        <w:t>福建福海创石油化工有限公司</w:t>
      </w:r>
    </w:p>
    <w:p>
      <w:pPr>
        <w:pStyle w:val="2"/>
        <w:rPr>
          <w:sz w:val="36"/>
          <w:szCs w:val="36"/>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lang w:eastAsia="zh-CN"/>
        </w:rPr>
        <w:t>48塔监测/宏观检查（二期/三期）项目</w:t>
      </w:r>
    </w:p>
    <w:p>
      <w:pPr>
        <w:pStyle w:val="7"/>
        <w:rPr>
          <w:rFonts w:ascii="微软雅黑"/>
          <w:b/>
          <w:sz w:val="68"/>
          <w:lang w:eastAsia="zh-CN"/>
        </w:rPr>
      </w:pPr>
    </w:p>
    <w:p>
      <w:pPr>
        <w:pStyle w:val="7"/>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FHC-PTCG20210407002 </w:t>
      </w:r>
      <w:r>
        <w:rPr>
          <w:rFonts w:hint="eastAsia"/>
          <w:sz w:val="28"/>
          <w:szCs w:val="28"/>
        </w:rPr>
        <w:t>）</w:t>
      </w:r>
    </w:p>
    <w:p>
      <w:pPr>
        <w:pStyle w:val="7"/>
        <w:rPr>
          <w:rFonts w:ascii="微软雅黑"/>
          <w:b/>
          <w:sz w:val="94"/>
          <w:lang w:eastAsia="zh-CN"/>
        </w:rPr>
      </w:pPr>
    </w:p>
    <w:p>
      <w:pPr>
        <w:pStyle w:val="7"/>
        <w:spacing w:before="7"/>
        <w:rPr>
          <w:rFonts w:ascii="微软雅黑"/>
          <w:b/>
          <w:sz w:val="74"/>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福建福海创石油化工有限公司编制2021 年  06  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7"/>
        <w:rPr>
          <w:rFonts w:ascii="黑体"/>
          <w:sz w:val="20"/>
          <w:lang w:eastAsia="zh-CN"/>
        </w:rPr>
      </w:pPr>
    </w:p>
    <w:p>
      <w:pPr>
        <w:pStyle w:val="7"/>
        <w:rPr>
          <w:rFonts w:ascii="黑体"/>
          <w:sz w:val="20"/>
          <w:lang w:eastAsia="zh-CN"/>
        </w:rPr>
      </w:pPr>
    </w:p>
    <w:p>
      <w:pPr>
        <w:pStyle w:val="7"/>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2"/>
      </w:pPr>
      <w:r>
        <w:rPr>
          <w:rFonts w:hint="eastAsia"/>
        </w:rPr>
        <w:t xml:space="preserve">  </w:t>
      </w:r>
      <w:r>
        <w:rPr>
          <w:rFonts w:hint="eastAsia" w:hAnsi="宋体" w:cs="宋体"/>
          <w:sz w:val="28"/>
        </w:rPr>
        <w:t xml:space="preserve">第八章   </w:t>
      </w:r>
      <w:r>
        <w:rPr>
          <w:rFonts w:hint="eastAsia"/>
          <w:sz w:val="28"/>
        </w:rPr>
        <w:t>检查方案</w:t>
      </w:r>
    </w:p>
    <w:p>
      <w:pPr>
        <w:pStyle w:val="7"/>
        <w:rPr>
          <w:sz w:val="28"/>
          <w:lang w:eastAsia="zh-CN"/>
        </w:rPr>
      </w:pPr>
    </w:p>
    <w:p>
      <w:pPr>
        <w:pStyle w:val="7"/>
        <w:rPr>
          <w:sz w:val="28"/>
          <w:lang w:eastAsia="zh-CN"/>
        </w:rPr>
      </w:pPr>
    </w:p>
    <w:p>
      <w:pPr>
        <w:pStyle w:val="7"/>
        <w:rPr>
          <w:sz w:val="28"/>
          <w:lang w:eastAsia="zh-CN"/>
        </w:rPr>
      </w:pPr>
    </w:p>
    <w:p>
      <w:pPr>
        <w:pStyle w:val="7"/>
        <w:rPr>
          <w:sz w:val="28"/>
          <w:lang w:eastAsia="zh-CN"/>
        </w:rPr>
      </w:pPr>
    </w:p>
    <w:p>
      <w:pPr>
        <w:pStyle w:val="7"/>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5" w:type="default"/>
          <w:pgSz w:w="11910" w:h="16840"/>
          <w:pgMar w:top="1480" w:right="1340" w:bottom="740" w:left="1680" w:header="0" w:footer="551" w:gutter="0"/>
          <w:pgNumType w:start="1"/>
          <w:cols w:space="720" w:num="1"/>
        </w:sectPr>
      </w:pPr>
    </w:p>
    <w:p>
      <w:pPr>
        <w:tabs>
          <w:tab w:val="left" w:pos="1272"/>
        </w:tabs>
        <w:ind w:left="11"/>
        <w:jc w:val="center"/>
        <w:rPr>
          <w:b/>
          <w:w w:val="95"/>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ind w:left="170" w:firstLine="480" w:firstLineChars="200"/>
        <w:rPr>
          <w:sz w:val="24"/>
          <w:szCs w:val="24"/>
          <w:lang w:eastAsia="zh-CN"/>
        </w:rPr>
      </w:pPr>
      <w:r>
        <w:rPr>
          <w:sz w:val="24"/>
          <w:szCs w:val="24"/>
          <w:lang w:eastAsia="zh-CN"/>
        </w:rPr>
        <w:t>福建福海创石油化工有限公司拟对本公司</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b/>
          <w:sz w:val="24"/>
          <w:szCs w:val="24"/>
          <w:u w:val="single"/>
          <w:lang w:eastAsia="zh-CN"/>
        </w:rPr>
        <w:t>48塔监测/宏观检查（二期/三期）项目</w:t>
      </w:r>
      <w:r>
        <w:rPr>
          <w:sz w:val="24"/>
          <w:szCs w:val="24"/>
          <w:lang w:eastAsia="zh-CN"/>
        </w:rPr>
        <w:t>进行公开比选。为了“公开、公平、公正、透明”，引导参选人进行正确参选，特制定本规定文件。承诺本次自主比选不存在任何障碍，保证本公告内容不存在任何重大遗漏、虚假陈述或严重误导，并对其内容的真实性、完整性和有效性负责。</w:t>
      </w:r>
    </w:p>
    <w:p>
      <w:pPr>
        <w:autoSpaceDE/>
        <w:autoSpaceDN/>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一、项目概况</w:t>
      </w:r>
    </w:p>
    <w:p>
      <w:pPr>
        <w:autoSpaceDE/>
        <w:autoSpaceDN/>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w:t>
      </w:r>
      <w:r>
        <w:rPr>
          <w:rFonts w:hint="eastAsia" w:asciiTheme="majorEastAsia" w:hAnsiTheme="majorEastAsia" w:eastAsiaTheme="majorEastAsia"/>
          <w:sz w:val="24"/>
          <w:szCs w:val="24"/>
          <w:u w:val="single"/>
          <w:lang w:eastAsia="zh-CN"/>
        </w:rPr>
        <w:t>48塔监测/宏观检查（二期/三期）</w:t>
      </w:r>
      <w:r>
        <w:rPr>
          <w:rFonts w:hint="eastAsia" w:asciiTheme="majorEastAsia" w:hAnsiTheme="majorEastAsia" w:eastAsiaTheme="majorEastAsia"/>
          <w:bCs/>
          <w:sz w:val="24"/>
          <w:szCs w:val="24"/>
          <w:u w:val="single"/>
          <w:lang w:eastAsia="zh-CN"/>
        </w:rPr>
        <w:t xml:space="preserve">项目 </w:t>
      </w:r>
    </w:p>
    <w:p>
      <w:pPr>
        <w:autoSpaceDE/>
        <w:autoSpaceDN/>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项目简要说明：</w:t>
      </w:r>
      <w:r>
        <w:rPr>
          <w:rFonts w:hint="eastAsia"/>
          <w:bCs/>
          <w:sz w:val="24"/>
          <w:lang w:eastAsia="zh-CN"/>
        </w:rPr>
        <w:t>为保证这48台塔器的安全运行，</w:t>
      </w:r>
      <w:r>
        <w:rPr>
          <w:rFonts w:hint="eastAsia"/>
          <w:bCs/>
          <w:sz w:val="24"/>
          <w:szCs w:val="24"/>
          <w:lang w:eastAsia="zh-CN"/>
        </w:rPr>
        <w:t>需要安装塔体安装塔体结构安全监测系统，并对塔器进行宏观检查</w:t>
      </w:r>
      <w:r>
        <w:rPr>
          <w:sz w:val="24"/>
          <w:szCs w:val="24"/>
          <w:lang w:eastAsia="zh-CN"/>
        </w:rPr>
        <w:t>。</w:t>
      </w:r>
    </w:p>
    <w:p>
      <w:pPr>
        <w:pStyle w:val="4"/>
        <w:spacing w:before="24"/>
        <w:ind w:left="0" w:firstLine="480" w:firstLineChars="200"/>
        <w:rPr>
          <w:lang w:eastAsia="zh-CN"/>
        </w:rPr>
      </w:pPr>
      <w:r>
        <w:rPr>
          <w:rFonts w:hint="eastAsia" w:asciiTheme="majorEastAsia" w:hAnsiTheme="majorEastAsia" w:eastAsiaTheme="majorEastAsia"/>
          <w:b w:val="0"/>
          <w:lang w:eastAsia="zh-CN"/>
        </w:rPr>
        <w:t>3. 比选控制价：300万元</w:t>
      </w:r>
    </w:p>
    <w:p>
      <w:pPr>
        <w:pStyle w:val="4"/>
        <w:spacing w:before="24"/>
        <w:ind w:left="0" w:firstLine="359" w:firstLineChars="149"/>
        <w:rPr>
          <w:lang w:eastAsia="zh-CN"/>
        </w:rPr>
      </w:pPr>
      <w:r>
        <w:rPr>
          <w:rFonts w:hint="eastAsia"/>
          <w:lang w:eastAsia="zh-CN"/>
        </w:rPr>
        <w:t>二</w:t>
      </w:r>
      <w:r>
        <w:rPr>
          <w:lang w:eastAsia="zh-CN"/>
        </w:rPr>
        <w:t>、参选人资格要求：</w:t>
      </w:r>
    </w:p>
    <w:p>
      <w:pPr>
        <w:ind w:firstLine="480" w:firstLineChars="200"/>
        <w:rPr>
          <w:sz w:val="24"/>
          <w:szCs w:val="24"/>
          <w:lang w:eastAsia="zh-CN"/>
        </w:rPr>
      </w:pPr>
      <w:r>
        <w:rPr>
          <w:rFonts w:hint="eastAsia"/>
          <w:sz w:val="24"/>
          <w:szCs w:val="24"/>
          <w:lang w:eastAsia="zh-CN"/>
        </w:rPr>
        <w:t xml:space="preserve">1. </w:t>
      </w:r>
      <w:r>
        <w:rPr>
          <w:rFonts w:hint="eastAsia" w:asciiTheme="majorEastAsia" w:hAnsiTheme="majorEastAsia" w:eastAsiaTheme="majorEastAsia"/>
          <w:sz w:val="24"/>
          <w:szCs w:val="24"/>
          <w:lang w:eastAsia="zh-CN"/>
        </w:rPr>
        <w:t>必须具有中华人民共和国独立法人资格，</w:t>
      </w:r>
      <w:r>
        <w:rPr>
          <w:rFonts w:hint="eastAsia"/>
          <w:sz w:val="24"/>
          <w:szCs w:val="24"/>
          <w:lang w:eastAsia="zh-CN"/>
        </w:rPr>
        <w:t>具备有效的企业法人营业执照；</w:t>
      </w:r>
    </w:p>
    <w:p>
      <w:pPr>
        <w:ind w:firstLine="480" w:firstLineChars="200"/>
        <w:rPr>
          <w:sz w:val="24"/>
          <w:szCs w:val="24"/>
          <w:lang w:eastAsia="zh-CN"/>
        </w:rPr>
      </w:pPr>
      <w:r>
        <w:rPr>
          <w:rFonts w:hint="eastAsia"/>
          <w:sz w:val="24"/>
          <w:szCs w:val="24"/>
          <w:lang w:eastAsia="zh-CN"/>
        </w:rPr>
        <w:t xml:space="preserve">2. </w:t>
      </w:r>
      <w:r>
        <w:rPr>
          <w:rFonts w:hint="eastAsia"/>
          <w:sz w:val="24"/>
          <w:lang w:eastAsia="zh-CN"/>
        </w:rPr>
        <w:t>参选方应</w:t>
      </w:r>
      <w:r>
        <w:rPr>
          <w:rFonts w:hint="eastAsia"/>
          <w:bCs/>
          <w:sz w:val="24"/>
          <w:lang w:eastAsia="zh-CN"/>
        </w:rPr>
        <w:t>具备综合检验机构（甲类）且有合于使用评价业绩、应力分析能力</w:t>
      </w:r>
      <w:r>
        <w:rPr>
          <w:rFonts w:hint="eastAsia"/>
          <w:sz w:val="24"/>
          <w:szCs w:val="24"/>
          <w:lang w:eastAsia="zh-CN"/>
        </w:rPr>
        <w:t>；</w:t>
      </w:r>
    </w:p>
    <w:p>
      <w:pPr>
        <w:ind w:firstLine="480" w:firstLineChars="200"/>
        <w:rPr>
          <w:sz w:val="24"/>
          <w:szCs w:val="24"/>
          <w:lang w:eastAsia="zh-CN"/>
        </w:rPr>
      </w:pPr>
      <w:r>
        <w:rPr>
          <w:rFonts w:hint="eastAsia"/>
          <w:sz w:val="24"/>
          <w:szCs w:val="24"/>
          <w:lang w:eastAsia="zh-CN"/>
        </w:rPr>
        <w:t xml:space="preserve">3. </w:t>
      </w:r>
      <w:r>
        <w:rPr>
          <w:rFonts w:asciiTheme="majorEastAsia" w:hAnsiTheme="majorEastAsia" w:eastAsiaTheme="majorEastAsia"/>
          <w:sz w:val="24"/>
          <w:szCs w:val="24"/>
          <w:lang w:eastAsia="zh-CN"/>
        </w:rPr>
        <w:t>没有失信黑名单记录（以最高院失信被执行人系统发布信息为准）；</w:t>
      </w:r>
    </w:p>
    <w:p>
      <w:pPr>
        <w:pStyle w:val="2"/>
        <w:spacing w:line="360" w:lineRule="auto"/>
        <w:ind w:firstLine="465"/>
        <w:rPr>
          <w:sz w:val="24"/>
          <w:szCs w:val="24"/>
        </w:rPr>
      </w:pPr>
      <w:r>
        <w:rPr>
          <w:rFonts w:hint="eastAsia"/>
          <w:sz w:val="24"/>
          <w:szCs w:val="24"/>
        </w:rPr>
        <w:t xml:space="preserve">4. </w:t>
      </w:r>
      <w:r>
        <w:rPr>
          <w:rFonts w:asciiTheme="majorEastAsia" w:hAnsiTheme="majorEastAsia" w:eastAsiaTheme="majorEastAsia"/>
          <w:sz w:val="24"/>
          <w:szCs w:val="24"/>
        </w:rPr>
        <w:t>与</w:t>
      </w:r>
      <w:r>
        <w:rPr>
          <w:rFonts w:hint="eastAsia" w:asciiTheme="majorEastAsia" w:hAnsiTheme="majorEastAsia" w:eastAsiaTheme="majorEastAsia"/>
          <w:sz w:val="24"/>
          <w:szCs w:val="24"/>
        </w:rPr>
        <w:t>比选人</w:t>
      </w:r>
      <w:r>
        <w:rPr>
          <w:rFonts w:asciiTheme="majorEastAsia" w:hAnsiTheme="majorEastAsia" w:eastAsiaTheme="majorEastAsia"/>
          <w:sz w:val="24"/>
          <w:szCs w:val="24"/>
        </w:rPr>
        <w:t>无诉讼纠纷</w:t>
      </w:r>
      <w:r>
        <w:rPr>
          <w:rFonts w:hint="eastAsia" w:asciiTheme="majorEastAsia" w:hAnsiTheme="majorEastAsia" w:eastAsiaTheme="majorEastAsia"/>
          <w:sz w:val="24"/>
          <w:szCs w:val="24"/>
        </w:rPr>
        <w:t>；</w:t>
      </w:r>
    </w:p>
    <w:p>
      <w:pPr>
        <w:pStyle w:val="2"/>
        <w:spacing w:line="360" w:lineRule="auto"/>
        <w:ind w:firstLine="465"/>
        <w:rPr>
          <w:sz w:val="24"/>
          <w:szCs w:val="24"/>
        </w:rPr>
      </w:pPr>
      <w:r>
        <w:rPr>
          <w:rFonts w:hint="eastAsia"/>
          <w:sz w:val="24"/>
          <w:szCs w:val="24"/>
        </w:rPr>
        <w:t>5.</w:t>
      </w:r>
      <w:r>
        <w:rPr>
          <w:rFonts w:asciiTheme="majorEastAsia" w:hAnsiTheme="majorEastAsia" w:eastAsiaTheme="majorEastAsia"/>
          <w:sz w:val="24"/>
          <w:szCs w:val="24"/>
        </w:rPr>
        <w:t xml:space="preserve"> </w:t>
      </w:r>
      <w:r>
        <w:rPr>
          <w:rFonts w:hint="eastAsia"/>
          <w:sz w:val="24"/>
          <w:szCs w:val="24"/>
        </w:rPr>
        <w:t>本项目不接受联合体参选，不允许分包。</w:t>
      </w:r>
    </w:p>
    <w:p>
      <w:pPr>
        <w:pStyle w:val="25"/>
        <w:autoSpaceDE/>
        <w:autoSpaceDN/>
        <w:spacing w:before="0"/>
        <w:ind w:left="119" w:leftChars="54" w:firstLine="378" w:firstLineChars="147"/>
        <w:jc w:val="both"/>
        <w:rPr>
          <w:rFonts w:asciiTheme="majorEastAsia" w:hAnsiTheme="majorEastAsia" w:eastAsiaTheme="majorEastAsia"/>
          <w:b/>
          <w:bCs/>
          <w:sz w:val="24"/>
          <w:szCs w:val="24"/>
          <w:lang w:eastAsia="zh-CN"/>
        </w:rPr>
      </w:pPr>
      <w:r>
        <w:rPr>
          <w:rFonts w:hint="eastAsia"/>
          <w:b/>
          <w:snapToGrid w:val="0"/>
          <w:spacing w:val="8"/>
          <w:sz w:val="24"/>
          <w:szCs w:val="24"/>
          <w:lang w:eastAsia="zh-CN"/>
        </w:rPr>
        <w:t>三、</w:t>
      </w:r>
      <w:r>
        <w:rPr>
          <w:rFonts w:hint="eastAsia" w:asciiTheme="majorEastAsia" w:hAnsiTheme="majorEastAsia" w:eastAsiaTheme="majorEastAsia"/>
          <w:b/>
          <w:bCs/>
          <w:sz w:val="24"/>
          <w:szCs w:val="24"/>
          <w:lang w:eastAsia="zh-CN"/>
        </w:rPr>
        <w:t>报名要求</w:t>
      </w:r>
    </w:p>
    <w:p>
      <w:pPr>
        <w:autoSpaceDE/>
        <w:autoSpaceDN/>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2021年6月</w:t>
      </w:r>
      <w:r>
        <w:rPr>
          <w:rFonts w:hint="eastAsia" w:asciiTheme="majorEastAsia" w:hAnsiTheme="majorEastAsia" w:eastAsiaTheme="majorEastAsia"/>
          <w:sz w:val="24"/>
          <w:szCs w:val="24"/>
          <w:lang w:val="en-US" w:eastAsia="zh-CN"/>
        </w:rPr>
        <w:t>17</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26</w:t>
      </w:r>
      <w:bookmarkStart w:id="10" w:name="_GoBack"/>
      <w:bookmarkEnd w:id="10"/>
      <w:r>
        <w:rPr>
          <w:rFonts w:hint="eastAsia" w:asciiTheme="majorEastAsia" w:hAnsiTheme="majorEastAsia" w:eastAsiaTheme="majorEastAsia"/>
          <w:sz w:val="24"/>
          <w:szCs w:val="24"/>
          <w:lang w:eastAsia="zh-CN"/>
        </w:rPr>
        <w:t>日14:30时（共10天）</w:t>
      </w:r>
    </w:p>
    <w:p>
      <w:pPr>
        <w:autoSpaceDE/>
        <w:autoSpaceDN/>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w:t>
      </w:r>
    </w:p>
    <w:p>
      <w:pPr>
        <w:autoSpaceDE/>
        <w:autoSpaceDN/>
        <w:ind w:left="484" w:leftChars="220" w:firstLine="360" w:firstLine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邮件报名（须同时提交盖公章的法定代表人授权书及营业执照扫描件），邮件发至：</w:t>
      </w:r>
      <w:r>
        <w:fldChar w:fldCharType="begin"/>
      </w:r>
      <w:r>
        <w:instrText xml:space="preserve"> HYPERLINK "mailto:hzji@fhcpec.com.cn" </w:instrText>
      </w:r>
      <w:r>
        <w:fldChar w:fldCharType="separate"/>
      </w:r>
      <w:r>
        <w:rPr>
          <w:rStyle w:val="22"/>
          <w:rFonts w:hint="eastAsia" w:asciiTheme="majorEastAsia" w:hAnsiTheme="majorEastAsia" w:eastAsiaTheme="majorEastAsia"/>
          <w:sz w:val="24"/>
          <w:szCs w:val="24"/>
          <w:lang w:eastAsia="zh-CN"/>
        </w:rPr>
        <w:t>hzji@fhcpec.com.cn</w:t>
      </w:r>
      <w:r>
        <w:rPr>
          <w:rStyle w:val="22"/>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pStyle w:val="25"/>
        <w:numPr>
          <w:ilvl w:val="0"/>
          <w:numId w:val="1"/>
        </w:numPr>
        <w:autoSpaceDE/>
        <w:autoSpaceDN/>
        <w:spacing w:before="0"/>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autoSpaceDE/>
        <w:autoSpaceDN/>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递交截止时间：报名截止时间延后2个工作日</w:t>
      </w:r>
    </w:p>
    <w:p>
      <w:pPr>
        <w:pStyle w:val="25"/>
        <w:numPr>
          <w:ilvl w:val="0"/>
          <w:numId w:val="1"/>
        </w:numPr>
        <w:autoSpaceDE/>
        <w:autoSpaceDN/>
        <w:spacing w:before="0"/>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联系方式</w:t>
      </w:r>
    </w:p>
    <w:p>
      <w:pPr>
        <w:pStyle w:val="5"/>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商务联系人：纪先生  电话：0596-6311823  邮箱：hzji@fhcpec.com.cn</w:t>
      </w:r>
    </w:p>
    <w:p>
      <w:pPr>
        <w:pStyle w:val="5"/>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纪检监察室电话：0596-6311774  邮箱：</w:t>
      </w:r>
      <w:r>
        <w:fldChar w:fldCharType="begin"/>
      </w:r>
      <w:r>
        <w:instrText xml:space="preserve"> HYPERLINK "mailto:fhcjc@fhcpec.com.cn" </w:instrText>
      </w:r>
      <w:r>
        <w:fldChar w:fldCharType="separate"/>
      </w:r>
      <w:r>
        <w:rPr>
          <w:rStyle w:val="22"/>
          <w:rFonts w:hint="eastAsia" w:asciiTheme="majorEastAsia" w:hAnsiTheme="majorEastAsia" w:eastAsiaTheme="majorEastAsia"/>
          <w:sz w:val="24"/>
        </w:rPr>
        <w:t>fhcjc</w:t>
      </w:r>
      <w:r>
        <w:rPr>
          <w:rStyle w:val="22"/>
          <w:rFonts w:asciiTheme="majorEastAsia" w:hAnsiTheme="majorEastAsia" w:eastAsiaTheme="majorEastAsia"/>
          <w:sz w:val="24"/>
        </w:rPr>
        <w:t>@fhcpec.com.cn</w:t>
      </w:r>
      <w:r>
        <w:rPr>
          <w:rStyle w:val="22"/>
          <w:rFonts w:asciiTheme="majorEastAsia" w:hAnsiTheme="majorEastAsia" w:eastAsiaTheme="majorEastAsia"/>
          <w:sz w:val="24"/>
        </w:rPr>
        <w:fldChar w:fldCharType="end"/>
      </w:r>
    </w:p>
    <w:p>
      <w:pPr>
        <w:pStyle w:val="5"/>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tabs>
          <w:tab w:val="left" w:pos="1272"/>
        </w:tabs>
        <w:ind w:left="9"/>
        <w:jc w:val="center"/>
        <w:rPr>
          <w:sz w:val="24"/>
          <w:szCs w:val="24"/>
          <w:lang w:eastAsia="zh-CN"/>
        </w:rPr>
      </w:pPr>
      <w:r>
        <w:rPr>
          <w:rFonts w:hint="eastAsia"/>
          <w:sz w:val="24"/>
          <w:szCs w:val="24"/>
          <w:lang w:eastAsia="zh-CN"/>
        </w:rPr>
        <w:t>福建福海创石油化工有限公司</w:t>
      </w:r>
    </w:p>
    <w:p>
      <w:pPr>
        <w:spacing w:line="324" w:lineRule="auto"/>
        <w:ind w:firstLine="4200" w:firstLineChars="1750"/>
        <w:rPr>
          <w:sz w:val="24"/>
          <w:szCs w:val="24"/>
          <w:lang w:eastAsia="zh-CN"/>
        </w:rPr>
      </w:pPr>
      <w:r>
        <w:rPr>
          <w:rFonts w:hint="eastAsia"/>
          <w:sz w:val="24"/>
          <w:szCs w:val="24"/>
          <w:lang w:eastAsia="zh-CN"/>
        </w:rPr>
        <w:t>2021.06.17</w:t>
      </w:r>
    </w:p>
    <w:p>
      <w:pPr>
        <w:pStyle w:val="3"/>
        <w:tabs>
          <w:tab w:val="left" w:pos="1262"/>
        </w:tabs>
        <w:spacing w:line="355" w:lineRule="exact"/>
        <w:ind w:left="0" w:right="108"/>
        <w:jc w:val="center"/>
        <w:rPr>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ind w:left="68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7"/>
        <w:ind w:left="595"/>
        <w:rPr>
          <w:rFonts w:asciiTheme="majorEastAsia" w:hAnsiTheme="majorEastAsia" w:eastAsiaTheme="majorEastAsia"/>
          <w:u w:val="single"/>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48塔监测/宏观检查（二期/三期）</w:t>
      </w:r>
      <w:r>
        <w:rPr>
          <w:rFonts w:hint="eastAsia" w:asciiTheme="majorEastAsia" w:hAnsiTheme="majorEastAsia" w:eastAsiaTheme="majorEastAsia"/>
          <w:bCs/>
          <w:u w:val="single"/>
          <w:lang w:eastAsia="zh-CN"/>
        </w:rPr>
        <w:t>项目</w:t>
      </w:r>
      <w:r>
        <w:rPr>
          <w:rFonts w:hint="eastAsia" w:asciiTheme="majorEastAsia" w:hAnsiTheme="majorEastAsia" w:eastAsiaTheme="majorEastAsia"/>
          <w:b/>
          <w:u w:val="single"/>
          <w:lang w:eastAsia="zh-CN"/>
        </w:rPr>
        <w:t xml:space="preserve">  </w:t>
      </w:r>
    </w:p>
    <w:p>
      <w:pPr>
        <w:pStyle w:val="7"/>
        <w:ind w:left="598"/>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u w:val="single"/>
          <w:lang w:eastAsia="zh-CN"/>
        </w:rPr>
        <w:t>漳州市漳浦县古雷开发区</w:t>
      </w:r>
      <w:r>
        <w:rPr>
          <w:rFonts w:hint="eastAsia" w:asciiTheme="majorEastAsia" w:hAnsiTheme="majorEastAsia" w:eastAsiaTheme="majorEastAsia"/>
          <w:b/>
          <w:u w:val="single"/>
          <w:lang w:eastAsia="zh-CN"/>
        </w:rPr>
        <w:t xml:space="preserve"> </w:t>
      </w:r>
    </w:p>
    <w:p>
      <w:pPr>
        <w:pStyle w:val="7"/>
        <w:ind w:left="595"/>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
          <w:u w:val="single"/>
          <w:lang w:eastAsia="zh-CN"/>
        </w:rPr>
        <w:t>本项目采用包干总价的方式。</w:t>
      </w:r>
    </w:p>
    <w:p>
      <w:pPr>
        <w:pStyle w:val="7"/>
        <w:ind w:left="598"/>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见附件“发包文件” </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2.比选范围及内容：</w:t>
      </w:r>
    </w:p>
    <w:p>
      <w:pPr>
        <w:ind w:firstLine="720" w:firstLineChars="3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w:t>
      </w:r>
      <w:r>
        <w:rPr>
          <w:rFonts w:hint="eastAsia"/>
          <w:bCs/>
          <w:sz w:val="24"/>
          <w:szCs w:val="24"/>
          <w:lang w:eastAsia="zh-CN"/>
        </w:rPr>
        <w:t>对塔器的安全监测；</w:t>
      </w:r>
    </w:p>
    <w:p>
      <w:pPr>
        <w:ind w:firstLine="720" w:firstLineChars="3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hint="eastAsia"/>
          <w:bCs/>
          <w:sz w:val="24"/>
          <w:szCs w:val="24"/>
          <w:lang w:eastAsia="zh-CN"/>
        </w:rPr>
        <w:t>对塔器定期进行宏观检查</w:t>
      </w:r>
      <w:r>
        <w:rPr>
          <w:rFonts w:hint="eastAsia" w:asciiTheme="majorEastAsia" w:hAnsiTheme="majorEastAsia" w:eastAsiaTheme="majorEastAsia"/>
          <w:sz w:val="24"/>
          <w:szCs w:val="24"/>
          <w:lang w:eastAsia="zh-CN"/>
        </w:rPr>
        <w:t>。</w:t>
      </w:r>
    </w:p>
    <w:p>
      <w:pPr>
        <w:ind w:firstLine="480" w:firstLineChars="200"/>
        <w:rPr>
          <w:sz w:val="24"/>
          <w:lang w:eastAsia="zh-CN"/>
        </w:rPr>
      </w:pPr>
      <w:r>
        <w:rPr>
          <w:rFonts w:hint="eastAsia" w:asciiTheme="majorEastAsia" w:hAnsiTheme="majorEastAsia" w:eastAsiaTheme="majorEastAsia"/>
          <w:sz w:val="24"/>
          <w:szCs w:val="24"/>
          <w:lang w:eastAsia="zh-CN"/>
        </w:rPr>
        <w:t>3.</w:t>
      </w:r>
      <w:r>
        <w:rPr>
          <w:rFonts w:hint="eastAsia"/>
          <w:sz w:val="24"/>
          <w:lang w:eastAsia="zh-CN"/>
        </w:rPr>
        <w:t xml:space="preserve"> 除非合同另有规定，均须遵守最新的国家标准</w:t>
      </w:r>
      <w:r>
        <w:rPr>
          <w:sz w:val="24"/>
          <w:lang w:eastAsia="zh-CN"/>
        </w:rPr>
        <w:t>(GB)</w:t>
      </w:r>
      <w:r>
        <w:rPr>
          <w:rFonts w:hint="eastAsia"/>
          <w:sz w:val="24"/>
          <w:lang w:eastAsia="zh-CN"/>
        </w:rPr>
        <w:t>。当上述标准不一致时，按技术条款要求高的标准执行。</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 成果提交要求：</w:t>
      </w:r>
    </w:p>
    <w:p>
      <w:pPr>
        <w:pStyle w:val="13"/>
        <w:pBdr>
          <w:bottom w:val="none" w:color="auto" w:sz="0" w:space="0"/>
        </w:pBdr>
        <w:ind w:firstLine="480" w:firstLineChars="200"/>
        <w:jc w:val="left"/>
        <w:outlineLvl w:val="0"/>
        <w:rPr>
          <w:bCs/>
          <w:sz w:val="24"/>
          <w:szCs w:val="24"/>
          <w:lang w:eastAsia="zh-CN"/>
        </w:rPr>
      </w:pPr>
      <w:r>
        <w:rPr>
          <w:rFonts w:hint="eastAsia"/>
          <w:bCs/>
          <w:sz w:val="24"/>
          <w:szCs w:val="24"/>
          <w:lang w:eastAsia="zh-CN"/>
        </w:rPr>
        <w:t>a) 每季度出具17台塔的监测报告，出具31台塔的宏观检查报告。</w:t>
      </w:r>
    </w:p>
    <w:p>
      <w:pPr>
        <w:pStyle w:val="13"/>
        <w:pBdr>
          <w:bottom w:val="none" w:color="auto" w:sz="0" w:space="0"/>
        </w:pBdr>
        <w:ind w:firstLine="480" w:firstLineChars="200"/>
        <w:jc w:val="left"/>
        <w:outlineLvl w:val="0"/>
        <w:rPr>
          <w:bCs/>
          <w:sz w:val="24"/>
          <w:szCs w:val="24"/>
          <w:lang w:eastAsia="zh-CN"/>
        </w:rPr>
      </w:pPr>
      <w:r>
        <w:rPr>
          <w:rFonts w:hint="eastAsia"/>
          <w:bCs/>
          <w:sz w:val="24"/>
          <w:szCs w:val="24"/>
          <w:lang w:eastAsia="zh-CN"/>
        </w:rPr>
        <w:t>b) 监测满一年后出具17台塔的监测总结报告，出具31台塔的宏观检查总结报告。</w:t>
      </w:r>
    </w:p>
    <w:p>
      <w:pPr>
        <w:ind w:firstLine="480" w:firstLineChars="200"/>
        <w:rPr>
          <w:rFonts w:asciiTheme="majorEastAsia" w:hAnsiTheme="majorEastAsia" w:eastAsiaTheme="majorEastAsia"/>
          <w:sz w:val="24"/>
          <w:szCs w:val="24"/>
          <w:lang w:eastAsia="zh-CN"/>
        </w:rPr>
      </w:pPr>
      <w:r>
        <w:rPr>
          <w:rFonts w:hint="eastAsia"/>
          <w:bCs/>
          <w:sz w:val="24"/>
          <w:szCs w:val="24"/>
          <w:lang w:eastAsia="zh-CN"/>
        </w:rPr>
        <w:t>c）项目三期监测完成后，半年内出具塔监测及宏观检查的最终评价报告。</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5.工期要求</w:t>
      </w:r>
      <w:r>
        <w:rPr>
          <w:rFonts w:asciiTheme="majorEastAsia" w:hAnsiTheme="majorEastAsia" w:eastAsiaTheme="majorEastAsia"/>
          <w:sz w:val="24"/>
          <w:szCs w:val="24"/>
          <w:lang w:eastAsia="zh-CN"/>
        </w:rPr>
        <w:t>：</w:t>
      </w:r>
    </w:p>
    <w:p>
      <w:pPr>
        <w:ind w:firstLine="472" w:firstLineChars="197"/>
        <w:outlineLvl w:val="0"/>
        <w:rPr>
          <w:bCs/>
          <w:sz w:val="24"/>
          <w:lang w:eastAsia="zh-CN"/>
        </w:rPr>
      </w:pPr>
      <w:r>
        <w:rPr>
          <w:rFonts w:hint="eastAsia"/>
          <w:bCs/>
          <w:sz w:val="24"/>
          <w:lang w:eastAsia="zh-CN"/>
        </w:rPr>
        <w:t>5.1 48塔监测/宏观检查项目二期工期：合同签订日期起算满一年。</w:t>
      </w:r>
    </w:p>
    <w:p>
      <w:pPr>
        <w:ind w:firstLine="480" w:firstLineChars="200"/>
        <w:rPr>
          <w:rFonts w:asciiTheme="majorEastAsia" w:hAnsiTheme="majorEastAsia" w:eastAsiaTheme="majorEastAsia"/>
          <w:sz w:val="24"/>
          <w:szCs w:val="24"/>
          <w:lang w:eastAsia="zh-CN"/>
        </w:rPr>
      </w:pPr>
      <w:r>
        <w:rPr>
          <w:rFonts w:hint="eastAsia"/>
          <w:bCs/>
          <w:sz w:val="24"/>
          <w:lang w:eastAsia="zh-CN"/>
        </w:rPr>
        <w:t>5.2 48塔监测/宏观检查项目三期工期：二期项目结束日第二天起算满一年。</w:t>
      </w:r>
    </w:p>
    <w:p>
      <w:pPr>
        <w:widowControl/>
        <w:tabs>
          <w:tab w:val="left" w:pos="0"/>
          <w:tab w:val="left" w:pos="993"/>
          <w:tab w:val="left" w:pos="1134"/>
        </w:tabs>
        <w:autoSpaceDE/>
        <w:autoSpaceDN/>
        <w:ind w:firstLine="480" w:firstLineChars="200"/>
        <w:jc w:val="both"/>
        <w:rPr>
          <w:rFonts w:asciiTheme="majorEastAsia" w:hAnsiTheme="majorEastAsia" w:eastAsiaTheme="majorEastAsia"/>
          <w:spacing w:val="-10"/>
          <w:sz w:val="24"/>
          <w:szCs w:val="24"/>
          <w:lang w:eastAsia="zh-CN"/>
        </w:rPr>
      </w:pPr>
      <w:r>
        <w:rPr>
          <w:rFonts w:hint="eastAsia" w:asciiTheme="majorEastAsia" w:hAnsiTheme="majorEastAsia" w:eastAsiaTheme="majorEastAsia"/>
          <w:sz w:val="24"/>
          <w:szCs w:val="24"/>
          <w:lang w:eastAsia="zh-CN"/>
        </w:rPr>
        <w:t>6.控制价：</w:t>
      </w:r>
      <w:r>
        <w:rPr>
          <w:rFonts w:hint="eastAsia" w:asciiTheme="majorEastAsia" w:hAnsiTheme="majorEastAsia" w:eastAsiaTheme="majorEastAsia"/>
          <w:b/>
          <w:spacing w:val="-10"/>
          <w:sz w:val="24"/>
          <w:szCs w:val="24"/>
          <w:lang w:eastAsia="zh-CN"/>
        </w:rPr>
        <w:t>本项目最高限价为人民币</w:t>
      </w:r>
      <w:r>
        <w:rPr>
          <w:rFonts w:hint="eastAsia" w:asciiTheme="majorEastAsia" w:hAnsiTheme="majorEastAsia" w:eastAsiaTheme="majorEastAsia"/>
          <w:b/>
          <w:color w:val="FF0000"/>
          <w:spacing w:val="-10"/>
          <w:sz w:val="24"/>
          <w:szCs w:val="24"/>
          <w:lang w:eastAsia="zh-CN"/>
        </w:rPr>
        <w:t>300万元</w:t>
      </w:r>
      <w:r>
        <w:rPr>
          <w:rFonts w:hint="eastAsia" w:asciiTheme="majorEastAsia" w:hAnsiTheme="majorEastAsia" w:eastAsiaTheme="majorEastAsia"/>
          <w:spacing w:val="-10"/>
          <w:sz w:val="24"/>
          <w:szCs w:val="24"/>
          <w:lang w:eastAsia="zh-CN"/>
        </w:rPr>
        <w:t>。参选人在比选文件中填报的投标总价高于最高限价的，视为未实质性响应招标文件要求，其报价将被视为无效报价。</w:t>
      </w:r>
    </w:p>
    <w:p>
      <w:pPr>
        <w:pStyle w:val="3"/>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7"/>
        <w:ind w:left="598"/>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7"/>
        <w:ind w:left="118"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7"/>
        <w:ind w:left="118"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7"/>
        <w:ind w:left="598"/>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7"/>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7"/>
        <w:ind w:left="118"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7"/>
        <w:spacing w:before="26"/>
        <w:ind w:left="598"/>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p>
    <w:p>
      <w:pPr>
        <w:pStyle w:val="7"/>
        <w:ind w:left="118"/>
        <w:rPr>
          <w:rFonts w:asciiTheme="majorEastAsia" w:hAnsiTheme="majorEastAsia" w:eastAsiaTheme="majorEastAsia"/>
          <w:lang w:eastAsia="zh-CN"/>
        </w:rPr>
      </w:pPr>
      <w:r>
        <w:rPr>
          <w:rFonts w:asciiTheme="majorEastAsia" w:hAnsiTheme="majorEastAsia" w:eastAsiaTheme="majorEastAsia"/>
          <w:lang w:eastAsia="zh-CN"/>
        </w:rPr>
        <w:t>重要事项、格式、条款和技术规范、参数及要求等）。参选人没有按照比选文件要求提交</w:t>
      </w:r>
    </w:p>
    <w:p>
      <w:pPr>
        <w:pStyle w:val="7"/>
        <w:ind w:left="118" w:right="-49"/>
        <w:rPr>
          <w:rFonts w:asciiTheme="majorEastAsia" w:hAnsiTheme="majorEastAsia" w:eastAsiaTheme="majorEastAsia"/>
          <w:spacing w:val="-10"/>
          <w:lang w:eastAsia="zh-CN"/>
        </w:rPr>
      </w:pP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7"/>
        <w:ind w:left="118" w:right="92" w:firstLine="480"/>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7"/>
        <w:ind w:left="118"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7"/>
        <w:spacing w:before="27"/>
        <w:ind w:left="118"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7"/>
        <w:spacing w:before="27"/>
        <w:ind w:left="598"/>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7"/>
        <w:spacing w:before="27"/>
        <w:ind w:left="598"/>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4.比选人所作的一切有效补充、修改文件，均被视为比选文件不可分割的部分。</w:t>
      </w:r>
    </w:p>
    <w:p>
      <w:pPr>
        <w:pStyle w:val="3"/>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ind w:firstLine="600" w:firstLineChars="250"/>
        <w:rPr>
          <w:sz w:val="24"/>
          <w:szCs w:val="24"/>
          <w:lang w:eastAsia="zh-CN"/>
        </w:rPr>
      </w:pPr>
      <w:r>
        <w:rPr>
          <w:rFonts w:hint="eastAsia"/>
          <w:sz w:val="24"/>
          <w:szCs w:val="24"/>
          <w:lang w:eastAsia="zh-CN"/>
        </w:rPr>
        <w:t xml:space="preserve">1. </w:t>
      </w:r>
      <w:r>
        <w:rPr>
          <w:rFonts w:hint="eastAsia" w:asciiTheme="majorEastAsia" w:hAnsiTheme="majorEastAsia" w:eastAsiaTheme="majorEastAsia"/>
          <w:sz w:val="24"/>
          <w:szCs w:val="24"/>
          <w:lang w:eastAsia="zh-CN"/>
        </w:rPr>
        <w:t>必须具有中华人民共和国独立法人资格，</w:t>
      </w:r>
      <w:r>
        <w:rPr>
          <w:rFonts w:hint="eastAsia"/>
          <w:sz w:val="24"/>
          <w:szCs w:val="24"/>
          <w:lang w:eastAsia="zh-CN"/>
        </w:rPr>
        <w:t>具备有效的企业法人营业执照；</w:t>
      </w:r>
    </w:p>
    <w:p>
      <w:pPr>
        <w:ind w:firstLine="600" w:firstLineChars="250"/>
        <w:rPr>
          <w:sz w:val="24"/>
          <w:szCs w:val="24"/>
          <w:lang w:eastAsia="zh-CN"/>
        </w:rPr>
      </w:pPr>
      <w:r>
        <w:rPr>
          <w:rFonts w:hint="eastAsia"/>
          <w:sz w:val="24"/>
          <w:szCs w:val="24"/>
          <w:lang w:eastAsia="zh-CN"/>
        </w:rPr>
        <w:t xml:space="preserve">2. </w:t>
      </w:r>
      <w:r>
        <w:rPr>
          <w:rFonts w:hint="eastAsia"/>
          <w:sz w:val="24"/>
          <w:lang w:eastAsia="zh-CN"/>
        </w:rPr>
        <w:t>参选方应</w:t>
      </w:r>
      <w:r>
        <w:rPr>
          <w:rFonts w:hint="eastAsia"/>
          <w:bCs/>
          <w:sz w:val="24"/>
          <w:lang w:eastAsia="zh-CN"/>
        </w:rPr>
        <w:t>具备综合检验机构（甲类）且有合于使用评价业绩、应力分析能力</w:t>
      </w:r>
      <w:r>
        <w:rPr>
          <w:rFonts w:hint="eastAsia"/>
          <w:sz w:val="24"/>
          <w:szCs w:val="24"/>
          <w:lang w:eastAsia="zh-CN"/>
        </w:rPr>
        <w:t>；</w:t>
      </w:r>
    </w:p>
    <w:p>
      <w:pPr>
        <w:ind w:firstLine="600" w:firstLineChars="250"/>
        <w:rPr>
          <w:sz w:val="24"/>
          <w:szCs w:val="24"/>
          <w:lang w:eastAsia="zh-CN"/>
        </w:rPr>
      </w:pPr>
      <w:r>
        <w:rPr>
          <w:rFonts w:hint="eastAsia"/>
          <w:sz w:val="24"/>
          <w:szCs w:val="24"/>
          <w:lang w:eastAsia="zh-CN"/>
        </w:rPr>
        <w:t xml:space="preserve">3. </w:t>
      </w:r>
      <w:r>
        <w:rPr>
          <w:rFonts w:asciiTheme="majorEastAsia" w:hAnsiTheme="majorEastAsia" w:eastAsiaTheme="majorEastAsia"/>
          <w:sz w:val="24"/>
          <w:szCs w:val="24"/>
          <w:lang w:eastAsia="zh-CN"/>
        </w:rPr>
        <w:t>没有失信黑名单记录（以最高院失信被执行人系统发布信息为准）；</w:t>
      </w:r>
    </w:p>
    <w:p>
      <w:pPr>
        <w:pStyle w:val="2"/>
        <w:spacing w:line="360" w:lineRule="auto"/>
        <w:ind w:firstLine="583" w:firstLineChars="243"/>
        <w:rPr>
          <w:sz w:val="24"/>
          <w:szCs w:val="24"/>
        </w:rPr>
      </w:pPr>
      <w:r>
        <w:rPr>
          <w:rFonts w:hint="eastAsia"/>
          <w:sz w:val="24"/>
          <w:szCs w:val="24"/>
        </w:rPr>
        <w:t xml:space="preserve">4. </w:t>
      </w:r>
      <w:r>
        <w:rPr>
          <w:rFonts w:asciiTheme="majorEastAsia" w:hAnsiTheme="majorEastAsia" w:eastAsiaTheme="majorEastAsia"/>
          <w:sz w:val="24"/>
          <w:szCs w:val="24"/>
        </w:rPr>
        <w:t>与</w:t>
      </w:r>
      <w:r>
        <w:rPr>
          <w:rFonts w:hint="eastAsia" w:asciiTheme="majorEastAsia" w:hAnsiTheme="majorEastAsia" w:eastAsiaTheme="majorEastAsia"/>
          <w:sz w:val="24"/>
          <w:szCs w:val="24"/>
        </w:rPr>
        <w:t>比选人</w:t>
      </w:r>
      <w:r>
        <w:rPr>
          <w:rFonts w:asciiTheme="majorEastAsia" w:hAnsiTheme="majorEastAsia" w:eastAsiaTheme="majorEastAsia"/>
          <w:sz w:val="24"/>
          <w:szCs w:val="24"/>
        </w:rPr>
        <w:t>无诉讼纠纷</w:t>
      </w:r>
      <w:r>
        <w:rPr>
          <w:rFonts w:hint="eastAsia" w:asciiTheme="majorEastAsia" w:hAnsiTheme="majorEastAsia" w:eastAsiaTheme="majorEastAsia"/>
          <w:sz w:val="24"/>
          <w:szCs w:val="24"/>
        </w:rPr>
        <w:t>；</w:t>
      </w:r>
    </w:p>
    <w:p>
      <w:pPr>
        <w:pStyle w:val="3"/>
        <w:ind w:left="0" w:firstLine="597" w:firstLineChars="249"/>
        <w:rPr>
          <w:rFonts w:asciiTheme="majorEastAsia" w:hAnsiTheme="majorEastAsia" w:eastAsiaTheme="majorEastAsia"/>
          <w:b w:val="0"/>
          <w:bCs w:val="0"/>
          <w:sz w:val="24"/>
          <w:szCs w:val="24"/>
          <w:lang w:eastAsia="zh-CN"/>
        </w:rPr>
      </w:pPr>
      <w:r>
        <w:rPr>
          <w:rFonts w:hint="eastAsia"/>
          <w:b w:val="0"/>
          <w:sz w:val="24"/>
          <w:szCs w:val="24"/>
          <w:lang w:eastAsia="zh-CN"/>
        </w:rPr>
        <w:t>5.</w:t>
      </w:r>
      <w:r>
        <w:rPr>
          <w:rFonts w:asciiTheme="majorEastAsia" w:hAnsiTheme="majorEastAsia" w:eastAsiaTheme="majorEastAsia"/>
          <w:b w:val="0"/>
          <w:sz w:val="24"/>
          <w:szCs w:val="24"/>
          <w:lang w:eastAsia="zh-CN"/>
        </w:rPr>
        <w:t xml:space="preserve"> </w:t>
      </w:r>
      <w:r>
        <w:rPr>
          <w:rFonts w:hint="eastAsia"/>
          <w:b w:val="0"/>
          <w:sz w:val="24"/>
          <w:szCs w:val="24"/>
          <w:lang w:eastAsia="zh-CN"/>
        </w:rPr>
        <w:t>本项目不接受联合体参选，不允许分包。</w:t>
      </w:r>
    </w:p>
    <w:p>
      <w:pPr>
        <w:pStyle w:val="3"/>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1、参选保证金的金额为：人民币陆万元整（60000.00元）；</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开户银行：福建福海创石油化工有限公司 </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w:t>
      </w:r>
      <w:r>
        <w:rPr>
          <w:rFonts w:hint="eastAsia"/>
          <w:sz w:val="24"/>
          <w:szCs w:val="24"/>
          <w:lang w:eastAsia="zh-CN"/>
        </w:rPr>
        <w:t>中国银行股份有限公司漳州古雷经济开发区支行</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sz w:val="24"/>
          <w:szCs w:val="24"/>
          <w:u w:val="single"/>
          <w:lang w:eastAsia="zh-CN"/>
        </w:rPr>
        <w:t>48塔监测/宏观检查（二期/三期）</w:t>
      </w:r>
      <w:r>
        <w:rPr>
          <w:rFonts w:hint="eastAsia" w:asciiTheme="majorEastAsia" w:hAnsiTheme="majorEastAsia" w:eastAsiaTheme="majorEastAsia"/>
          <w:b/>
          <w:sz w:val="24"/>
          <w:szCs w:val="24"/>
          <w:lang w:eastAsia="zh-CN"/>
        </w:rPr>
        <w:t>项目申请</w:t>
      </w:r>
      <w:r>
        <w:rPr>
          <w:rFonts w:hint="eastAsia" w:cs="Arial" w:asciiTheme="majorEastAsia" w:hAnsiTheme="majorEastAsia" w:eastAsiaTheme="majorEastAsia"/>
          <w:b/>
          <w:color w:val="333333"/>
          <w:sz w:val="24"/>
          <w:szCs w:val="24"/>
          <w:lang w:eastAsia="zh-CN"/>
        </w:rPr>
        <w:t>参选保证金</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7"/>
        <w:ind w:right="121" w:firstLine="480" w:firstLineChars="200"/>
        <w:jc w:val="both"/>
        <w:rPr>
          <w:lang w:eastAsia="zh-CN"/>
        </w:rPr>
      </w:pPr>
      <w:r>
        <w:rPr>
          <w:rFonts w:hint="eastAsia"/>
          <w:lang w:eastAsia="zh-CN"/>
        </w:rPr>
        <w:t>5.对于未能按要求提交保证金的参选文件，比选单位可以视为不符合上面比选要求而予以拒绝；</w:t>
      </w:r>
    </w:p>
    <w:p>
      <w:pPr>
        <w:pStyle w:val="7"/>
        <w:ind w:right="121" w:firstLine="480" w:firstLineChars="200"/>
        <w:jc w:val="both"/>
        <w:rPr>
          <w:lang w:eastAsia="zh-CN"/>
        </w:rPr>
      </w:pPr>
      <w:r>
        <w:rPr>
          <w:rFonts w:hint="eastAsia"/>
          <w:lang w:eastAsia="zh-CN"/>
        </w:rPr>
        <w:t>6.</w:t>
      </w:r>
      <w:r>
        <w:rPr>
          <w:rFonts w:hint="eastAsia"/>
          <w:spacing w:val="8"/>
          <w:lang w:eastAsia="zh-CN"/>
        </w:rPr>
        <w:t xml:space="preserve"> 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，最迟不超过规定的比选有效期满后的20天；</w:t>
      </w:r>
    </w:p>
    <w:p>
      <w:pPr>
        <w:pStyle w:val="7"/>
        <w:ind w:right="121" w:firstLine="480" w:firstLineChars="200"/>
        <w:jc w:val="both"/>
        <w:rPr>
          <w:color w:val="000000" w:themeColor="text1"/>
          <w:lang w:eastAsia="zh-CN"/>
        </w:rPr>
      </w:pPr>
      <w:r>
        <w:rPr>
          <w:rFonts w:hint="eastAsia"/>
          <w:lang w:eastAsia="zh-CN"/>
        </w:rPr>
        <w:t>7.中选者的参选保证金（无息），将在合同签订后自动转为履约保证金，将于合同周期完成后1</w:t>
      </w:r>
      <w:r>
        <w:rPr>
          <w:lang w:eastAsia="zh-CN"/>
        </w:rPr>
        <w:t>5</w:t>
      </w:r>
      <w:r>
        <w:rPr>
          <w:rFonts w:hint="eastAsia"/>
          <w:lang w:eastAsia="zh-CN"/>
        </w:rPr>
        <w:t>个工作日内，甲方无息退还履约保证金；</w:t>
      </w:r>
    </w:p>
    <w:p>
      <w:pPr>
        <w:pStyle w:val="7"/>
        <w:ind w:right="121" w:firstLine="480" w:firstLineChars="200"/>
        <w:jc w:val="both"/>
        <w:rPr>
          <w:lang w:eastAsia="zh-CN"/>
        </w:rPr>
      </w:pPr>
      <w:r>
        <w:rPr>
          <w:rFonts w:hint="eastAsia"/>
          <w:lang w:eastAsia="zh-CN"/>
        </w:rPr>
        <w:t>8.如有下列情况发生，将被没收参选保证金：</w:t>
      </w:r>
    </w:p>
    <w:p>
      <w:pPr>
        <w:pStyle w:val="7"/>
        <w:ind w:right="121"/>
        <w:jc w:val="both"/>
        <w:rPr>
          <w:lang w:eastAsia="zh-CN"/>
        </w:rPr>
      </w:pPr>
      <w:r>
        <w:rPr>
          <w:rFonts w:hint="eastAsia"/>
          <w:lang w:eastAsia="zh-CN"/>
        </w:rPr>
        <w:t xml:space="preserve">   （1）参选单位在参选有效期内撤回参选文件；</w:t>
      </w:r>
    </w:p>
    <w:p>
      <w:pPr>
        <w:pStyle w:val="7"/>
        <w:ind w:right="-49" w:firstLine="360" w:firstLineChars="150"/>
        <w:rPr>
          <w:rFonts w:asciiTheme="majorEastAsia" w:hAnsiTheme="majorEastAsia" w:eastAsiaTheme="majorEastAsia"/>
          <w:lang w:eastAsia="zh-CN"/>
        </w:rPr>
      </w:pPr>
      <w:r>
        <w:rPr>
          <w:rFonts w:hint="eastAsia"/>
          <w:lang w:eastAsia="zh-CN"/>
        </w:rPr>
        <w:t>（2）参选单位未能按接到中标通知书后规定的时间内签定合同。</w:t>
      </w:r>
    </w:p>
    <w:p>
      <w:pPr>
        <w:pStyle w:val="7"/>
        <w:ind w:right="-49" w:firstLine="458" w:firstLineChars="200"/>
        <w:rPr>
          <w:rFonts w:asciiTheme="majorEastAsia" w:hAnsiTheme="majorEastAsia" w:eastAsiaTheme="majorEastAsia"/>
          <w:b/>
          <w:w w:val="95"/>
          <w:lang w:eastAsia="zh-CN"/>
        </w:rPr>
      </w:pPr>
      <w:r>
        <w:rPr>
          <w:rFonts w:asciiTheme="majorEastAsia" w:hAnsiTheme="majorEastAsia" w:eastAsiaTheme="majorEastAsia"/>
          <w:b/>
          <w:w w:val="95"/>
          <w:lang w:eastAsia="zh-CN"/>
        </w:rPr>
        <w:t>八、参选文件的递交</w:t>
      </w:r>
    </w:p>
    <w:p>
      <w:pPr>
        <w:pStyle w:val="4"/>
        <w:tabs>
          <w:tab w:val="left" w:pos="6879"/>
        </w:tabs>
        <w:ind w:left="0" w:right="106" w:firstLine="472" w:firstLineChars="196"/>
        <w:rPr>
          <w:lang w:eastAsia="zh-CN"/>
        </w:rPr>
      </w:pPr>
      <w:r>
        <w:rPr>
          <w:lang w:eastAsia="zh-CN"/>
        </w:rPr>
        <w:t>1.参选文件递交的截止时间：</w:t>
      </w:r>
      <w:r>
        <w:rPr>
          <w:rFonts w:hint="eastAsia"/>
          <w:lang w:eastAsia="zh-CN"/>
        </w:rPr>
        <w:t>见比选公告</w:t>
      </w:r>
    </w:p>
    <w:p>
      <w:pPr>
        <w:pStyle w:val="4"/>
        <w:tabs>
          <w:tab w:val="left" w:pos="6879"/>
        </w:tabs>
        <w:ind w:left="0" w:right="106" w:firstLine="472" w:firstLineChars="19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ind w:left="119" w:leftChars="54" w:right="106" w:firstLine="834" w:firstLineChars="346"/>
        <w:rPr>
          <w:spacing w:val="-4"/>
          <w:lang w:eastAsia="zh-CN"/>
        </w:rPr>
      </w:pPr>
      <w:r>
        <w:rPr>
          <w:rFonts w:hint="eastAsia"/>
          <w:lang w:eastAsia="zh-CN"/>
        </w:rPr>
        <w:t>商务</w:t>
      </w:r>
      <w:r>
        <w:rPr>
          <w:lang w:eastAsia="zh-CN"/>
        </w:rPr>
        <w:t>联系人</w:t>
      </w:r>
      <w:r>
        <w:rPr>
          <w:spacing w:val="-56"/>
          <w:lang w:eastAsia="zh-CN"/>
        </w:rPr>
        <w:t>：</w:t>
      </w:r>
      <w:r>
        <w:rPr>
          <w:rFonts w:hint="eastAsia"/>
          <w:lang w:eastAsia="zh-CN"/>
        </w:rPr>
        <w:t xml:space="preserve">纪捍政    </w:t>
      </w:r>
      <w:r>
        <w:rPr>
          <w:spacing w:val="-6"/>
          <w:lang w:eastAsia="zh-CN"/>
        </w:rPr>
        <w:t xml:space="preserve"> </w:t>
      </w:r>
      <w:r>
        <w:rPr>
          <w:lang w:eastAsia="zh-CN"/>
        </w:rPr>
        <w:t>电话</w:t>
      </w:r>
      <w:r>
        <w:rPr>
          <w:spacing w:val="-4"/>
          <w:lang w:eastAsia="zh-CN"/>
        </w:rPr>
        <w:t>：</w:t>
      </w:r>
      <w:r>
        <w:rPr>
          <w:rFonts w:hint="eastAsia"/>
          <w:spacing w:val="-4"/>
          <w:lang w:eastAsia="zh-CN"/>
        </w:rPr>
        <w:t>0596-6311823</w:t>
      </w:r>
    </w:p>
    <w:p>
      <w:pPr>
        <w:pStyle w:val="4"/>
        <w:tabs>
          <w:tab w:val="left" w:pos="6879"/>
        </w:tabs>
        <w:ind w:left="119" w:leftChars="54" w:right="106" w:firstLine="806" w:firstLineChars="346"/>
        <w:rPr>
          <w:spacing w:val="-6"/>
          <w:lang w:eastAsia="zh-CN"/>
        </w:rPr>
      </w:pPr>
      <w:r>
        <w:rPr>
          <w:rFonts w:hint="eastAsia"/>
          <w:spacing w:val="-4"/>
          <w:lang w:eastAsia="zh-CN"/>
        </w:rPr>
        <w:t>技术联系人：</w:t>
      </w:r>
      <w:r>
        <w:rPr>
          <w:rFonts w:hint="eastAsia"/>
          <w:shd w:val="clear" w:color="auto" w:fill="FFFFFF"/>
          <w:lang w:eastAsia="zh-CN"/>
        </w:rPr>
        <w:t>徐志鹏</w:t>
      </w:r>
      <w:r>
        <w:rPr>
          <w:rFonts w:hint="eastAsia"/>
          <w:spacing w:val="-4"/>
          <w:lang w:eastAsia="zh-CN"/>
        </w:rPr>
        <w:t xml:space="preserve">     电话：</w:t>
      </w:r>
      <w:r>
        <w:rPr>
          <w:rFonts w:hint="eastAsia"/>
          <w:shd w:val="clear" w:color="auto" w:fill="FFFFFF"/>
          <w:lang w:eastAsia="zh-CN"/>
        </w:rPr>
        <w:t>15060522906</w:t>
      </w:r>
    </w:p>
    <w:p>
      <w:pPr>
        <w:ind w:left="598" w:leftChars="272" w:firstLine="236" w:firstLineChars="98"/>
        <w:rPr>
          <w:b/>
          <w:sz w:val="24"/>
          <w:lang w:eastAsia="zh-CN"/>
        </w:rPr>
      </w:pPr>
      <w:r>
        <w:rPr>
          <w:b/>
          <w:sz w:val="24"/>
          <w:lang w:eastAsia="zh-CN"/>
        </w:rPr>
        <w:t>注：请使用顺丰快递或中国邮政 EMS 快递，其他快递不能保证送达目的地。</w:t>
      </w:r>
    </w:p>
    <w:p>
      <w:pPr>
        <w:pStyle w:val="7"/>
        <w:ind w:firstLine="480" w:firstLineChars="200"/>
        <w:rPr>
          <w:lang w:eastAsia="zh-CN"/>
        </w:rPr>
      </w:pPr>
      <w:r>
        <w:rPr>
          <w:lang w:eastAsia="zh-CN"/>
        </w:rPr>
        <w:t>3.只允许参选人有一个参选方案，否则将被视为无效参选。</w:t>
      </w:r>
    </w:p>
    <w:p>
      <w:pPr>
        <w:pStyle w:val="7"/>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7"/>
        <w:spacing w:before="21"/>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7"/>
        <w:ind w:right="-49" w:firstLine="480" w:firstLineChars="200"/>
        <w:rPr>
          <w:rFonts w:asciiTheme="majorEastAsia" w:hAnsiTheme="majorEastAsia" w:eastAsiaTheme="majorEastAsia"/>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3"/>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9"/>
        <w:tabs>
          <w:tab w:val="left" w:pos="0"/>
          <w:tab w:val="left" w:pos="567"/>
          <w:tab w:val="left" w:pos="993"/>
          <w:tab w:val="left" w:pos="1135"/>
        </w:tabs>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9"/>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9"/>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9"/>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9"/>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9"/>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9"/>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9"/>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9"/>
        <w:tabs>
          <w:tab w:val="left" w:pos="0"/>
          <w:tab w:val="left" w:pos="567"/>
          <w:tab w:val="left" w:pos="993"/>
          <w:tab w:val="left" w:pos="1135"/>
        </w:tabs>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9"/>
        <w:tabs>
          <w:tab w:val="left" w:pos="0"/>
          <w:tab w:val="left" w:pos="567"/>
          <w:tab w:val="left" w:pos="993"/>
          <w:tab w:val="left" w:pos="1135"/>
        </w:tabs>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9"/>
        <w:tabs>
          <w:tab w:val="left" w:pos="0"/>
          <w:tab w:val="left" w:pos="567"/>
          <w:tab w:val="left" w:pos="993"/>
          <w:tab w:val="left" w:pos="1135"/>
        </w:tabs>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9"/>
        <w:tabs>
          <w:tab w:val="left" w:pos="0"/>
          <w:tab w:val="left" w:pos="567"/>
          <w:tab w:val="left" w:pos="993"/>
          <w:tab w:val="left" w:pos="1135"/>
        </w:tabs>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pStyle w:val="7"/>
        <w:ind w:right="-49" w:firstLine="600" w:firstLineChars="250"/>
        <w:rPr>
          <w:rFonts w:asciiTheme="majorEastAsia" w:hAnsiTheme="majorEastAsia" w:eastAsiaTheme="majorEastAsia"/>
          <w:spacing w:val="-9"/>
          <w:lang w:eastAsia="zh-CN"/>
        </w:rPr>
      </w:pPr>
      <w:r>
        <w:rPr>
          <w:rFonts w:hint="eastAsia" w:asciiTheme="majorEastAsia" w:hAnsiTheme="majorEastAsia" w:eastAsiaTheme="majorEastAsia"/>
          <w:bCs/>
          <w:color w:val="000000"/>
          <w:lang w:eastAsia="zh-CN"/>
        </w:rPr>
        <w:t>（4）</w:t>
      </w:r>
      <w:r>
        <w:rPr>
          <w:rFonts w:hint="eastAsia" w:asciiTheme="majorEastAsia" w:hAnsiTheme="majorEastAsia" w:eastAsiaTheme="majorEastAsia"/>
          <w:bCs/>
          <w:lang w:eastAsia="zh-CN"/>
        </w:rPr>
        <w:t>超过异议时效的。</w:t>
      </w:r>
    </w:p>
    <w:p>
      <w:pPr>
        <w:pStyle w:val="4"/>
        <w:ind w:left="0" w:firstLine="458" w:firstLineChars="200"/>
        <w:rPr>
          <w:rFonts w:asciiTheme="majorEastAsia" w:hAnsiTheme="majorEastAsia" w:eastAsiaTheme="majorEastAsia"/>
          <w:lang w:eastAsia="zh-CN"/>
        </w:rPr>
      </w:pPr>
      <w:r>
        <w:rPr>
          <w:rFonts w:hint="eastAsia" w:asciiTheme="majorEastAsia" w:hAnsiTheme="majorEastAsia" w:eastAsiaTheme="majorEastAsia"/>
          <w:w w:val="95"/>
          <w:lang w:eastAsia="zh-CN"/>
        </w:rPr>
        <w:t>十</w:t>
      </w:r>
      <w:r>
        <w:rPr>
          <w:rFonts w:asciiTheme="majorEastAsia" w:hAnsiTheme="majorEastAsia" w:eastAsiaTheme="majorEastAsia"/>
          <w:w w:val="95"/>
          <w:lang w:eastAsia="zh-CN"/>
        </w:rPr>
        <w:t>、</w:t>
      </w:r>
      <w:r>
        <w:rPr>
          <w:rFonts w:hint="eastAsia" w:asciiTheme="majorEastAsia" w:hAnsiTheme="majorEastAsia" w:eastAsiaTheme="majorEastAsia"/>
          <w:lang w:eastAsia="zh-CN"/>
        </w:rPr>
        <w:t>最高控制价及投标报价要求</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1、本项目最高限价为人民币300万元。参选人所填报的参选总价高于本项目最高限价的，其参选将被评标委员会予以否决</w:t>
      </w:r>
      <w:r>
        <w:rPr>
          <w:rFonts w:hint="eastAsia" w:asciiTheme="majorEastAsia" w:hAnsiTheme="majorEastAsia" w:eastAsiaTheme="majorEastAsia"/>
          <w:sz w:val="24"/>
          <w:szCs w:val="24"/>
          <w:lang w:eastAsia="zh-CN"/>
        </w:rPr>
        <w:t>。</w:t>
      </w:r>
    </w:p>
    <w:p>
      <w:pPr>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参选人应以完成本比选文件“技术文件”所述的所有内容所涉及的全部费用进行报价。中标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7"/>
        <w:ind w:right="-49"/>
        <w:rPr>
          <w:lang w:eastAsia="zh-CN"/>
        </w:rPr>
        <w:sectPr>
          <w:pgSz w:w="11910" w:h="16840"/>
          <w:pgMar w:top="1500" w:right="102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ind w:left="538"/>
        <w:rPr>
          <w:b/>
          <w:sz w:val="24"/>
          <w:szCs w:val="24"/>
          <w:lang w:eastAsia="zh-CN"/>
        </w:rPr>
      </w:pPr>
      <w:r>
        <w:rPr>
          <w:b/>
          <w:w w:val="95"/>
          <w:sz w:val="24"/>
          <w:szCs w:val="24"/>
          <w:lang w:eastAsia="zh-CN"/>
        </w:rPr>
        <w:t>一、参选文件的组成：</w:t>
      </w:r>
    </w:p>
    <w:p>
      <w:pPr>
        <w:pStyle w:val="7"/>
        <w:ind w:left="118" w:right="92" w:firstLine="480"/>
        <w:rPr>
          <w:lang w:eastAsia="zh-CN"/>
        </w:rPr>
      </w:pPr>
      <w:r>
        <w:rPr>
          <w:lang w:eastAsia="zh-CN"/>
        </w:rPr>
        <w:t>①参选单位企业概况（企业简介、经营状况</w:t>
      </w:r>
      <w:r>
        <w:rPr>
          <w:rFonts w:hint="eastAsia"/>
          <w:lang w:eastAsia="zh-CN"/>
        </w:rPr>
        <w:t>、业绩情况（如有相关业绩需提供相应合同盖章页）</w:t>
      </w:r>
      <w:r>
        <w:rPr>
          <w:lang w:eastAsia="zh-CN"/>
        </w:rPr>
        <w:t>）、营业执照、资质证书、组织机构代码证、税务登记证（经年检或年审合格的）</w:t>
      </w:r>
      <w:r>
        <w:rPr>
          <w:rFonts w:hint="eastAsia"/>
          <w:lang w:eastAsia="zh-CN"/>
        </w:rPr>
        <w:t>、检查方案</w:t>
      </w:r>
      <w:r>
        <w:rPr>
          <w:lang w:eastAsia="zh-CN"/>
        </w:rPr>
        <w:t>等</w:t>
      </w:r>
      <w:r>
        <w:rPr>
          <w:rFonts w:hint="eastAsia"/>
          <w:lang w:eastAsia="zh-CN"/>
        </w:rPr>
        <w:t>，以及</w:t>
      </w:r>
      <w:r>
        <w:rPr>
          <w:spacing w:val="-5"/>
          <w:lang w:eastAsia="zh-CN"/>
        </w:rPr>
        <w:t>其他可以证明参选单位具有类似</w:t>
      </w:r>
      <w:r>
        <w:rPr>
          <w:rFonts w:hint="eastAsia"/>
          <w:spacing w:val="-5"/>
          <w:lang w:eastAsia="zh-CN"/>
        </w:rPr>
        <w:t>项目</w:t>
      </w:r>
      <w:r>
        <w:rPr>
          <w:spacing w:val="-5"/>
          <w:lang w:eastAsia="zh-CN"/>
        </w:rPr>
        <w:t>良好业绩的相关材料；凡弄虚作假的，一经查实，比选人有权取消其中选资格。</w:t>
      </w:r>
    </w:p>
    <w:p>
      <w:pPr>
        <w:pStyle w:val="7"/>
        <w:ind w:left="118" w:right="92" w:firstLine="480"/>
        <w:rPr>
          <w:lang w:eastAsia="zh-CN"/>
        </w:rPr>
      </w:pPr>
      <w:r>
        <w:rPr>
          <w:spacing w:val="-7"/>
          <w:lang w:eastAsia="zh-CN"/>
        </w:rPr>
        <w:t>②</w:t>
      </w:r>
      <w:r>
        <w:rPr>
          <w:rFonts w:hint="eastAsia"/>
          <w:spacing w:val="-7"/>
          <w:lang w:eastAsia="zh-CN"/>
        </w:rPr>
        <w:t>参选人资格要求中所有的资质材料。（</w:t>
      </w:r>
      <w:r>
        <w:rPr>
          <w:rFonts w:hint="eastAsia"/>
          <w:b/>
          <w:spacing w:val="-7"/>
          <w:lang w:eastAsia="zh-CN"/>
        </w:rPr>
        <w:t>参选人需根据发包说明编制相关方案，以及工作计划安排等内容。</w:t>
      </w:r>
      <w:r>
        <w:rPr>
          <w:rFonts w:hint="eastAsia"/>
          <w:spacing w:val="-7"/>
          <w:lang w:eastAsia="zh-CN"/>
        </w:rPr>
        <w:t>）</w:t>
      </w:r>
    </w:p>
    <w:p>
      <w:pPr>
        <w:pStyle w:val="7"/>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pPr>
        <w:pStyle w:val="7"/>
        <w:ind w:left="595"/>
        <w:rPr>
          <w:lang w:eastAsia="zh-CN"/>
        </w:rPr>
      </w:pPr>
      <w:r>
        <w:rPr>
          <w:lang w:eastAsia="zh-CN"/>
        </w:rPr>
        <w:t>④提供参选报价表(详见附件)。</w:t>
      </w:r>
    </w:p>
    <w:p>
      <w:pPr>
        <w:pStyle w:val="7"/>
        <w:spacing w:before="26"/>
        <w:ind w:firstLine="480" w:firstLineChars="200"/>
        <w:rPr>
          <w:b/>
          <w:lang w:eastAsia="zh-CN"/>
        </w:rPr>
      </w:pPr>
      <w:r>
        <w:rPr>
          <w:lang w:eastAsia="zh-CN"/>
        </w:rPr>
        <w:t>⑤以上①至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7"/>
        <w:ind w:firstLine="602" w:firstLineChars="250"/>
        <w:rPr>
          <w:lang w:eastAsia="zh-CN"/>
        </w:rPr>
      </w:pPr>
      <w:r>
        <w:rPr>
          <w:rFonts w:hint="eastAsia"/>
          <w:b/>
          <w:lang w:eastAsia="zh-CN"/>
        </w:rPr>
        <w:t>注：需提供参选文件及报价表电子版一份（盖章PDF版），报价表须独立盖章密封</w:t>
      </w:r>
    </w:p>
    <w:p>
      <w:pPr>
        <w:pStyle w:val="3"/>
        <w:ind w:left="680"/>
        <w:rPr>
          <w:sz w:val="24"/>
          <w:szCs w:val="24"/>
          <w:lang w:eastAsia="zh-CN"/>
        </w:rPr>
      </w:pPr>
      <w:r>
        <w:rPr>
          <w:w w:val="95"/>
          <w:sz w:val="24"/>
          <w:szCs w:val="24"/>
          <w:lang w:eastAsia="zh-CN"/>
        </w:rPr>
        <w:t>二、参选书格式内容</w:t>
      </w:r>
    </w:p>
    <w:p>
      <w:pPr>
        <w:pStyle w:val="7"/>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7"/>
        <w:ind w:left="598"/>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rPr>
          <w:sz w:val="24"/>
          <w:szCs w:val="24"/>
          <w:lang w:eastAsia="zh-CN"/>
        </w:rPr>
      </w:pPr>
      <w:r>
        <w:rPr>
          <w:w w:val="95"/>
          <w:sz w:val="24"/>
          <w:szCs w:val="24"/>
          <w:lang w:eastAsia="zh-CN"/>
        </w:rPr>
        <w:t>三、参选报价</w:t>
      </w:r>
    </w:p>
    <w:p>
      <w:pPr>
        <w:pStyle w:val="7"/>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rPr>
          <w:sz w:val="24"/>
          <w:szCs w:val="24"/>
          <w:lang w:eastAsia="zh-CN"/>
        </w:rPr>
      </w:pPr>
      <w:r>
        <w:rPr>
          <w:w w:val="95"/>
          <w:sz w:val="24"/>
          <w:szCs w:val="24"/>
          <w:lang w:eastAsia="zh-CN"/>
        </w:rPr>
        <w:t>四、特别说明</w:t>
      </w:r>
    </w:p>
    <w:p>
      <w:pPr>
        <w:pStyle w:val="7"/>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7"/>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7"/>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8"/>
        <w:spacing w:after="0"/>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7"/>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7"/>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22420"/>
      <w:bookmarkStart w:id="1" w:name="_Toc430488858"/>
      <w:bookmarkStart w:id="2" w:name="_Toc415567504"/>
      <w:bookmarkStart w:id="3" w:name="_Toc430488651"/>
      <w:bookmarkStart w:id="4" w:name="_Toc177186249"/>
      <w:bookmarkStart w:id="5" w:name="_Toc304357904"/>
      <w:bookmarkStart w:id="6" w:name="_Toc430489126"/>
      <w:bookmarkStart w:id="7" w:name="_Toc430490619"/>
      <w:bookmarkStart w:id="8" w:name="_Toc430492133"/>
    </w:p>
    <w:p>
      <w:pPr>
        <w:pStyle w:val="7"/>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ind w:firstLine="480" w:firstLineChars="200"/>
        <w:rPr>
          <w:rFonts w:cs="黑体"/>
          <w:b/>
          <w:sz w:val="24"/>
          <w:szCs w:val="24"/>
          <w:lang w:eastAsia="zh-CN"/>
        </w:rPr>
      </w:pPr>
      <w:r>
        <w:rPr>
          <w:rFonts w:hint="eastAsia"/>
          <w:sz w:val="24"/>
          <w:szCs w:val="24"/>
          <w:lang w:eastAsia="zh-CN"/>
        </w:rPr>
        <w:t>7.1 参选人应在参选文件所附的参选报价表上写明参选项目的参选总价。</w:t>
      </w:r>
    </w:p>
    <w:p>
      <w:pPr>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参选人对项目内容只允许有一个报价，比选人不接受有任何选择的报价。</w:t>
      </w:r>
    </w:p>
    <w:p>
      <w:pPr>
        <w:pStyle w:val="7"/>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7"/>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ind w:firstLine="480" w:firstLineChars="200"/>
        <w:rPr>
          <w:sz w:val="24"/>
          <w:szCs w:val="24"/>
          <w:lang w:eastAsia="zh-CN"/>
        </w:rPr>
      </w:pPr>
      <w:r>
        <w:rPr>
          <w:rFonts w:hint="eastAsia"/>
          <w:sz w:val="24"/>
          <w:szCs w:val="24"/>
          <w:lang w:eastAsia="zh-CN"/>
        </w:rPr>
        <w:t>9.参选文件的正本和副本均需打（复）印或使用不褪色的蓝、黑墨水笔书写，字迹应清晰易于辨认，并应在投标文件封面上清楚的注明“正本”或“副本”。正本与副本如有不一致之处，则以正本为准。</w:t>
      </w:r>
    </w:p>
    <w:p>
      <w:pPr>
        <w:pStyle w:val="7"/>
        <w:ind w:right="226" w:firstLine="480"/>
        <w:jc w:val="both"/>
        <w:rPr>
          <w:lang w:eastAsia="zh-CN"/>
        </w:rPr>
      </w:pPr>
      <w:r>
        <w:rPr>
          <w:rFonts w:hint="eastAsia"/>
          <w:lang w:eastAsia="zh-CN"/>
        </w:rPr>
        <w:t>10. 参选文件正本应按要求由经正式授权的参选人代表签字并加盖参选人公章。副本可以用复印件。</w:t>
      </w: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3"/>
        <w:ind w:left="539"/>
        <w:rPr>
          <w:sz w:val="24"/>
          <w:szCs w:val="24"/>
          <w:lang w:eastAsia="zh-CN"/>
        </w:rPr>
      </w:pPr>
      <w:r>
        <w:rPr>
          <w:rFonts w:hint="eastAsia"/>
          <w:w w:val="95"/>
          <w:sz w:val="24"/>
          <w:szCs w:val="24"/>
          <w:lang w:eastAsia="zh-CN"/>
        </w:rPr>
        <w:t>一、</w:t>
      </w:r>
      <w:r>
        <w:rPr>
          <w:w w:val="95"/>
          <w:sz w:val="24"/>
          <w:szCs w:val="24"/>
          <w:lang w:eastAsia="zh-CN"/>
        </w:rPr>
        <w:t>评选</w:t>
      </w:r>
    </w:p>
    <w:p>
      <w:pPr>
        <w:pStyle w:val="7"/>
        <w:ind w:firstLine="480" w:firstLineChars="20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w:t>
      </w:r>
      <w:r>
        <w:rPr>
          <w:rFonts w:hint="eastAsia"/>
          <w:spacing w:val="-5"/>
          <w:lang w:eastAsia="zh-CN"/>
        </w:rPr>
        <w:t>小组</w:t>
      </w:r>
      <w:r>
        <w:rPr>
          <w:spacing w:val="-5"/>
          <w:lang w:eastAsia="zh-CN"/>
        </w:rPr>
        <w:t>负责。</w:t>
      </w:r>
    </w:p>
    <w:p>
      <w:pPr>
        <w:pStyle w:val="7"/>
        <w:spacing w:before="23"/>
        <w:ind w:left="1" w:firstLine="480" w:firstLineChars="200"/>
        <w:rPr>
          <w:lang w:eastAsia="zh-CN"/>
        </w:rPr>
      </w:pPr>
      <w:r>
        <w:rPr>
          <w:lang w:eastAsia="zh-CN"/>
        </w:rPr>
        <w:t>2.在开选时有启封和没</w:t>
      </w:r>
      <w:r>
        <w:rPr>
          <w:rFonts w:hint="eastAsia"/>
          <w:lang w:eastAsia="zh-CN"/>
        </w:rPr>
        <w:t>公章</w:t>
      </w:r>
      <w:r>
        <w:rPr>
          <w:lang w:eastAsia="zh-CN"/>
        </w:rPr>
        <w:t>的参选文件，在评选时将不予考虑。</w:t>
      </w:r>
    </w:p>
    <w:p>
      <w:pPr>
        <w:pStyle w:val="7"/>
        <w:ind w:left="1" w:firstLine="480" w:firstLineChars="200"/>
        <w:rPr>
          <w:lang w:eastAsia="zh-CN"/>
        </w:rPr>
      </w:pPr>
      <w:r>
        <w:rPr>
          <w:lang w:eastAsia="zh-CN"/>
        </w:rPr>
        <w:t>3.比选人将做开选记录</w:t>
      </w:r>
    </w:p>
    <w:p>
      <w:pPr>
        <w:spacing w:before="15"/>
        <w:ind w:left="680"/>
        <w:rPr>
          <w:b/>
          <w:sz w:val="24"/>
          <w:szCs w:val="24"/>
          <w:lang w:eastAsia="zh-CN"/>
        </w:rPr>
      </w:pPr>
      <w:r>
        <w:rPr>
          <w:rFonts w:hint="eastAsia"/>
          <w:b/>
          <w:w w:val="95"/>
          <w:sz w:val="24"/>
          <w:szCs w:val="24"/>
          <w:lang w:eastAsia="zh-CN"/>
        </w:rPr>
        <w:t>二</w:t>
      </w:r>
      <w:r>
        <w:rPr>
          <w:b/>
          <w:w w:val="95"/>
          <w:sz w:val="24"/>
          <w:szCs w:val="24"/>
          <w:lang w:eastAsia="zh-CN"/>
        </w:rPr>
        <w:t>、规则：</w:t>
      </w:r>
    </w:p>
    <w:p>
      <w:pPr>
        <w:snapToGrid w:val="0"/>
        <w:ind w:firstLine="660" w:firstLineChars="300"/>
        <w:rPr>
          <w:spacing w:val="-2"/>
          <w:sz w:val="24"/>
          <w:szCs w:val="24"/>
          <w:lang w:eastAsia="zh-CN"/>
        </w:rPr>
      </w:pPr>
      <w:r>
        <w:rPr>
          <w:lang w:eastAsia="zh-CN"/>
        </w:rPr>
        <w:t>1.</w:t>
      </w:r>
      <w:r>
        <w:rPr>
          <w:rFonts w:hint="eastAsia"/>
          <w:spacing w:val="-2"/>
          <w:sz w:val="24"/>
          <w:szCs w:val="24"/>
          <w:lang w:eastAsia="zh-CN"/>
        </w:rPr>
        <w:t xml:space="preserve"> 本项目评标采用综合评分法，评标小组将对通过资格及实质响应性审查的各合格参选人，根据以下标准和方法进行评议和评分，最低报价不作为中选的保证。</w:t>
      </w:r>
    </w:p>
    <w:p>
      <w:pPr>
        <w:tabs>
          <w:tab w:val="left" w:pos="825"/>
        </w:tabs>
        <w:snapToGrid w:val="0"/>
        <w:ind w:firstLine="439" w:firstLineChars="182"/>
        <w:rPr>
          <w:b/>
          <w:sz w:val="24"/>
          <w:szCs w:val="24"/>
          <w:u w:val="single"/>
          <w:lang w:eastAsia="zh-CN"/>
        </w:rPr>
      </w:pPr>
      <w:r>
        <w:rPr>
          <w:rFonts w:hint="eastAsia"/>
          <w:b/>
          <w:sz w:val="24"/>
          <w:szCs w:val="24"/>
          <w:u w:val="single"/>
          <w:lang w:eastAsia="zh-CN"/>
        </w:rPr>
        <w:t xml:space="preserve">评标小组按照先技术，后商务报价的顺序进行评议并评分，权重比为4:6 </w:t>
      </w:r>
    </w:p>
    <w:p>
      <w:pPr>
        <w:tabs>
          <w:tab w:val="left" w:pos="8205"/>
        </w:tabs>
        <w:snapToGrid w:val="0"/>
        <w:ind w:firstLine="708" w:firstLineChars="300"/>
        <w:rPr>
          <w:spacing w:val="-2"/>
          <w:sz w:val="24"/>
          <w:szCs w:val="24"/>
          <w:lang w:eastAsia="zh-CN"/>
        </w:rPr>
      </w:pPr>
      <w:r>
        <w:rPr>
          <w:rFonts w:hint="eastAsia"/>
          <w:spacing w:val="-2"/>
          <w:sz w:val="24"/>
          <w:szCs w:val="24"/>
          <w:lang w:eastAsia="zh-CN"/>
        </w:rPr>
        <w:t>1.3 评分办法</w:t>
      </w:r>
      <w:r>
        <w:rPr>
          <w:spacing w:val="-2"/>
          <w:sz w:val="24"/>
          <w:szCs w:val="24"/>
          <w:lang w:eastAsia="zh-CN"/>
        </w:rPr>
        <w:tab/>
      </w:r>
    </w:p>
    <w:p>
      <w:pPr>
        <w:snapToGrid w:val="0"/>
        <w:ind w:firstLine="708" w:firstLineChars="300"/>
        <w:rPr>
          <w:spacing w:val="-2"/>
          <w:sz w:val="24"/>
          <w:szCs w:val="24"/>
          <w:lang w:eastAsia="zh-CN"/>
        </w:rPr>
      </w:pPr>
      <w:r>
        <w:rPr>
          <w:rFonts w:hint="eastAsia"/>
          <w:spacing w:val="-2"/>
          <w:sz w:val="24"/>
          <w:szCs w:val="24"/>
          <w:lang w:eastAsia="zh-CN"/>
        </w:rPr>
        <w:t xml:space="preserve">1.1.1评分采用百分制，各专项所占分值见下表： </w:t>
      </w:r>
    </w:p>
    <w:tbl>
      <w:tblPr>
        <w:tblStyle w:val="17"/>
        <w:tblW w:w="878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162"/>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9" w:type="dxa"/>
            <w:vAlign w:val="center"/>
          </w:tcPr>
          <w:p>
            <w:pPr>
              <w:snapToGrid w:val="0"/>
              <w:spacing w:line="400" w:lineRule="atLeast"/>
              <w:jc w:val="center"/>
              <w:rPr>
                <w:sz w:val="21"/>
                <w:szCs w:val="21"/>
              </w:rPr>
            </w:pPr>
            <w:r>
              <w:rPr>
                <w:rFonts w:hint="eastAsia"/>
                <w:sz w:val="21"/>
                <w:szCs w:val="21"/>
              </w:rPr>
              <w:t>序号</w:t>
            </w:r>
          </w:p>
        </w:tc>
        <w:tc>
          <w:tcPr>
            <w:tcW w:w="5162" w:type="dxa"/>
            <w:vAlign w:val="center"/>
          </w:tcPr>
          <w:p>
            <w:pPr>
              <w:snapToGrid w:val="0"/>
              <w:spacing w:line="400" w:lineRule="atLeast"/>
              <w:jc w:val="center"/>
              <w:rPr>
                <w:sz w:val="21"/>
                <w:szCs w:val="21"/>
              </w:rPr>
            </w:pPr>
            <w:r>
              <w:rPr>
                <w:rFonts w:hint="eastAsia"/>
                <w:sz w:val="21"/>
                <w:szCs w:val="21"/>
              </w:rPr>
              <w:t>评分项目</w:t>
            </w:r>
          </w:p>
        </w:tc>
        <w:tc>
          <w:tcPr>
            <w:tcW w:w="2918" w:type="dxa"/>
            <w:vAlign w:val="center"/>
          </w:tcPr>
          <w:p>
            <w:pPr>
              <w:snapToGrid w:val="0"/>
              <w:spacing w:line="400" w:lineRule="atLeast"/>
              <w:jc w:val="center"/>
              <w:rPr>
                <w:sz w:val="21"/>
                <w:szCs w:val="21"/>
              </w:rPr>
            </w:pPr>
            <w:r>
              <w:rPr>
                <w:rFonts w:hint="eastAsia"/>
                <w:sz w:val="21"/>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9" w:type="dxa"/>
            <w:vAlign w:val="center"/>
          </w:tcPr>
          <w:p>
            <w:pPr>
              <w:snapToGrid w:val="0"/>
              <w:spacing w:line="400" w:lineRule="atLeast"/>
              <w:jc w:val="center"/>
              <w:rPr>
                <w:sz w:val="21"/>
                <w:szCs w:val="21"/>
              </w:rPr>
            </w:pPr>
            <w:r>
              <w:rPr>
                <w:rFonts w:hint="eastAsia"/>
                <w:sz w:val="21"/>
                <w:szCs w:val="21"/>
              </w:rPr>
              <w:t>1</w:t>
            </w:r>
          </w:p>
        </w:tc>
        <w:tc>
          <w:tcPr>
            <w:tcW w:w="5162" w:type="dxa"/>
            <w:vAlign w:val="center"/>
          </w:tcPr>
          <w:p>
            <w:pPr>
              <w:snapToGrid w:val="0"/>
              <w:spacing w:line="400" w:lineRule="atLeast"/>
              <w:jc w:val="center"/>
              <w:rPr>
                <w:sz w:val="21"/>
                <w:szCs w:val="21"/>
              </w:rPr>
            </w:pPr>
            <w:r>
              <w:rPr>
                <w:rFonts w:hint="eastAsia"/>
                <w:spacing w:val="-2"/>
                <w:sz w:val="21"/>
                <w:szCs w:val="21"/>
              </w:rPr>
              <w:t>技术部分</w:t>
            </w:r>
          </w:p>
        </w:tc>
        <w:tc>
          <w:tcPr>
            <w:tcW w:w="2918" w:type="dxa"/>
            <w:vAlign w:val="center"/>
          </w:tcPr>
          <w:p>
            <w:pPr>
              <w:snapToGrid w:val="0"/>
              <w:spacing w:line="400" w:lineRule="atLeast"/>
              <w:jc w:val="center"/>
              <w:rPr>
                <w:sz w:val="21"/>
                <w:szCs w:val="21"/>
              </w:rPr>
            </w:pPr>
            <w:r>
              <w:rPr>
                <w:rFonts w:hint="eastAsia"/>
                <w:sz w:val="21"/>
                <w:szCs w:val="21"/>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Align w:val="center"/>
          </w:tcPr>
          <w:p>
            <w:pPr>
              <w:snapToGrid w:val="0"/>
              <w:spacing w:line="400" w:lineRule="atLeast"/>
              <w:jc w:val="center"/>
              <w:rPr>
                <w:sz w:val="21"/>
                <w:szCs w:val="21"/>
              </w:rPr>
            </w:pPr>
            <w:r>
              <w:rPr>
                <w:rFonts w:hint="eastAsia"/>
                <w:sz w:val="21"/>
                <w:szCs w:val="21"/>
              </w:rPr>
              <w:t>2</w:t>
            </w:r>
          </w:p>
        </w:tc>
        <w:tc>
          <w:tcPr>
            <w:tcW w:w="5162" w:type="dxa"/>
            <w:vAlign w:val="center"/>
          </w:tcPr>
          <w:p>
            <w:pPr>
              <w:snapToGrid w:val="0"/>
              <w:spacing w:line="400" w:lineRule="atLeast"/>
              <w:jc w:val="center"/>
              <w:rPr>
                <w:sz w:val="21"/>
                <w:szCs w:val="21"/>
              </w:rPr>
            </w:pPr>
            <w:r>
              <w:rPr>
                <w:rFonts w:hint="eastAsia"/>
                <w:spacing w:val="-2"/>
                <w:sz w:val="21"/>
                <w:szCs w:val="21"/>
              </w:rPr>
              <w:t>商务部分</w:t>
            </w:r>
          </w:p>
        </w:tc>
        <w:tc>
          <w:tcPr>
            <w:tcW w:w="2918" w:type="dxa"/>
            <w:vAlign w:val="center"/>
          </w:tcPr>
          <w:p>
            <w:pPr>
              <w:snapToGrid w:val="0"/>
              <w:spacing w:line="400" w:lineRule="atLeast"/>
              <w:jc w:val="center"/>
              <w:rPr>
                <w:sz w:val="21"/>
                <w:szCs w:val="21"/>
              </w:rPr>
            </w:pPr>
            <w:r>
              <w:rPr>
                <w:rFonts w:hint="eastAsia"/>
                <w:sz w:val="21"/>
                <w:szCs w:val="21"/>
                <w:lang w:eastAsia="zh-CN"/>
              </w:rPr>
              <w:t>6</w:t>
            </w:r>
            <w:r>
              <w:rPr>
                <w:rFonts w:hint="eastAsia"/>
                <w:sz w:val="21"/>
                <w:szCs w:val="21"/>
              </w:rPr>
              <w:t>0</w:t>
            </w:r>
          </w:p>
        </w:tc>
      </w:tr>
    </w:tbl>
    <w:p>
      <w:pPr>
        <w:snapToGrid w:val="0"/>
        <w:spacing w:line="420" w:lineRule="atLeast"/>
        <w:ind w:firstLine="708" w:firstLineChars="300"/>
        <w:rPr>
          <w:spacing w:val="-2"/>
          <w:sz w:val="24"/>
          <w:szCs w:val="24"/>
          <w:lang w:eastAsia="zh-CN"/>
        </w:rPr>
      </w:pPr>
      <w:r>
        <w:rPr>
          <w:rFonts w:hint="eastAsia"/>
          <w:spacing w:val="-2"/>
          <w:sz w:val="24"/>
          <w:szCs w:val="24"/>
          <w:lang w:eastAsia="zh-CN"/>
        </w:rPr>
        <w:t>1.1.2评分细则</w:t>
      </w:r>
    </w:p>
    <w:tbl>
      <w:tblPr>
        <w:tblStyle w:val="17"/>
        <w:tblW w:w="9418" w:type="dxa"/>
        <w:tblInd w:w="392" w:type="dxa"/>
        <w:tblLayout w:type="autofit"/>
        <w:tblCellMar>
          <w:top w:w="0" w:type="dxa"/>
          <w:left w:w="108" w:type="dxa"/>
          <w:bottom w:w="0" w:type="dxa"/>
          <w:right w:w="108" w:type="dxa"/>
        </w:tblCellMar>
      </w:tblPr>
      <w:tblGrid>
        <w:gridCol w:w="709"/>
        <w:gridCol w:w="708"/>
        <w:gridCol w:w="1418"/>
        <w:gridCol w:w="567"/>
        <w:gridCol w:w="6016"/>
      </w:tblGrid>
      <w:tr>
        <w:tblPrEx>
          <w:tblCellMar>
            <w:top w:w="0" w:type="dxa"/>
            <w:left w:w="108" w:type="dxa"/>
            <w:bottom w:w="0" w:type="dxa"/>
            <w:right w:w="108" w:type="dxa"/>
          </w:tblCellMar>
        </w:tblPrEx>
        <w:trPr>
          <w:trHeight w:val="46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序号</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　</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评审项目</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240" w:lineRule="atLeast"/>
              <w:jc w:val="center"/>
              <w:rPr>
                <w:b/>
                <w:bCs/>
                <w:color w:val="000000"/>
                <w:sz w:val="21"/>
                <w:szCs w:val="21"/>
                <w:lang w:eastAsia="zh-CN"/>
              </w:rPr>
            </w:pPr>
            <w:r>
              <w:rPr>
                <w:rFonts w:hint="eastAsia"/>
                <w:b/>
                <w:bCs/>
                <w:color w:val="000000"/>
                <w:sz w:val="21"/>
                <w:szCs w:val="21"/>
                <w:lang w:eastAsia="zh-CN"/>
              </w:rPr>
              <w:t>分值</w:t>
            </w:r>
          </w:p>
        </w:tc>
        <w:tc>
          <w:tcPr>
            <w:tcW w:w="601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评分细则</w:t>
            </w:r>
          </w:p>
        </w:tc>
      </w:tr>
      <w:tr>
        <w:tblPrEx>
          <w:tblCellMar>
            <w:top w:w="0" w:type="dxa"/>
            <w:left w:w="108" w:type="dxa"/>
            <w:bottom w:w="0" w:type="dxa"/>
            <w:right w:w="108" w:type="dxa"/>
          </w:tblCellMar>
        </w:tblPrEx>
        <w:trPr>
          <w:trHeight w:val="2255" w:hRule="atLeast"/>
        </w:trPr>
        <w:tc>
          <w:tcPr>
            <w:tcW w:w="709" w:type="dxa"/>
            <w:vMerge w:val="restart"/>
            <w:tcBorders>
              <w:top w:val="nil"/>
              <w:left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r>
              <w:rPr>
                <w:rFonts w:hint="eastAsia"/>
                <w:color w:val="000000"/>
                <w:sz w:val="21"/>
                <w:szCs w:val="21"/>
                <w:lang w:eastAsia="zh-CN"/>
              </w:rPr>
              <w:t>1</w:t>
            </w:r>
          </w:p>
        </w:tc>
        <w:tc>
          <w:tcPr>
            <w:tcW w:w="708" w:type="dxa"/>
            <w:vMerge w:val="restart"/>
            <w:tcBorders>
              <w:top w:val="nil"/>
              <w:left w:val="single" w:color="auto" w:sz="4" w:space="0"/>
              <w:right w:val="single" w:color="auto" w:sz="4" w:space="0"/>
            </w:tcBorders>
            <w:shd w:val="clear" w:color="auto" w:fill="auto"/>
            <w:noWrap/>
            <w:vAlign w:val="center"/>
          </w:tcPr>
          <w:p>
            <w:pPr>
              <w:spacing w:line="240" w:lineRule="atLeast"/>
              <w:jc w:val="center"/>
              <w:rPr>
                <w:color w:val="000000"/>
                <w:sz w:val="21"/>
                <w:szCs w:val="21"/>
                <w:lang w:eastAsia="zh-CN"/>
              </w:rPr>
            </w:pPr>
            <w:r>
              <w:rPr>
                <w:rFonts w:hint="eastAsia"/>
                <w:color w:val="000000"/>
                <w:sz w:val="21"/>
                <w:szCs w:val="21"/>
                <w:lang w:eastAsia="zh-CN"/>
              </w:rPr>
              <w:t>技术部分</w:t>
            </w:r>
          </w:p>
        </w:tc>
        <w:tc>
          <w:tcPr>
            <w:tcW w:w="1418"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sz w:val="21"/>
                <w:szCs w:val="21"/>
                <w:lang w:eastAsia="zh-CN"/>
              </w:rPr>
            </w:pPr>
            <w:r>
              <w:rPr>
                <w:rFonts w:hint="eastAsia"/>
                <w:color w:val="000000"/>
                <w:sz w:val="21"/>
                <w:szCs w:val="21"/>
                <w:lang w:eastAsia="zh-CN"/>
              </w:rPr>
              <w:t>资质</w:t>
            </w:r>
          </w:p>
        </w:tc>
        <w:tc>
          <w:tcPr>
            <w:tcW w:w="56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r>
              <w:rPr>
                <w:rFonts w:hint="eastAsia"/>
                <w:color w:val="000000"/>
                <w:sz w:val="21"/>
                <w:szCs w:val="21"/>
                <w:lang w:eastAsia="zh-CN"/>
              </w:rPr>
              <w:t>10</w:t>
            </w:r>
          </w:p>
        </w:tc>
        <w:tc>
          <w:tcPr>
            <w:tcW w:w="6016"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tLeast"/>
              <w:rPr>
                <w:color w:val="000000"/>
                <w:sz w:val="21"/>
                <w:szCs w:val="21"/>
                <w:lang w:eastAsia="zh-CN"/>
              </w:rPr>
            </w:pPr>
            <w:r>
              <w:rPr>
                <w:rFonts w:hint="eastAsia"/>
                <w:color w:val="000000"/>
                <w:sz w:val="21"/>
                <w:szCs w:val="21"/>
                <w:lang w:eastAsia="zh-CN"/>
              </w:rPr>
              <w:t>1.注册资金1000万（含）以上得分5分，500万（含）至1000万得4分，200万（含）至500万得2分。200万以下得0分（得分0-5）</w:t>
            </w:r>
          </w:p>
          <w:p>
            <w:pPr>
              <w:pStyle w:val="2"/>
              <w:rPr>
                <w:color w:val="000000"/>
                <w:sz w:val="21"/>
                <w:szCs w:val="21"/>
              </w:rPr>
            </w:pPr>
            <w:r>
              <w:rPr>
                <w:rFonts w:hint="eastAsia"/>
                <w:color w:val="000000"/>
                <w:sz w:val="21"/>
                <w:szCs w:val="21"/>
              </w:rPr>
              <w:t>2.在国家企业信用信息公示系统查询未有行政处罚信息的得2分，有行政处罚信息得0分。</w:t>
            </w:r>
          </w:p>
          <w:p>
            <w:pPr>
              <w:pStyle w:val="2"/>
              <w:rPr>
                <w:sz w:val="21"/>
                <w:szCs w:val="21"/>
              </w:rPr>
            </w:pPr>
            <w:r>
              <w:rPr>
                <w:rFonts w:hint="eastAsia"/>
                <w:color w:val="000000"/>
                <w:sz w:val="21"/>
                <w:szCs w:val="21"/>
              </w:rPr>
              <w:t>3.有第三方出具的：质量体系认证职业健康安全管理体系认证，环境管理体系认证得3分，不全得1分，没有得0分。</w:t>
            </w:r>
          </w:p>
        </w:tc>
      </w:tr>
      <w:tr>
        <w:tblPrEx>
          <w:tblCellMar>
            <w:top w:w="0" w:type="dxa"/>
            <w:left w:w="108" w:type="dxa"/>
            <w:bottom w:w="0" w:type="dxa"/>
            <w:right w:w="108" w:type="dxa"/>
          </w:tblCellMar>
        </w:tblPrEx>
        <w:trPr>
          <w:trHeight w:val="675" w:hRule="atLeast"/>
        </w:trPr>
        <w:tc>
          <w:tcPr>
            <w:tcW w:w="709" w:type="dxa"/>
            <w:vMerge w:val="continue"/>
            <w:tcBorders>
              <w:left w:val="single" w:color="auto" w:sz="4" w:space="0"/>
              <w:right w:val="single" w:color="auto" w:sz="4" w:space="0"/>
            </w:tcBorders>
            <w:vAlign w:val="center"/>
          </w:tcPr>
          <w:p>
            <w:pPr>
              <w:widowControl/>
              <w:autoSpaceDE/>
              <w:autoSpaceDN/>
              <w:rPr>
                <w:color w:val="000000"/>
                <w:sz w:val="21"/>
                <w:szCs w:val="21"/>
                <w:lang w:eastAsia="zh-CN"/>
              </w:rPr>
            </w:pPr>
          </w:p>
        </w:tc>
        <w:tc>
          <w:tcPr>
            <w:tcW w:w="708" w:type="dxa"/>
            <w:vMerge w:val="continue"/>
            <w:tcBorders>
              <w:left w:val="single" w:color="auto" w:sz="4" w:space="0"/>
              <w:right w:val="single" w:color="auto" w:sz="4" w:space="0"/>
            </w:tcBorders>
            <w:vAlign w:val="center"/>
          </w:tcPr>
          <w:p>
            <w:pPr>
              <w:spacing w:line="240" w:lineRule="atLeast"/>
              <w:jc w:val="center"/>
              <w:rPr>
                <w:color w:val="000000"/>
                <w:sz w:val="21"/>
                <w:szCs w:val="21"/>
                <w:lang w:eastAsia="zh-CN"/>
              </w:rPr>
            </w:pPr>
          </w:p>
        </w:tc>
        <w:tc>
          <w:tcPr>
            <w:tcW w:w="1418"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sz w:val="21"/>
                <w:szCs w:val="21"/>
                <w:lang w:eastAsia="zh-CN"/>
              </w:rPr>
            </w:pPr>
            <w:r>
              <w:rPr>
                <w:rFonts w:hint="eastAsia"/>
                <w:color w:val="000000"/>
                <w:sz w:val="21"/>
                <w:szCs w:val="21"/>
              </w:rPr>
              <w:t>工作业绩</w:t>
            </w:r>
          </w:p>
        </w:tc>
        <w:tc>
          <w:tcPr>
            <w:tcW w:w="56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r>
              <w:rPr>
                <w:rFonts w:hint="eastAsia"/>
                <w:color w:val="000000"/>
                <w:sz w:val="21"/>
                <w:szCs w:val="21"/>
                <w:lang w:eastAsia="zh-CN"/>
              </w:rPr>
              <w:t>10</w:t>
            </w:r>
          </w:p>
        </w:tc>
        <w:tc>
          <w:tcPr>
            <w:tcW w:w="6016"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tLeast"/>
              <w:rPr>
                <w:color w:val="000000"/>
                <w:sz w:val="21"/>
                <w:szCs w:val="21"/>
                <w:lang w:eastAsia="zh-CN"/>
              </w:rPr>
            </w:pPr>
            <w:r>
              <w:rPr>
                <w:rFonts w:hint="eastAsia"/>
                <w:color w:val="000000"/>
                <w:sz w:val="21"/>
                <w:szCs w:val="21"/>
                <w:lang w:eastAsia="zh-CN"/>
              </w:rPr>
              <w:t>近两年大型石化、油田压力容器定期检验业绩（0-10分）</w:t>
            </w:r>
          </w:p>
        </w:tc>
      </w:tr>
      <w:tr>
        <w:tblPrEx>
          <w:tblCellMar>
            <w:top w:w="0" w:type="dxa"/>
            <w:left w:w="108" w:type="dxa"/>
            <w:bottom w:w="0" w:type="dxa"/>
            <w:right w:w="108" w:type="dxa"/>
          </w:tblCellMar>
        </w:tblPrEx>
        <w:trPr>
          <w:trHeight w:val="1254" w:hRule="atLeast"/>
        </w:trPr>
        <w:tc>
          <w:tcPr>
            <w:tcW w:w="709" w:type="dxa"/>
            <w:vMerge w:val="continue"/>
            <w:tcBorders>
              <w:left w:val="single" w:color="auto" w:sz="4" w:space="0"/>
              <w:right w:val="single" w:color="auto" w:sz="4" w:space="0"/>
            </w:tcBorders>
            <w:vAlign w:val="center"/>
          </w:tcPr>
          <w:p>
            <w:pPr>
              <w:widowControl/>
              <w:autoSpaceDE/>
              <w:autoSpaceDN/>
              <w:rPr>
                <w:color w:val="000000"/>
                <w:sz w:val="21"/>
                <w:szCs w:val="21"/>
                <w:lang w:eastAsia="zh-CN"/>
              </w:rPr>
            </w:pPr>
          </w:p>
        </w:tc>
        <w:tc>
          <w:tcPr>
            <w:tcW w:w="708" w:type="dxa"/>
            <w:vMerge w:val="continue"/>
            <w:tcBorders>
              <w:left w:val="single" w:color="auto" w:sz="4" w:space="0"/>
              <w:right w:val="single" w:color="auto" w:sz="4" w:space="0"/>
            </w:tcBorders>
            <w:vAlign w:val="center"/>
          </w:tcPr>
          <w:p>
            <w:pPr>
              <w:spacing w:line="240" w:lineRule="atLeast"/>
              <w:jc w:val="center"/>
              <w:rPr>
                <w:color w:val="000000"/>
                <w:sz w:val="21"/>
                <w:szCs w:val="21"/>
                <w:lang w:eastAsia="zh-CN"/>
              </w:rPr>
            </w:pPr>
          </w:p>
        </w:tc>
        <w:tc>
          <w:tcPr>
            <w:tcW w:w="1418" w:type="dxa"/>
            <w:tcBorders>
              <w:top w:val="nil"/>
              <w:left w:val="nil"/>
              <w:right w:val="single" w:color="auto" w:sz="4" w:space="0"/>
            </w:tcBorders>
            <w:shd w:val="clear" w:color="auto" w:fill="auto"/>
            <w:noWrap/>
            <w:vAlign w:val="center"/>
          </w:tcPr>
          <w:p>
            <w:pPr>
              <w:widowControl/>
              <w:autoSpaceDE/>
              <w:autoSpaceDN/>
              <w:rPr>
                <w:color w:val="000000"/>
                <w:sz w:val="21"/>
                <w:szCs w:val="21"/>
                <w:lang w:eastAsia="zh-CN"/>
              </w:rPr>
            </w:pPr>
            <w:r>
              <w:rPr>
                <w:rFonts w:hint="eastAsia"/>
                <w:color w:val="000000"/>
                <w:sz w:val="21"/>
                <w:szCs w:val="21"/>
              </w:rPr>
              <w:t>监测/宏观检查方案</w:t>
            </w:r>
          </w:p>
        </w:tc>
        <w:tc>
          <w:tcPr>
            <w:tcW w:w="567" w:type="dxa"/>
            <w:tcBorders>
              <w:top w:val="nil"/>
              <w:left w:val="nil"/>
              <w:right w:val="single" w:color="auto" w:sz="4" w:space="0"/>
            </w:tcBorders>
            <w:shd w:val="clear" w:color="auto" w:fill="auto"/>
            <w:noWrap/>
            <w:vAlign w:val="center"/>
          </w:tcPr>
          <w:p>
            <w:pPr>
              <w:widowControl/>
              <w:autoSpaceDE/>
              <w:autoSpaceDN/>
              <w:jc w:val="center"/>
              <w:rPr>
                <w:color w:val="000000"/>
                <w:sz w:val="21"/>
                <w:szCs w:val="21"/>
                <w:lang w:eastAsia="zh-CN"/>
              </w:rPr>
            </w:pPr>
            <w:r>
              <w:rPr>
                <w:rFonts w:hint="eastAsia"/>
                <w:color w:val="000000"/>
                <w:sz w:val="21"/>
                <w:szCs w:val="21"/>
                <w:lang w:eastAsia="zh-CN"/>
              </w:rPr>
              <w:t>20</w:t>
            </w:r>
          </w:p>
        </w:tc>
        <w:tc>
          <w:tcPr>
            <w:tcW w:w="6016" w:type="dxa"/>
            <w:tcBorders>
              <w:top w:val="nil"/>
              <w:left w:val="nil"/>
              <w:right w:val="single" w:color="auto" w:sz="4" w:space="0"/>
            </w:tcBorders>
            <w:shd w:val="clear" w:color="auto" w:fill="auto"/>
            <w:vAlign w:val="center"/>
          </w:tcPr>
          <w:p>
            <w:pPr>
              <w:widowControl/>
              <w:autoSpaceDE/>
              <w:autoSpaceDN/>
              <w:spacing w:line="240" w:lineRule="atLeast"/>
              <w:rPr>
                <w:color w:val="000000"/>
                <w:sz w:val="21"/>
                <w:szCs w:val="21"/>
                <w:lang w:eastAsia="zh-CN"/>
              </w:rPr>
            </w:pPr>
            <w:r>
              <w:rPr>
                <w:rFonts w:hint="eastAsia"/>
                <w:color w:val="000000"/>
                <w:sz w:val="21"/>
                <w:szCs w:val="21"/>
                <w:lang w:eastAsia="zh-CN"/>
              </w:rPr>
              <w:t>方案的针对性、可行性（宏观检查方案0-10分，监测方案0-10分）</w:t>
            </w:r>
          </w:p>
          <w:p>
            <w:pPr>
              <w:pStyle w:val="2"/>
            </w:pPr>
            <w:r>
              <w:rPr>
                <w:rFonts w:hint="eastAsia"/>
                <w:color w:val="000000"/>
                <w:sz w:val="21"/>
                <w:szCs w:val="21"/>
              </w:rPr>
              <w:t>评分标准：方案好</w:t>
            </w:r>
            <w:r>
              <w:rPr>
                <w:color w:val="000000"/>
                <w:sz w:val="21"/>
                <w:szCs w:val="21"/>
              </w:rPr>
              <w:t>15-20分；方案较好10-15分；方案一般0-10分。</w:t>
            </w:r>
          </w:p>
        </w:tc>
      </w:tr>
      <w:tr>
        <w:tblPrEx>
          <w:tblCellMar>
            <w:top w:w="0" w:type="dxa"/>
            <w:left w:w="108" w:type="dxa"/>
            <w:bottom w:w="0" w:type="dxa"/>
            <w:right w:w="108" w:type="dxa"/>
          </w:tblCellMar>
        </w:tblPrEx>
        <w:trPr>
          <w:trHeight w:val="848"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r>
              <w:rPr>
                <w:rFonts w:hint="eastAsia"/>
                <w:color w:val="000000"/>
                <w:sz w:val="21"/>
                <w:szCs w:val="21"/>
                <w:lang w:eastAsia="zh-CN"/>
              </w:rPr>
              <w:t>2</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240" w:lineRule="atLeast"/>
              <w:jc w:val="center"/>
              <w:rPr>
                <w:color w:val="000000"/>
                <w:sz w:val="21"/>
                <w:szCs w:val="21"/>
                <w:lang w:eastAsia="zh-CN"/>
              </w:rPr>
            </w:pPr>
            <w:r>
              <w:rPr>
                <w:rFonts w:hint="eastAsia"/>
                <w:color w:val="000000"/>
                <w:sz w:val="21"/>
                <w:szCs w:val="21"/>
                <w:lang w:eastAsia="zh-CN"/>
              </w:rPr>
              <w:t>商务部分</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rPr>
                <w:color w:val="000000"/>
                <w:sz w:val="21"/>
                <w:szCs w:val="21"/>
                <w:lang w:eastAsia="zh-CN"/>
              </w:rPr>
            </w:pPr>
            <w:r>
              <w:rPr>
                <w:rFonts w:hint="eastAsia"/>
                <w:color w:val="000000"/>
                <w:sz w:val="21"/>
                <w:szCs w:val="21"/>
                <w:lang w:eastAsia="zh-CN"/>
              </w:rPr>
              <w:t>报价</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r>
              <w:rPr>
                <w:rFonts w:hint="eastAsia"/>
                <w:color w:val="000000"/>
                <w:sz w:val="21"/>
                <w:szCs w:val="21"/>
                <w:lang w:eastAsia="zh-CN"/>
              </w:rPr>
              <w:t>60</w:t>
            </w:r>
          </w:p>
        </w:tc>
        <w:tc>
          <w:tcPr>
            <w:tcW w:w="601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tLeast"/>
              <w:jc w:val="both"/>
              <w:rPr>
                <w:color w:val="000000"/>
                <w:sz w:val="21"/>
                <w:szCs w:val="21"/>
                <w:lang w:eastAsia="zh-CN"/>
              </w:rPr>
            </w:pPr>
            <w:r>
              <w:rPr>
                <w:rFonts w:hint="eastAsia"/>
                <w:color w:val="000000"/>
                <w:sz w:val="21"/>
                <w:szCs w:val="21"/>
                <w:lang w:eastAsia="zh-CN"/>
              </w:rPr>
              <w:t>最低价得60分，其他价格按最低价为标准，高1%扣1分，最低得0分。</w:t>
            </w:r>
          </w:p>
        </w:tc>
      </w:tr>
    </w:tbl>
    <w:p>
      <w:pPr>
        <w:pStyle w:val="7"/>
        <w:ind w:left="598"/>
        <w:rPr>
          <w:lang w:eastAsia="zh-CN"/>
        </w:rPr>
      </w:pPr>
      <w:r>
        <w:rPr>
          <w:lang w:eastAsia="zh-CN"/>
        </w:rPr>
        <w:t>2.参选人串选、相互勾结故意压低标价以排挤竞争对手的公平竞争的，其参选无效。</w:t>
      </w:r>
    </w:p>
    <w:p>
      <w:pPr>
        <w:pStyle w:val="7"/>
        <w:ind w:left="118" w:right="-28"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w:t>
      </w:r>
      <w:r>
        <w:rPr>
          <w:lang w:eastAsia="zh-CN"/>
        </w:rPr>
        <w:t>并将依法</w:t>
      </w:r>
      <w:r>
        <w:rPr>
          <w:rFonts w:hint="eastAsia"/>
          <w:lang w:eastAsia="zh-CN"/>
        </w:rPr>
        <w:t>确定后续排名的中选候选人，或重新进行比选</w:t>
      </w:r>
      <w:r>
        <w:rPr>
          <w:lang w:eastAsia="zh-CN"/>
        </w:rPr>
        <w:t>。</w:t>
      </w:r>
    </w:p>
    <w:p>
      <w:pPr>
        <w:pStyle w:val="3"/>
        <w:spacing w:before="83"/>
        <w:rPr>
          <w:sz w:val="24"/>
          <w:szCs w:val="24"/>
          <w:lang w:eastAsia="zh-CN"/>
        </w:rPr>
      </w:pPr>
      <w:r>
        <w:rPr>
          <w:rFonts w:hint="eastAsia"/>
          <w:w w:val="95"/>
          <w:sz w:val="24"/>
          <w:szCs w:val="24"/>
          <w:lang w:eastAsia="zh-CN"/>
        </w:rPr>
        <w:t>三</w:t>
      </w:r>
      <w:r>
        <w:rPr>
          <w:w w:val="95"/>
          <w:sz w:val="24"/>
          <w:szCs w:val="24"/>
          <w:lang w:eastAsia="zh-CN"/>
        </w:rPr>
        <w:t>、资格审查：</w:t>
      </w:r>
    </w:p>
    <w:p>
      <w:pPr>
        <w:pStyle w:val="7"/>
        <w:ind w:left="119" w:right="227" w:firstLine="482"/>
        <w:jc w:val="both"/>
        <w:rPr>
          <w:lang w:eastAsia="zh-CN"/>
        </w:rPr>
      </w:pPr>
      <w:r>
        <w:rPr>
          <w:spacing w:val="-5"/>
          <w:lang w:eastAsia="zh-CN"/>
        </w:rPr>
        <w:t>由比选人依法组建的评选</w:t>
      </w:r>
      <w:r>
        <w:rPr>
          <w:rFonts w:hint="eastAsia"/>
          <w:spacing w:val="-5"/>
          <w:lang w:eastAsia="zh-CN"/>
        </w:rPr>
        <w:t>小组</w:t>
      </w:r>
      <w:r>
        <w:rPr>
          <w:spacing w:val="-5"/>
          <w:lang w:eastAsia="zh-CN"/>
        </w:rPr>
        <w:t>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Pr>
          <w:spacing w:val="-18"/>
          <w:lang w:eastAsia="zh-CN"/>
        </w:rPr>
        <w:t>予以否决。</w:t>
      </w:r>
    </w:p>
    <w:p>
      <w:pPr>
        <w:ind w:left="598"/>
        <w:rPr>
          <w:b/>
          <w:sz w:val="24"/>
          <w:szCs w:val="24"/>
          <w:lang w:eastAsia="zh-CN"/>
        </w:rPr>
      </w:pPr>
      <w:r>
        <w:rPr>
          <w:rFonts w:hint="eastAsia"/>
          <w:w w:val="95"/>
          <w:sz w:val="24"/>
          <w:szCs w:val="24"/>
          <w:lang w:eastAsia="zh-CN"/>
        </w:rPr>
        <w:t>四</w:t>
      </w:r>
      <w:r>
        <w:rPr>
          <w:w w:val="95"/>
          <w:sz w:val="24"/>
          <w:szCs w:val="24"/>
          <w:lang w:eastAsia="zh-CN"/>
        </w:rPr>
        <w:t>、</w:t>
      </w:r>
      <w:r>
        <w:rPr>
          <w:b/>
          <w:w w:val="95"/>
          <w:sz w:val="24"/>
          <w:szCs w:val="24"/>
          <w:lang w:eastAsia="zh-CN"/>
        </w:rPr>
        <w:t>评选办法：</w:t>
      </w:r>
    </w:p>
    <w:p>
      <w:pPr>
        <w:pStyle w:val="7"/>
        <w:ind w:left="119" w:right="221" w:firstLine="522"/>
        <w:rPr>
          <w:lang w:eastAsia="zh-CN"/>
        </w:rPr>
      </w:pPr>
      <w:r>
        <w:rPr>
          <w:lang w:eastAsia="zh-CN"/>
        </w:rPr>
        <w:t>评选</w:t>
      </w:r>
      <w:r>
        <w:rPr>
          <w:rFonts w:hint="eastAsia"/>
          <w:lang w:eastAsia="zh-CN"/>
        </w:rPr>
        <w:t>小组</w:t>
      </w:r>
      <w:r>
        <w:rPr>
          <w:lang w:eastAsia="zh-CN"/>
        </w:rPr>
        <w:t>将对通过资格审查</w:t>
      </w:r>
      <w:r>
        <w:rPr>
          <w:rFonts w:hint="eastAsia"/>
          <w:lang w:eastAsia="zh-CN"/>
        </w:rPr>
        <w:t>合格</w:t>
      </w:r>
      <w:r>
        <w:rPr>
          <w:lang w:eastAsia="zh-CN"/>
        </w:rPr>
        <w:t>的各参选人</w:t>
      </w:r>
      <w:r>
        <w:rPr>
          <w:rFonts w:hint="eastAsia"/>
          <w:lang w:eastAsia="zh-CN"/>
        </w:rPr>
        <w:t>的综合评分，综合得分最高者作为第一候选人。</w:t>
      </w:r>
    </w:p>
    <w:p>
      <w:pPr>
        <w:spacing w:before="15"/>
        <w:ind w:left="638"/>
        <w:rPr>
          <w:b/>
          <w:sz w:val="24"/>
          <w:szCs w:val="24"/>
          <w:lang w:eastAsia="zh-CN"/>
        </w:rPr>
      </w:pPr>
      <w:r>
        <w:rPr>
          <w:rFonts w:hint="eastAsia"/>
          <w:b/>
          <w:w w:val="95"/>
          <w:sz w:val="24"/>
          <w:szCs w:val="24"/>
          <w:lang w:eastAsia="zh-CN"/>
        </w:rPr>
        <w:t>五</w:t>
      </w:r>
      <w:r>
        <w:rPr>
          <w:b/>
          <w:w w:val="95"/>
          <w:sz w:val="24"/>
          <w:szCs w:val="24"/>
          <w:lang w:eastAsia="zh-CN"/>
        </w:rPr>
        <w:t>、以下情况作废选处理：</w:t>
      </w:r>
    </w:p>
    <w:p>
      <w:pPr>
        <w:pStyle w:val="7"/>
        <w:ind w:firstLine="600" w:firstLineChars="250"/>
        <w:rPr>
          <w:lang w:eastAsia="zh-CN"/>
        </w:rPr>
      </w:pPr>
      <w:r>
        <w:rPr>
          <w:lang w:eastAsia="zh-CN"/>
        </w:rPr>
        <w:t>1.对比选文件提出的实质性要求和条件，参选文件未能在实质上响应的。</w:t>
      </w:r>
    </w:p>
    <w:p>
      <w:pPr>
        <w:pStyle w:val="7"/>
        <w:ind w:firstLine="600" w:firstLineChars="250"/>
        <w:rPr>
          <w:lang w:eastAsia="zh-CN"/>
        </w:rPr>
      </w:pPr>
      <w:r>
        <w:rPr>
          <w:lang w:eastAsia="zh-CN"/>
        </w:rPr>
        <w:t>2.参选文件存在重大偏差的。</w:t>
      </w:r>
    </w:p>
    <w:p>
      <w:pPr>
        <w:pStyle w:val="7"/>
        <w:ind w:firstLine="600" w:firstLineChars="250"/>
        <w:rPr>
          <w:lang w:eastAsia="zh-CN"/>
        </w:rPr>
      </w:pPr>
      <w:r>
        <w:rPr>
          <w:rFonts w:hint="eastAsia"/>
          <w:lang w:eastAsia="zh-CN"/>
        </w:rPr>
        <w:t>3</w:t>
      </w:r>
      <w:r>
        <w:rPr>
          <w:lang w:eastAsia="zh-CN"/>
        </w:rPr>
        <w:t>.违反规定影响开选评选工作或采取其他方式对比选人施加影响的。</w:t>
      </w:r>
    </w:p>
    <w:p>
      <w:pPr>
        <w:pStyle w:val="3"/>
        <w:tabs>
          <w:tab w:val="left" w:pos="1632"/>
        </w:tabs>
        <w:ind w:left="537" w:leftChars="244" w:firstLine="120" w:firstLineChars="50"/>
        <w:jc w:val="both"/>
        <w:rPr>
          <w:b w:val="0"/>
          <w:sz w:val="24"/>
          <w:szCs w:val="24"/>
          <w:lang w:eastAsia="zh-CN"/>
        </w:rPr>
      </w:pPr>
      <w:r>
        <w:rPr>
          <w:rFonts w:hint="eastAsia"/>
          <w:b w:val="0"/>
          <w:sz w:val="24"/>
          <w:szCs w:val="24"/>
          <w:lang w:eastAsia="zh-CN"/>
        </w:rPr>
        <w:t>4</w:t>
      </w:r>
      <w:r>
        <w:rPr>
          <w:b w:val="0"/>
          <w:sz w:val="24"/>
          <w:szCs w:val="24"/>
          <w:lang w:eastAsia="zh-CN"/>
        </w:rPr>
        <w:t>.参选人串标、相互勾结故意压低标价以排挤竞争对手的公平竞争的，其参选无效。</w:t>
      </w:r>
    </w:p>
    <w:p>
      <w:pPr>
        <w:pStyle w:val="3"/>
        <w:tabs>
          <w:tab w:val="left" w:pos="1632"/>
        </w:tabs>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7"/>
        <w:ind w:firstLine="600" w:firstLineChars="25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7"/>
        <w:ind w:firstLine="600" w:firstLineChars="25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7"/>
        <w:ind w:left="141" w:leftChars="64"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7"/>
        <w:spacing w:before="24"/>
        <w:ind w:left="141" w:leftChars="64"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7"/>
        <w:spacing w:before="24"/>
        <w:ind w:left="141" w:leftChars="64"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7"/>
        <w:spacing w:before="24"/>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rStyle w:val="20"/>
          <w:sz w:val="24"/>
          <w:szCs w:val="24"/>
        </w:rPr>
      </w:pPr>
      <w:r>
        <w:rPr>
          <w:rFonts w:hint="eastAsia"/>
          <w:sz w:val="24"/>
          <w:szCs w:val="24"/>
        </w:rPr>
        <w:t>9.</w:t>
      </w:r>
      <w:r>
        <w:rPr>
          <w:rFonts w:hint="eastAsia"/>
        </w:rPr>
        <w:t xml:space="preserve"> </w:t>
      </w:r>
      <w:r>
        <w:rPr>
          <w:rStyle w:val="20"/>
          <w:rFonts w:hint="eastAsia"/>
          <w:sz w:val="24"/>
          <w:szCs w:val="24"/>
        </w:rPr>
        <w:t>福建福海创石油化工有限公司的权属子公司“腾龙芳烃（漳州）有限公司”和“翔鹭石化（漳州）有限公司”作为合同执行主体，将于中选通知书发出之日起20日内与中选人完成合同签订事宜。</w:t>
      </w:r>
    </w:p>
    <w:p>
      <w:pPr>
        <w:pStyle w:val="2"/>
        <w:spacing w:line="360" w:lineRule="auto"/>
        <w:ind w:firstLine="437"/>
        <w:jc w:val="center"/>
        <w:rPr>
          <w:b/>
          <w:sz w:val="28"/>
          <w:szCs w:val="28"/>
        </w:rPr>
      </w:pPr>
      <w:r>
        <w:rPr>
          <w:b/>
          <w:sz w:val="28"/>
          <w:szCs w:val="28"/>
        </w:rPr>
        <w:t>第六章</w:t>
      </w:r>
      <w:r>
        <w:rPr>
          <w:b/>
          <w:sz w:val="28"/>
          <w:szCs w:val="28"/>
        </w:rPr>
        <w:tab/>
      </w:r>
      <w:r>
        <w:rPr>
          <w:b/>
          <w:spacing w:val="-1"/>
          <w:w w:val="95"/>
          <w:sz w:val="28"/>
          <w:szCs w:val="28"/>
        </w:rPr>
        <w:t>中选后相关</w:t>
      </w:r>
      <w:r>
        <w:rPr>
          <w:b/>
          <w:w w:val="95"/>
          <w:sz w:val="28"/>
          <w:szCs w:val="28"/>
        </w:rPr>
        <w:t>履约要求</w:t>
      </w:r>
    </w:p>
    <w:p>
      <w:pPr>
        <w:pStyle w:val="7"/>
        <w:ind w:right="108"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7"/>
        <w:ind w:right="108"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b/>
          <w:u w:val="single"/>
          <w:lang w:eastAsia="zh-CN"/>
        </w:rPr>
        <w:t>48塔监测/宏观检查（二期/三期）</w:t>
      </w:r>
      <w:r>
        <w:rPr>
          <w:rFonts w:hint="eastAsia" w:asciiTheme="majorEastAsia" w:hAnsiTheme="majorEastAsia" w:eastAsiaTheme="majorEastAsia"/>
          <w:b/>
          <w:lang w:eastAsia="zh-CN"/>
        </w:rPr>
        <w:t>项目请</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7"/>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jc w:val="center"/>
        <w:rPr>
          <w:lang w:eastAsia="zh-CN"/>
        </w:rPr>
      </w:pPr>
      <w:r>
        <w:rPr>
          <w:lang w:eastAsia="zh-CN"/>
        </w:rPr>
        <w:t>第七章</w:t>
      </w:r>
      <w:r>
        <w:rPr>
          <w:lang w:eastAsia="zh-CN"/>
        </w:rPr>
        <w:tab/>
      </w:r>
      <w:r>
        <w:rPr>
          <w:spacing w:val="-1"/>
          <w:w w:val="95"/>
          <w:lang w:eastAsia="zh-CN"/>
        </w:rPr>
        <w:t>其</w:t>
      </w:r>
      <w:r>
        <w:rPr>
          <w:w w:val="95"/>
          <w:lang w:eastAsia="zh-CN"/>
        </w:rPr>
        <w:t>它</w:t>
      </w:r>
    </w:p>
    <w:p>
      <w:pPr>
        <w:pStyle w:val="7"/>
        <w:ind w:left="218"/>
        <w:rPr>
          <w:lang w:eastAsia="zh-CN"/>
        </w:rPr>
      </w:pPr>
      <w:r>
        <w:rPr>
          <w:lang w:eastAsia="zh-CN"/>
        </w:rPr>
        <w:t>1.参选人的参选文件无论其是否中选，均不退回。</w:t>
      </w:r>
    </w:p>
    <w:p>
      <w:pPr>
        <w:pStyle w:val="7"/>
        <w:ind w:left="218"/>
        <w:rPr>
          <w:lang w:eastAsia="zh-CN"/>
        </w:rPr>
      </w:pPr>
      <w:r>
        <w:rPr>
          <w:lang w:eastAsia="zh-CN"/>
        </w:rPr>
        <w:t>2.比选人郑重承诺：参选人所提交的参选文件及相关资料不向第三方泄露。</w:t>
      </w:r>
    </w:p>
    <w:p>
      <w:pPr>
        <w:pStyle w:val="7"/>
        <w:ind w:left="218"/>
        <w:rPr>
          <w:lang w:eastAsia="zh-CN"/>
        </w:rPr>
      </w:pPr>
      <w:r>
        <w:rPr>
          <w:lang w:eastAsia="zh-CN"/>
        </w:rPr>
        <w:t>3.本比选文件的解释权归福建福海创石油化工有限公司。</w:t>
      </w:r>
    </w:p>
    <w:p>
      <w:pPr>
        <w:pStyle w:val="7"/>
        <w:ind w:left="218" w:leftChars="99" w:firstLine="3064" w:firstLineChars="1090"/>
        <w:rPr>
          <w:b/>
          <w:sz w:val="28"/>
          <w:szCs w:val="28"/>
          <w:lang w:eastAsia="zh-CN"/>
        </w:rPr>
      </w:pPr>
      <w:r>
        <w:rPr>
          <w:b/>
          <w:sz w:val="28"/>
          <w:szCs w:val="28"/>
          <w:lang w:eastAsia="zh-CN"/>
        </w:rPr>
        <w:t>第</w:t>
      </w:r>
      <w:r>
        <w:rPr>
          <w:rFonts w:hint="eastAsia"/>
          <w:b/>
          <w:sz w:val="28"/>
          <w:szCs w:val="28"/>
          <w:lang w:eastAsia="zh-CN"/>
        </w:rPr>
        <w:t>八</w:t>
      </w:r>
      <w:r>
        <w:rPr>
          <w:b/>
          <w:sz w:val="28"/>
          <w:szCs w:val="28"/>
          <w:lang w:eastAsia="zh-CN"/>
        </w:rPr>
        <w:t>章</w:t>
      </w:r>
      <w:r>
        <w:rPr>
          <w:rFonts w:hint="eastAsia"/>
          <w:b/>
          <w:sz w:val="28"/>
          <w:szCs w:val="28"/>
          <w:lang w:eastAsia="zh-CN"/>
        </w:rPr>
        <w:t xml:space="preserve">  检查方案</w:t>
      </w:r>
    </w:p>
    <w:p>
      <w:pPr>
        <w:pStyle w:val="7"/>
        <w:ind w:left="218"/>
        <w:rPr>
          <w:lang w:eastAsia="zh-CN"/>
        </w:rPr>
      </w:pPr>
      <w:r>
        <w:rPr>
          <w:lang w:eastAsia="zh-CN"/>
        </w:rPr>
        <w:br w:type="page"/>
      </w:r>
    </w:p>
    <w:p>
      <w:pPr>
        <w:pStyle w:val="7"/>
        <w:rPr>
          <w:rFonts w:ascii="Times New Roman"/>
          <w:b/>
          <w:bCs/>
          <w:lang w:eastAsia="zh-CN"/>
        </w:rPr>
      </w:pPr>
      <w:bookmarkStart w:id="9" w:name="_Toc251742852"/>
      <w:r>
        <w:rPr>
          <w:rFonts w:hint="eastAsia" w:ascii="Times New Roman"/>
          <w:b/>
          <w:bCs/>
          <w:lang w:eastAsia="zh-CN"/>
        </w:rPr>
        <w:t>附件一</w:t>
      </w:r>
    </w:p>
    <w:p>
      <w:pPr>
        <w:pStyle w:val="9"/>
        <w:spacing w:line="400" w:lineRule="exact"/>
        <w:jc w:val="center"/>
        <w:rPr>
          <w:rFonts w:hAnsi="宋体"/>
          <w:b/>
          <w:sz w:val="36"/>
          <w:szCs w:val="36"/>
          <w:lang w:eastAsia="zh-CN"/>
        </w:rPr>
      </w:pPr>
      <w:r>
        <w:rPr>
          <w:rFonts w:hint="eastAsia" w:hAnsi="宋体"/>
          <w:b/>
          <w:sz w:val="36"/>
          <w:szCs w:val="36"/>
          <w:lang w:eastAsia="zh-CN"/>
        </w:rPr>
        <w:t>技术服务合同</w:t>
      </w:r>
    </w:p>
    <w:p>
      <w:pPr>
        <w:pStyle w:val="9"/>
        <w:spacing w:line="400" w:lineRule="exact"/>
        <w:jc w:val="center"/>
        <w:rPr>
          <w:rFonts w:hAnsi="宋体"/>
          <w:sz w:val="24"/>
          <w:szCs w:val="24"/>
          <w:lang w:eastAsia="zh-CN"/>
        </w:rPr>
      </w:pPr>
    </w:p>
    <w:p>
      <w:pPr>
        <w:pStyle w:val="9"/>
        <w:jc w:val="center"/>
        <w:rPr>
          <w:rFonts w:hAnsi="宋体"/>
          <w:sz w:val="24"/>
          <w:szCs w:val="24"/>
          <w:lang w:eastAsia="zh-CN"/>
        </w:rPr>
      </w:pPr>
      <w:r>
        <w:rPr>
          <w:rFonts w:hint="eastAsia" w:hAnsi="宋体"/>
          <w:sz w:val="24"/>
          <w:szCs w:val="24"/>
          <w:lang w:eastAsia="zh-CN"/>
        </w:rPr>
        <w:t>合同编号：</w:t>
      </w:r>
    </w:p>
    <w:p>
      <w:pPr>
        <w:pStyle w:val="9"/>
        <w:jc w:val="center"/>
        <w:rPr>
          <w:rFonts w:hAnsi="宋体"/>
          <w:sz w:val="24"/>
          <w:szCs w:val="24"/>
          <w:lang w:eastAsia="zh-CN"/>
        </w:rPr>
      </w:pPr>
      <w:r>
        <w:rPr>
          <w:rFonts w:hint="eastAsia" w:hAnsi="宋体"/>
          <w:sz w:val="24"/>
          <w:szCs w:val="24"/>
          <w:lang w:eastAsia="zh-CN"/>
        </w:rPr>
        <w:t>签订时间：</w:t>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委托方（甲方）</w:t>
      </w:r>
      <w:r>
        <w:rPr>
          <w:rFonts w:hint="eastAsia" w:asciiTheme="minorEastAsia" w:hAnsiTheme="minorEastAsia" w:eastAsiaTheme="minorEastAsia"/>
          <w:sz w:val="24"/>
          <w:szCs w:val="24"/>
          <w:lang w:eastAsia="zh-CN"/>
        </w:rPr>
        <w:t>：腾龙芳烃（漳州）有限公司</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翔鹭石化（漳州）有限公司</w:t>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住  所  地：</w:t>
      </w:r>
      <w:r>
        <w:rPr>
          <w:rFonts w:hint="eastAsia" w:asciiTheme="minorEastAsia" w:hAnsiTheme="minorEastAsia" w:eastAsiaTheme="minorEastAsia"/>
          <w:sz w:val="24"/>
          <w:szCs w:val="24"/>
          <w:lang w:eastAsia="zh-CN"/>
        </w:rPr>
        <w:t>福建省漳州市古雷开发区腾龙路86号</w:t>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项目联系人</w:t>
      </w:r>
      <w:r>
        <w:rPr>
          <w:rFonts w:hint="eastAsia" w:asciiTheme="minorEastAsia" w:hAnsiTheme="minorEastAsia" w:eastAsiaTheme="minorEastAsia"/>
          <w:sz w:val="24"/>
          <w:szCs w:val="24"/>
          <w:lang w:eastAsia="zh-CN"/>
        </w:rPr>
        <w:t>：徐志鹏</w:t>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通讯地址</w:t>
      </w:r>
      <w:r>
        <w:rPr>
          <w:rFonts w:hint="eastAsia" w:asciiTheme="minorEastAsia" w:hAnsiTheme="minorEastAsia" w:eastAsiaTheme="minorEastAsia"/>
          <w:sz w:val="24"/>
          <w:szCs w:val="24"/>
          <w:lang w:eastAsia="zh-CN"/>
        </w:rPr>
        <w:t>：福建省漳州市漳浦县古雷经济开发区腾龙路86号</w:t>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    话</w:t>
      </w:r>
      <w:r>
        <w:rPr>
          <w:rFonts w:hint="eastAsia" w:asciiTheme="minorEastAsia" w:hAnsiTheme="minorEastAsia" w:eastAsiaTheme="minorEastAsia"/>
          <w:sz w:val="24"/>
          <w:szCs w:val="24"/>
          <w:lang w:eastAsia="zh-CN"/>
        </w:rPr>
        <w:t>：</w:t>
      </w:r>
      <w:r>
        <w:rPr>
          <w:rFonts w:hint="eastAsia"/>
          <w:sz w:val="24"/>
          <w:szCs w:val="24"/>
          <w:shd w:val="clear" w:color="auto" w:fill="FFFFFF"/>
          <w:lang w:eastAsia="zh-CN"/>
        </w:rPr>
        <w:t>15060522906</w:t>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电子信箱</w:t>
      </w:r>
      <w:r>
        <w:rPr>
          <w:rFonts w:hint="eastAsia" w:asciiTheme="minorEastAsia" w:hAnsiTheme="minorEastAsia" w:eastAsiaTheme="minorEastAsia"/>
          <w:sz w:val="24"/>
          <w:szCs w:val="24"/>
          <w:lang w:eastAsia="zh-CN"/>
        </w:rPr>
        <w:t>：zpxu@fhcpec.com.cn</w:t>
      </w:r>
    </w:p>
    <w:p>
      <w:pPr>
        <w:pStyle w:val="9"/>
        <w:rPr>
          <w:rFonts w:asciiTheme="minorEastAsia" w:hAnsiTheme="minorEastAsia" w:eastAsiaTheme="minorEastAsia"/>
          <w:sz w:val="24"/>
          <w:szCs w:val="24"/>
          <w:lang w:eastAsia="zh-CN"/>
        </w:rPr>
      </w:pP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受托方（乙方）</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ab/>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住  所  地</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ab/>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项目联系人：</w:t>
      </w:r>
      <w:r>
        <w:rPr>
          <w:rFonts w:asciiTheme="minorEastAsia" w:hAnsiTheme="minorEastAsia" w:eastAsiaTheme="minorEastAsia"/>
          <w:sz w:val="24"/>
          <w:szCs w:val="24"/>
          <w:lang w:eastAsia="zh-CN"/>
        </w:rPr>
        <w:t xml:space="preserve"> </w:t>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通讯地址</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 xml:space="preserve"> </w:t>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    话</w:t>
      </w:r>
      <w:r>
        <w:rPr>
          <w:rFonts w:hint="eastAsia" w:asciiTheme="minorEastAsia" w:hAnsiTheme="minorEastAsia" w:eastAsiaTheme="minorEastAsia"/>
          <w:sz w:val="24"/>
          <w:szCs w:val="24"/>
          <w:lang w:eastAsia="zh-CN"/>
        </w:rPr>
        <w:t>：</w:t>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电子信箱</w:t>
      </w:r>
      <w:r>
        <w:rPr>
          <w:rFonts w:hint="eastAsia" w:asciiTheme="minorEastAsia" w:hAnsiTheme="minorEastAsia" w:eastAsiaTheme="minorEastAsia"/>
          <w:sz w:val="24"/>
          <w:szCs w:val="24"/>
          <w:lang w:eastAsia="zh-CN"/>
        </w:rPr>
        <w:t>：</w:t>
      </w:r>
    </w:p>
    <w:p>
      <w:pPr>
        <w:pStyle w:val="9"/>
        <w:rPr>
          <w:rFonts w:cs="黑体" w:asciiTheme="majorEastAsia" w:hAnsiTheme="majorEastAsia" w:eastAsiaTheme="majorEastAsia"/>
          <w:sz w:val="24"/>
          <w:u w:val="single"/>
          <w:lang w:eastAsia="zh-CN"/>
        </w:rPr>
      </w:pP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z w:val="24"/>
          <w:lang w:eastAsia="zh-CN"/>
        </w:rPr>
        <w:t>本合同由甲方委托乙方就</w:t>
      </w:r>
      <w:r>
        <w:rPr>
          <w:rFonts w:hint="eastAsia" w:asciiTheme="majorEastAsia" w:hAnsiTheme="majorEastAsia" w:eastAsiaTheme="majorEastAsia"/>
          <w:b/>
          <w:sz w:val="24"/>
          <w:szCs w:val="24"/>
          <w:u w:val="single"/>
          <w:lang w:eastAsia="zh-CN"/>
        </w:rPr>
        <w:t>48塔监测/宏观检查（二期/三期）</w:t>
      </w:r>
      <w:r>
        <w:rPr>
          <w:rFonts w:hint="eastAsia" w:asciiTheme="minorEastAsia" w:hAnsiTheme="minorEastAsia" w:eastAsiaTheme="minorEastAsia"/>
          <w:sz w:val="24"/>
          <w:u w:val="single"/>
          <w:lang w:eastAsia="zh-CN"/>
        </w:rPr>
        <w:t>项目</w:t>
      </w:r>
      <w:r>
        <w:rPr>
          <w:rFonts w:hint="eastAsia" w:asciiTheme="minorEastAsia" w:hAnsiTheme="minorEastAsia" w:eastAsiaTheme="minorEastAsia"/>
          <w:sz w:val="24"/>
          <w:lang w:eastAsia="zh-CN"/>
        </w:rPr>
        <w:t>进行技术服务，并支付技术服务报酬。双方经过平等协商，在真实、充分地表达各自意愿的基础上，根据《中华人民共和国民法典》的规定，达成如下协议，并由双方共同恪守。</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第一条</w:t>
      </w:r>
      <w:r>
        <w:rPr>
          <w:rFonts w:hint="eastAsia" w:asciiTheme="minorEastAsia" w:hAnsiTheme="minorEastAsia" w:eastAsiaTheme="minorEastAsia"/>
          <w:sz w:val="24"/>
          <w:szCs w:val="24"/>
          <w:lang w:eastAsia="zh-CN"/>
        </w:rPr>
        <w:t>　乙方进行技术服务的内容、要求、方式：</w:t>
      </w:r>
    </w:p>
    <w:p>
      <w:pPr>
        <w:pStyle w:val="9"/>
        <w:ind w:left="2760" w:hanging="2760" w:hangingChars="1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1.技术服务内容：</w:t>
      </w:r>
      <w:r>
        <w:rPr>
          <w:rFonts w:hint="eastAsia" w:asciiTheme="majorEastAsia" w:hAnsiTheme="majorEastAsia" w:eastAsiaTheme="majorEastAsia"/>
          <w:b/>
          <w:sz w:val="24"/>
          <w:szCs w:val="24"/>
          <w:u w:val="single"/>
          <w:lang w:eastAsia="zh-CN"/>
        </w:rPr>
        <w:t>48塔监测/宏观检查（二期/三期）</w:t>
      </w:r>
      <w:r>
        <w:rPr>
          <w:rFonts w:hint="eastAsia" w:asciiTheme="minorEastAsia" w:hAnsiTheme="minorEastAsia" w:eastAsiaTheme="minorEastAsia"/>
          <w:sz w:val="24"/>
          <w:u w:val="single"/>
          <w:lang w:eastAsia="zh-CN"/>
        </w:rPr>
        <w:t>项目</w:t>
      </w:r>
      <w:r>
        <w:rPr>
          <w:rFonts w:hint="eastAsia" w:asciiTheme="minorEastAsia" w:hAnsiTheme="minorEastAsia" w:eastAsiaTheme="minorEastAsia"/>
          <w:sz w:val="24"/>
          <w:szCs w:val="24"/>
          <w:u w:val="single"/>
          <w:lang w:eastAsia="zh-CN"/>
        </w:rPr>
        <w:t xml:space="preserve">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2.技术服务要求：</w:t>
      </w:r>
      <w:r>
        <w:rPr>
          <w:rFonts w:hint="eastAsia" w:asciiTheme="minorEastAsia" w:hAnsiTheme="minorEastAsia" w:eastAsiaTheme="minorEastAsia"/>
          <w:sz w:val="24"/>
          <w:szCs w:val="24"/>
          <w:u w:val="single"/>
          <w:lang w:eastAsia="zh-CN"/>
        </w:rPr>
        <w:t xml:space="preserve"> 详见附件“发包文件”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第二条</w:t>
      </w:r>
      <w:r>
        <w:rPr>
          <w:rFonts w:hint="eastAsia" w:asciiTheme="minorEastAsia" w:hAnsiTheme="minorEastAsia" w:eastAsiaTheme="minorEastAsia"/>
          <w:sz w:val="24"/>
          <w:szCs w:val="24"/>
          <w:lang w:eastAsia="zh-CN"/>
        </w:rPr>
        <w:t xml:space="preserve"> 乙方按照下列要求进行本合同项目的技术咨询工作：</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1.技术服务地点：</w:t>
      </w:r>
      <w:r>
        <w:rPr>
          <w:rFonts w:hint="eastAsia" w:asciiTheme="minorEastAsia" w:hAnsiTheme="minorEastAsia" w:eastAsiaTheme="minorEastAsia"/>
          <w:sz w:val="24"/>
          <w:szCs w:val="24"/>
          <w:u w:val="single"/>
          <w:lang w:eastAsia="zh-CN"/>
        </w:rPr>
        <w:t xml:space="preserve"> 腾龙芳烃（漳州）有限公司、翔鹭石化（漳州）有限公司  </w:t>
      </w:r>
    </w:p>
    <w:p>
      <w:pPr>
        <w:outlineLvl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2.技术服务期限：</w:t>
      </w:r>
    </w:p>
    <w:p>
      <w:pPr>
        <w:ind w:firstLine="235" w:firstLineChars="98"/>
        <w:outlineLvl w:val="0"/>
        <w:rPr>
          <w:bCs/>
          <w:sz w:val="24"/>
          <w:lang w:eastAsia="zh-CN"/>
        </w:rPr>
      </w:pPr>
      <w:r>
        <w:rPr>
          <w:rFonts w:hint="eastAsia" w:asciiTheme="majorEastAsia" w:hAnsiTheme="majorEastAsia" w:eastAsiaTheme="majorEastAsia"/>
          <w:sz w:val="24"/>
          <w:szCs w:val="24"/>
          <w:lang w:eastAsia="zh-CN"/>
        </w:rPr>
        <w:t>1）</w:t>
      </w:r>
      <w:r>
        <w:rPr>
          <w:rFonts w:hint="eastAsia"/>
          <w:bCs/>
          <w:sz w:val="24"/>
          <w:lang w:eastAsia="zh-CN"/>
        </w:rPr>
        <w:t>48塔监测/宏观检查项目二期工期：合同签订日期起算满一年</w:t>
      </w:r>
      <w:r>
        <w:rPr>
          <w:rFonts w:hint="eastAsia" w:asciiTheme="majorEastAsia" w:hAnsiTheme="majorEastAsia" w:eastAsiaTheme="majorEastAsia"/>
          <w:sz w:val="24"/>
          <w:szCs w:val="24"/>
          <w:lang w:eastAsia="zh-CN"/>
        </w:rPr>
        <w:t>；</w:t>
      </w:r>
    </w:p>
    <w:p>
      <w:pPr>
        <w:pStyle w:val="9"/>
        <w:ind w:firstLine="240" w:firstLineChars="100"/>
        <w:rPr>
          <w:rFonts w:asciiTheme="minorEastAsia" w:hAnsiTheme="minorEastAsia" w:eastAsiaTheme="minorEastAsia"/>
          <w:sz w:val="24"/>
          <w:szCs w:val="24"/>
          <w:lang w:eastAsia="zh-CN"/>
        </w:rPr>
      </w:pPr>
      <w:r>
        <w:rPr>
          <w:rFonts w:hint="eastAsia" w:asciiTheme="majorEastAsia" w:hAnsiTheme="majorEastAsia" w:eastAsiaTheme="majorEastAsia"/>
          <w:sz w:val="24"/>
          <w:szCs w:val="24"/>
          <w:lang w:eastAsia="zh-CN"/>
        </w:rPr>
        <w:t>2）</w:t>
      </w:r>
      <w:r>
        <w:rPr>
          <w:rFonts w:hint="eastAsia" w:hAnsi="宋体" w:cs="宋体"/>
          <w:bCs/>
          <w:sz w:val="24"/>
          <w:lang w:eastAsia="zh-CN"/>
        </w:rPr>
        <w:t>48塔监测/宏观检查项目三期工期：二期项目结束日第二天起算满一年。</w:t>
      </w:r>
      <w:r>
        <w:rPr>
          <w:rFonts w:hint="eastAsia" w:asciiTheme="minorEastAsia" w:hAnsiTheme="minorEastAsia" w:eastAsiaTheme="minorEastAsia"/>
          <w:sz w:val="24"/>
          <w:szCs w:val="24"/>
          <w:u w:val="single"/>
          <w:lang w:eastAsia="zh-CN"/>
        </w:rPr>
        <w:t xml:space="preserve"> </w:t>
      </w:r>
    </w:p>
    <w:p>
      <w:pP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3.技术服务进度：</w:t>
      </w:r>
    </w:p>
    <w:p>
      <w:pPr>
        <w:rPr>
          <w:sz w:val="24"/>
          <w:szCs w:val="28"/>
          <w:lang w:eastAsia="zh-CN"/>
        </w:rPr>
      </w:pPr>
      <w:r>
        <w:rPr>
          <w:rFonts w:hint="eastAsia"/>
          <w:sz w:val="24"/>
          <w:szCs w:val="28"/>
          <w:lang w:eastAsia="zh-CN"/>
        </w:rPr>
        <w:t>1）</w:t>
      </w:r>
      <w:r>
        <w:rPr>
          <w:rFonts w:hint="eastAsia"/>
          <w:bCs/>
          <w:sz w:val="24"/>
          <w:szCs w:val="24"/>
          <w:lang w:eastAsia="zh-CN"/>
        </w:rPr>
        <w:t>每季度出具17台塔的监测报告，出具31台塔的宏观检查报告</w:t>
      </w:r>
      <w:r>
        <w:rPr>
          <w:rFonts w:hint="eastAsia"/>
          <w:sz w:val="24"/>
          <w:szCs w:val="28"/>
          <w:lang w:eastAsia="zh-CN"/>
        </w:rPr>
        <w:t xml:space="preserve">； </w:t>
      </w:r>
    </w:p>
    <w:p>
      <w:pPr>
        <w:rPr>
          <w:bCs/>
          <w:sz w:val="24"/>
          <w:szCs w:val="24"/>
          <w:lang w:eastAsia="zh-CN"/>
        </w:rPr>
      </w:pPr>
      <w:r>
        <w:rPr>
          <w:rFonts w:hint="eastAsia"/>
          <w:sz w:val="24"/>
          <w:szCs w:val="28"/>
          <w:lang w:eastAsia="zh-CN"/>
        </w:rPr>
        <w:t>2）</w:t>
      </w:r>
      <w:r>
        <w:rPr>
          <w:rFonts w:hint="eastAsia"/>
          <w:bCs/>
          <w:sz w:val="24"/>
          <w:szCs w:val="24"/>
          <w:lang w:eastAsia="zh-CN"/>
        </w:rPr>
        <w:t>监测满一年后出具17台塔的监测总结报告，出具31台塔的宏观检查总结报告；</w:t>
      </w:r>
    </w:p>
    <w:p>
      <w:pPr>
        <w:pStyle w:val="2"/>
        <w:spacing w:line="360" w:lineRule="auto"/>
        <w:rPr>
          <w:sz w:val="24"/>
          <w:szCs w:val="24"/>
        </w:rPr>
      </w:pPr>
      <w:r>
        <w:rPr>
          <w:rFonts w:hint="eastAsia"/>
          <w:sz w:val="24"/>
          <w:szCs w:val="24"/>
        </w:rPr>
        <w:t>3）</w:t>
      </w:r>
      <w:r>
        <w:rPr>
          <w:rFonts w:hint="eastAsia" w:hAnsi="宋体" w:cs="宋体"/>
          <w:bCs/>
          <w:sz w:val="24"/>
          <w:szCs w:val="24"/>
        </w:rPr>
        <w:t>项目三期监测完成后，半年内出具塔监测及宏观检查的最终评价报告。</w:t>
      </w:r>
    </w:p>
    <w:p>
      <w:pPr>
        <w:rPr>
          <w:sz w:val="24"/>
          <w:lang w:eastAsia="zh-CN"/>
        </w:rPr>
      </w:pPr>
      <w:r>
        <w:rPr>
          <w:rFonts w:hint="eastAsia" w:asciiTheme="minorEastAsia" w:hAnsiTheme="minorEastAsia" w:eastAsiaTheme="minorEastAsia"/>
          <w:sz w:val="24"/>
          <w:szCs w:val="24"/>
          <w:lang w:eastAsia="zh-CN"/>
        </w:rPr>
        <w:t>4、技术服务质量要求：</w:t>
      </w:r>
      <w:r>
        <w:rPr>
          <w:rFonts w:hint="eastAsia"/>
          <w:sz w:val="24"/>
          <w:lang w:eastAsia="zh-CN"/>
        </w:rPr>
        <w:t>除非合同另有规定，均须遵守最新的国家标准</w:t>
      </w:r>
      <w:r>
        <w:rPr>
          <w:sz w:val="24"/>
          <w:lang w:eastAsia="zh-CN"/>
        </w:rPr>
        <w:t>(GB)</w:t>
      </w:r>
      <w:r>
        <w:rPr>
          <w:rFonts w:hint="eastAsia"/>
          <w:sz w:val="24"/>
          <w:lang w:eastAsia="zh-CN"/>
        </w:rPr>
        <w:t>。当标准不一致时，按技术条款要求高的标准执行。</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第三条</w:t>
      </w:r>
      <w:r>
        <w:rPr>
          <w:rFonts w:hint="eastAsia" w:asciiTheme="minorEastAsia" w:hAnsiTheme="minorEastAsia" w:eastAsiaTheme="minorEastAsia"/>
          <w:sz w:val="24"/>
          <w:szCs w:val="24"/>
          <w:lang w:eastAsia="zh-CN"/>
        </w:rPr>
        <w:t xml:space="preserve"> 为保证乙方有效进行技术咨询工作，甲方应当向乙方提供下列协作事项：</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提供技术资料：</w:t>
      </w:r>
      <w:r>
        <w:rPr>
          <w:rFonts w:hint="eastAsia" w:asciiTheme="minorEastAsia" w:hAnsiTheme="minorEastAsia" w:eastAsiaTheme="minorEastAsia"/>
          <w:sz w:val="24"/>
          <w:szCs w:val="24"/>
          <w:u w:val="single"/>
          <w:lang w:eastAsia="zh-CN"/>
        </w:rPr>
        <w:t xml:space="preserve">   详见附件发包文件   </w:t>
      </w:r>
      <w:r>
        <w:rPr>
          <w:rFonts w:hint="eastAsia" w:asciiTheme="minorEastAsia" w:hAnsiTheme="minorEastAsia" w:eastAsiaTheme="minorEastAsia"/>
          <w:sz w:val="24"/>
          <w:szCs w:val="24"/>
          <w:lang w:eastAsia="zh-CN"/>
        </w:rPr>
        <w:t xml:space="preserve">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提供工作条件：</w:t>
      </w:r>
      <w:r>
        <w:rPr>
          <w:rFonts w:hint="eastAsia" w:asciiTheme="minorEastAsia" w:hAnsiTheme="minorEastAsia" w:eastAsiaTheme="minorEastAsia"/>
          <w:sz w:val="24"/>
          <w:szCs w:val="24"/>
          <w:u w:val="single"/>
          <w:lang w:eastAsia="zh-CN"/>
        </w:rPr>
        <w:t xml:space="preserve">   详见附件发包文件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其他：</w:t>
      </w:r>
      <w:r>
        <w:rPr>
          <w:rFonts w:hint="eastAsia" w:asciiTheme="minorEastAsia" w:hAnsiTheme="minorEastAsia" w:eastAsiaTheme="minorEastAsia"/>
          <w:sz w:val="24"/>
          <w:szCs w:val="24"/>
          <w:u w:val="single"/>
          <w:lang w:eastAsia="zh-CN"/>
        </w:rPr>
        <w:t xml:space="preserve">  无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甲方提供上述协作事项的时间及方式：</w:t>
      </w:r>
      <w:r>
        <w:rPr>
          <w:rFonts w:hint="eastAsia" w:asciiTheme="minorEastAsia" w:hAnsiTheme="minorEastAsia" w:eastAsiaTheme="minorEastAsia"/>
          <w:sz w:val="24"/>
          <w:szCs w:val="24"/>
          <w:u w:val="single"/>
          <w:lang w:eastAsia="zh-CN"/>
        </w:rPr>
        <w:t xml:space="preserve">  甲方负责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第四条</w:t>
      </w:r>
      <w:r>
        <w:rPr>
          <w:rFonts w:hint="eastAsia" w:asciiTheme="minorEastAsia" w:hAnsiTheme="minorEastAsia" w:eastAsiaTheme="minorEastAsia"/>
          <w:sz w:val="24"/>
          <w:szCs w:val="24"/>
          <w:lang w:eastAsia="zh-CN"/>
        </w:rPr>
        <w:t xml:space="preserve"> 甲方向乙方支付技术服务报酬及支付方式为：</w:t>
      </w:r>
    </w:p>
    <w:p>
      <w:pPr>
        <w:pStyle w:val="9"/>
        <w:autoSpaceDE/>
        <w:autoSpaceDN/>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1、技术服务报酬总价款为：</w:t>
      </w:r>
      <w:r>
        <w:rPr>
          <w:rFonts w:asciiTheme="minorEastAsia" w:hAnsiTheme="minorEastAsia" w:eastAsiaTheme="minorEastAsia"/>
          <w:sz w:val="24"/>
          <w:szCs w:val="24"/>
          <w:lang w:eastAsia="zh-CN"/>
        </w:rPr>
        <w:t>人民币</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元整（￥</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元）税率</w:t>
      </w:r>
      <w:r>
        <w:rPr>
          <w:rFonts w:hint="eastAsia" w:asciiTheme="minorEastAsia" w:hAnsiTheme="minorEastAsia" w:eastAsiaTheme="minorEastAsia"/>
          <w:sz w:val="24"/>
          <w:szCs w:val="24"/>
          <w:u w:val="single"/>
          <w:lang w:eastAsia="zh-CN"/>
        </w:rPr>
        <w:t xml:space="preserve">    %</w:t>
      </w:r>
    </w:p>
    <w:p>
      <w:pPr>
        <w:pStyle w:val="25"/>
        <w:widowControl/>
        <w:spacing w:before="0"/>
        <w:ind w:left="0" w:firstLine="48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本合同的技术服务费为包干制，</w:t>
      </w:r>
      <w:r>
        <w:rPr>
          <w:rFonts w:hint="eastAsia" w:asciiTheme="minorEastAsia" w:hAnsiTheme="minorEastAsia" w:eastAsiaTheme="minorEastAsia"/>
          <w:sz w:val="24"/>
          <w:lang w:eastAsia="zh-CN"/>
        </w:rPr>
        <w:t>费用包括乙方工作涉及到的劳务费、管理费、工具费、劳保费、所有税费、各种保险、安全费用、利润、食宿费、加班费、饮用水、办公费、运输费、耗材费及合同涉及到的所有风险、责任、义务等费用</w:t>
      </w:r>
      <w:r>
        <w:rPr>
          <w:rFonts w:hint="eastAsia" w:asciiTheme="minorEastAsia" w:hAnsiTheme="minorEastAsia" w:eastAsiaTheme="minorEastAsia"/>
          <w:color w:val="000000"/>
          <w:sz w:val="24"/>
          <w:lang w:eastAsia="zh-CN"/>
        </w:rPr>
        <w:t>。乙方根据实际需要增加或者减少工程人员数量，本合同总价不变。</w:t>
      </w:r>
    </w:p>
    <w:p>
      <w:pPr>
        <w:pStyle w:val="25"/>
        <w:widowControl/>
        <w:spacing w:before="0"/>
        <w:ind w:left="0" w:firstLine="0"/>
        <w:rPr>
          <w:rFonts w:asciiTheme="minorEastAsia" w:hAnsiTheme="minorEastAsia" w:eastAsiaTheme="minorEastAsia"/>
          <w:color w:val="000000"/>
          <w:sz w:val="24"/>
          <w:szCs w:val="24"/>
          <w:lang w:eastAsia="zh-CN"/>
        </w:rPr>
      </w:pPr>
      <w:r>
        <w:rPr>
          <w:rFonts w:hint="eastAsia"/>
          <w:sz w:val="24"/>
          <w:szCs w:val="24"/>
          <w:lang w:eastAsia="zh-CN"/>
        </w:rPr>
        <w:t>2、</w:t>
      </w:r>
      <w:r>
        <w:rPr>
          <w:rFonts w:hint="eastAsia" w:asciiTheme="minorEastAsia" w:hAnsiTheme="minorEastAsia" w:eastAsiaTheme="minorEastAsia"/>
          <w:sz w:val="24"/>
          <w:szCs w:val="24"/>
          <w:lang w:eastAsia="zh-CN"/>
        </w:rPr>
        <w:t>具体支付方式和时间分配如下：</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1）预付款：无；</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2）结算款：</w:t>
      </w:r>
      <w:r>
        <w:rPr>
          <w:rFonts w:hint="eastAsia"/>
          <w:bCs/>
          <w:sz w:val="24"/>
          <w:lang w:eastAsia="zh-CN"/>
        </w:rPr>
        <w:t>分期支付（项目分为项目二期、项目三期）</w:t>
      </w:r>
      <w:r>
        <w:rPr>
          <w:rFonts w:hint="eastAsia"/>
          <w:snapToGrid w:val="0"/>
          <w:sz w:val="24"/>
          <w:szCs w:val="24"/>
          <w:lang w:eastAsia="zh-CN"/>
        </w:rPr>
        <w:t>，由乙方开具对应金额的增值税专用发票（税率</w:t>
      </w:r>
      <w:r>
        <w:rPr>
          <w:rFonts w:hint="eastAsia"/>
          <w:b/>
          <w:snapToGrid w:val="0"/>
          <w:sz w:val="24"/>
          <w:szCs w:val="24"/>
          <w:u w:val="single"/>
          <w:lang w:eastAsia="zh-CN"/>
        </w:rPr>
        <w:t xml:space="preserve"> </w:t>
      </w:r>
      <w:r>
        <w:rPr>
          <w:rFonts w:hint="eastAsia"/>
          <w:b/>
          <w:snapToGrid w:val="0"/>
          <w:sz w:val="24"/>
          <w:szCs w:val="24"/>
          <w:lang w:eastAsia="zh-CN"/>
        </w:rPr>
        <w:t>%</w:t>
      </w:r>
      <w:r>
        <w:rPr>
          <w:rFonts w:hint="eastAsia"/>
          <w:snapToGrid w:val="0"/>
          <w:sz w:val="24"/>
          <w:szCs w:val="24"/>
          <w:lang w:eastAsia="zh-CN"/>
        </w:rPr>
        <w:t>），</w:t>
      </w:r>
      <w:r>
        <w:rPr>
          <w:rFonts w:hint="eastAsia" w:hAnsi="宋体" w:cs="宋体"/>
          <w:bCs/>
          <w:sz w:val="24"/>
          <w:lang w:eastAsia="zh-CN"/>
        </w:rPr>
        <w:t>报告提供齐全并经业主验收通过，</w:t>
      </w:r>
      <w:r>
        <w:rPr>
          <w:rFonts w:hint="eastAsia"/>
          <w:snapToGrid w:val="0"/>
          <w:sz w:val="24"/>
          <w:szCs w:val="24"/>
          <w:lang w:eastAsia="zh-CN"/>
        </w:rPr>
        <w:t>按甲方结算程序办理，</w:t>
      </w:r>
      <w:r>
        <w:rPr>
          <w:rFonts w:hint="eastAsia" w:hAnsi="宋体" w:cs="宋体"/>
          <w:bCs/>
          <w:sz w:val="24"/>
          <w:lang w:eastAsia="zh-CN"/>
        </w:rPr>
        <w:t>3个月内支付结算款，</w:t>
      </w:r>
      <w:r>
        <w:rPr>
          <w:rFonts w:hint="eastAsia"/>
          <w:snapToGrid w:val="0"/>
          <w:sz w:val="24"/>
          <w:szCs w:val="24"/>
          <w:lang w:eastAsia="zh-CN"/>
        </w:rPr>
        <w:t>工作必须经甲方确认方可结算</w:t>
      </w:r>
      <w:r>
        <w:rPr>
          <w:rFonts w:hint="eastAsia"/>
          <w:sz w:val="24"/>
          <w:szCs w:val="24"/>
          <w:lang w:eastAsia="zh-CN"/>
        </w:rPr>
        <w:t>。</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3）乙方应在甲方付款期限届满</w:t>
      </w:r>
      <w:r>
        <w:rPr>
          <w:rFonts w:hint="eastAsia" w:asciiTheme="minorEastAsia" w:hAnsiTheme="minorEastAsia" w:eastAsiaTheme="minorEastAsia"/>
          <w:sz w:val="24"/>
          <w:szCs w:val="24"/>
          <w:u w:val="single"/>
          <w:lang w:eastAsia="zh-CN"/>
        </w:rPr>
        <w:t xml:space="preserve"> 15</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日前提供相应的</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%增值税专用发票，否则甲方有权顺延付款。上述技术服务及咨询报酬直接支付至乙方指定的下列账号：</w:t>
      </w:r>
    </w:p>
    <w:p>
      <w:pPr>
        <w:pStyle w:val="9"/>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公 司  名 称：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    </w:t>
      </w:r>
    </w:p>
    <w:p>
      <w:pPr>
        <w:pStyle w:val="9"/>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乙方开户银行：</w:t>
      </w:r>
      <w:r>
        <w:rPr>
          <w:rFonts w:hint="eastAsia" w:asciiTheme="minorEastAsia" w:hAnsiTheme="minorEastAsia" w:eastAsiaTheme="minorEastAsia"/>
          <w:sz w:val="24"/>
          <w:szCs w:val="24"/>
          <w:u w:val="single"/>
          <w:lang w:eastAsia="zh-CN"/>
        </w:rPr>
        <w:t xml:space="preserve">                     </w:t>
      </w:r>
    </w:p>
    <w:p>
      <w:pPr>
        <w:pStyle w:val="9"/>
        <w:ind w:firstLine="480" w:firstLineChars="2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账        号：</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w:t>
      </w:r>
      <w:r>
        <w:rPr>
          <w:rFonts w:hint="eastAsia"/>
          <w:sz w:val="24"/>
          <w:szCs w:val="24"/>
          <w:lang w:eastAsia="zh-CN"/>
        </w:rPr>
        <w:t>乙方的参选保证金</w:t>
      </w:r>
      <w:r>
        <w:rPr>
          <w:rFonts w:hint="eastAsia" w:cs="Arial" w:asciiTheme="majorEastAsia" w:hAnsiTheme="majorEastAsia" w:eastAsiaTheme="majorEastAsia"/>
          <w:color w:val="333333"/>
          <w:sz w:val="24"/>
          <w:szCs w:val="24"/>
          <w:lang w:eastAsia="zh-CN"/>
        </w:rPr>
        <w:t>陆万元整（60000.00元）</w:t>
      </w:r>
      <w:r>
        <w:rPr>
          <w:rFonts w:hint="eastAsia"/>
          <w:sz w:val="24"/>
          <w:szCs w:val="24"/>
          <w:lang w:eastAsia="zh-CN"/>
        </w:rPr>
        <w:t>将在合同签订后自动转为履约保证金，将于合同周期完成后1</w:t>
      </w:r>
      <w:r>
        <w:rPr>
          <w:sz w:val="24"/>
          <w:szCs w:val="24"/>
          <w:lang w:eastAsia="zh-CN"/>
        </w:rPr>
        <w:t>5</w:t>
      </w:r>
      <w:r>
        <w:rPr>
          <w:rFonts w:hint="eastAsia"/>
          <w:sz w:val="24"/>
          <w:szCs w:val="24"/>
          <w:lang w:eastAsia="zh-CN"/>
        </w:rPr>
        <w:t>个工作日内，甲方无息退还履约保证金。</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第五条</w:t>
      </w:r>
      <w:r>
        <w:rPr>
          <w:rFonts w:hint="eastAsia" w:asciiTheme="minorEastAsia" w:hAnsiTheme="minorEastAsia" w:eastAsiaTheme="minorEastAsia"/>
          <w:sz w:val="24"/>
          <w:szCs w:val="24"/>
          <w:lang w:eastAsia="zh-CN"/>
        </w:rPr>
        <w:t xml:space="preserve"> 双方确定因履行本合同应遵守的保密义务如下：</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1.保密内容：乙方提供的资料，服务咨询报告及该服务咨询报告的附件资料除外。</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2.涉密人员范围：甲方及甲方工作人员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3.泄密责任：按本合同约定及国家有关保密法的规定执行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1.保密内容：甲方提供的资料以及乙方在提供本合同约定服务过程中知悉的甲方技术信息、经营信息、生产工艺、操作流程等。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2.涉密人员范围：乙方及乙方工作人员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3.泄密责任：按本合同约定及国家有关保密法的规定执行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第六条</w:t>
      </w:r>
      <w:r>
        <w:rPr>
          <w:rFonts w:hint="eastAsia" w:asciiTheme="minorEastAsia" w:hAnsiTheme="minorEastAsia" w:eastAsiaTheme="minorEastAsia"/>
          <w:sz w:val="24"/>
          <w:szCs w:val="24"/>
          <w:lang w:eastAsia="zh-CN"/>
        </w:rPr>
        <w:t xml:space="preserve"> 本合同的变更必须由双方协商一致，并以书面形式确定。</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第七条</w:t>
      </w:r>
      <w:r>
        <w:rPr>
          <w:rFonts w:hint="eastAsia" w:asciiTheme="minorEastAsia" w:hAnsiTheme="minorEastAsia" w:eastAsiaTheme="minorEastAsia"/>
          <w:sz w:val="24"/>
          <w:szCs w:val="24"/>
          <w:lang w:eastAsia="zh-CN"/>
        </w:rPr>
        <w:t xml:space="preserve"> 双方确定，按以下标准和方式对乙方提交的技术服务工作成果进行验收：</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1、乙方提交技术服务工作成果的形式：</w:t>
      </w:r>
      <w:r>
        <w:rPr>
          <w:rFonts w:hint="eastAsia" w:asciiTheme="minorEastAsia" w:hAnsiTheme="minorEastAsia" w:eastAsiaTheme="minorEastAsia"/>
          <w:sz w:val="24"/>
          <w:szCs w:val="24"/>
          <w:u w:val="single"/>
          <w:lang w:eastAsia="zh-CN"/>
        </w:rPr>
        <w:t>监测</w:t>
      </w:r>
      <w:r>
        <w:rPr>
          <w:rFonts w:hint="eastAsia"/>
          <w:sz w:val="24"/>
          <w:szCs w:val="28"/>
          <w:u w:val="single"/>
          <w:lang w:eastAsia="zh-CN"/>
        </w:rPr>
        <w:t>报告及检查报告</w:t>
      </w:r>
      <w:r>
        <w:rPr>
          <w:rFonts w:asciiTheme="minorEastAsia" w:hAnsiTheme="minorEastAsia" w:eastAsiaTheme="minorEastAsia"/>
          <w:sz w:val="24"/>
          <w:szCs w:val="24"/>
          <w:u w:val="single"/>
          <w:lang w:eastAsia="zh-CN"/>
        </w:rPr>
        <w:t xml:space="preserve">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2、技术服务工作成果的验收标准：</w:t>
      </w:r>
    </w:p>
    <w:p>
      <w:pPr>
        <w:rPr>
          <w:sz w:val="24"/>
          <w:szCs w:val="24"/>
          <w:lang w:eastAsia="zh-CN"/>
        </w:rPr>
      </w:pPr>
      <w:r>
        <w:rPr>
          <w:rFonts w:hint="eastAsia"/>
          <w:sz w:val="24"/>
          <w:szCs w:val="24"/>
          <w:lang w:eastAsia="zh-CN"/>
        </w:rPr>
        <w:t>按现行国家标准（GB）、行业标准（DL）要求的规范、规程等执行。</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3、验收地点：</w:t>
      </w:r>
      <w:r>
        <w:rPr>
          <w:rFonts w:hint="eastAsia" w:asciiTheme="minorEastAsia" w:hAnsiTheme="minorEastAsia" w:eastAsiaTheme="minorEastAsia"/>
          <w:sz w:val="24"/>
          <w:szCs w:val="24"/>
          <w:u w:val="single"/>
          <w:lang w:eastAsia="zh-CN"/>
        </w:rPr>
        <w:t xml:space="preserve">  腾龙芳烃（漳州）有限公司、翔鹭石化（漳州）有限公司</w:t>
      </w:r>
      <w:r>
        <w:rPr>
          <w:rFonts w:asciiTheme="minorEastAsia" w:hAnsiTheme="minorEastAsia" w:eastAsiaTheme="minorEastAsia"/>
          <w:sz w:val="24"/>
          <w:szCs w:val="24"/>
          <w:u w:val="single"/>
          <w:lang w:eastAsia="zh-CN"/>
        </w:rPr>
        <w:t xml:space="preserve">  </w:t>
      </w:r>
    </w:p>
    <w:p>
      <w:pPr>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双方确认，甲方的验收仅作为付款依据，不代表甲方对乙方工作成果的最终认可。在技术服务成果运用过程中，如有证据表明乙方存在弄虚作假等违反合同约定的情形，甲方仍有权要求乙方承担由此造成的损失和法律后果。</w:t>
      </w:r>
    </w:p>
    <w:p>
      <w:pPr>
        <w:tabs>
          <w:tab w:val="left" w:pos="2010"/>
        </w:tabs>
        <w:rPr>
          <w:sz w:val="24"/>
          <w:lang w:eastAsia="zh-CN"/>
        </w:rPr>
      </w:pPr>
      <w:r>
        <w:rPr>
          <w:rFonts w:hint="eastAsia"/>
          <w:sz w:val="24"/>
          <w:lang w:eastAsia="zh-CN"/>
        </w:rPr>
        <w:t>5. 乙方在本合同签订之日，交纳的参选保证金自动转为履约保证金</w:t>
      </w:r>
      <w:r>
        <w:rPr>
          <w:sz w:val="24"/>
          <w:lang w:eastAsia="zh-CN"/>
        </w:rPr>
        <w:t>。乙方违约或发生本</w:t>
      </w:r>
      <w:r>
        <w:rPr>
          <w:rFonts w:hint="eastAsia"/>
          <w:sz w:val="24"/>
          <w:lang w:eastAsia="zh-CN"/>
        </w:rPr>
        <w:t>合同</w:t>
      </w:r>
      <w:r>
        <w:rPr>
          <w:sz w:val="24"/>
          <w:lang w:eastAsia="zh-CN"/>
        </w:rPr>
        <w:t>约定的其他事由的，甲方有权从履行保证金中优先扣除乙方违约金及其他应付款项；由此造成履约保证金不足的，乙方应在5日内补足，逾期每日按照应缴金额的千分之一支付违约金。</w:t>
      </w:r>
    </w:p>
    <w:p>
      <w:pPr>
        <w:pStyle w:val="2"/>
        <w:spacing w:line="360" w:lineRule="auto"/>
      </w:pPr>
      <w:r>
        <w:rPr>
          <w:rFonts w:hint="eastAsia"/>
          <w:sz w:val="24"/>
          <w:szCs w:val="24"/>
        </w:rPr>
        <w:t xml:space="preserve"> 6. 履约保证金在乙方全面履行完毕本合同义务后</w:t>
      </w:r>
      <w:r>
        <w:rPr>
          <w:sz w:val="24"/>
          <w:szCs w:val="24"/>
        </w:rPr>
        <w:t>30天内无息退还。但履约保证金退还后发现任何应由乙方承担责任的行为或事件的，乙方仍应承担责任。</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第八条</w:t>
      </w:r>
      <w:r>
        <w:rPr>
          <w:rFonts w:hint="eastAsia" w:asciiTheme="minorEastAsia" w:hAnsiTheme="minorEastAsia" w:eastAsiaTheme="minorEastAsia"/>
          <w:sz w:val="24"/>
          <w:szCs w:val="24"/>
          <w:lang w:eastAsia="zh-CN"/>
        </w:rPr>
        <w:t xml:space="preserve"> 双方确定，甲方指定</w:t>
      </w:r>
      <w:r>
        <w:rPr>
          <w:rFonts w:hint="eastAsia" w:asciiTheme="minorEastAsia" w:hAnsiTheme="minorEastAsia" w:eastAsiaTheme="minorEastAsia"/>
          <w:sz w:val="24"/>
          <w:szCs w:val="24"/>
          <w:u w:val="single"/>
          <w:lang w:eastAsia="zh-CN"/>
        </w:rPr>
        <w:t xml:space="preserve"> 徐志鹏</w:t>
      </w:r>
      <w:r>
        <w:rPr>
          <w:rFonts w:hint="eastAsia"/>
          <w:sz w:val="24"/>
          <w:szCs w:val="24"/>
          <w:u w:val="single"/>
          <w:shd w:val="clear" w:color="auto" w:fill="FFFFFF"/>
          <w:lang w:eastAsia="zh-CN"/>
        </w:rPr>
        <w:t>15060522906</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为甲方项目联系人，乙方指定</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为乙方项目联系人。项目联系人承担以下责任：</w:t>
      </w:r>
    </w:p>
    <w:p>
      <w:pPr>
        <w:pStyle w:val="9"/>
        <w:ind w:firstLine="480" w:firstLineChars="2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u w:val="single"/>
          <w:lang w:eastAsia="zh-CN"/>
        </w:rPr>
        <w:t xml:space="preserve">   </w:t>
      </w:r>
      <w:r>
        <w:rPr>
          <w:rFonts w:hint="eastAsia" w:hAnsi="宋体" w:cs="宋体"/>
          <w:sz w:val="24"/>
          <w:u w:val="single"/>
          <w:lang w:eastAsia="zh-CN"/>
        </w:rPr>
        <w:t>联系具体项目进度并实施</w:t>
      </w:r>
      <w:r>
        <w:rPr>
          <w:rFonts w:asciiTheme="minorEastAsia" w:hAnsiTheme="minorEastAsia" w:eastAsiaTheme="minorEastAsia"/>
          <w:sz w:val="24"/>
          <w:szCs w:val="24"/>
          <w:u w:val="single"/>
          <w:lang w:eastAsia="zh-CN"/>
        </w:rPr>
        <w:t xml:space="preserve">     </w:t>
      </w:r>
    </w:p>
    <w:p>
      <w:pPr>
        <w:pStyle w:val="9"/>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一方变更项目联系人的，应当及时以书面形式通知另一方。未及时通知并影响本合同履行或造成损失的，应承担相应的责任。</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第九条</w:t>
      </w:r>
      <w:r>
        <w:rPr>
          <w:rFonts w:hint="eastAsia" w:asciiTheme="minorEastAsia" w:hAnsiTheme="minorEastAsia" w:eastAsiaTheme="minorEastAsia"/>
          <w:sz w:val="24"/>
          <w:szCs w:val="24"/>
          <w:lang w:eastAsia="zh-CN"/>
        </w:rPr>
        <w:t xml:space="preserve"> 甲乙方的责任和义务</w:t>
      </w:r>
    </w:p>
    <w:p>
      <w:pPr>
        <w:pStyle w:val="9"/>
        <w:autoSpaceDE/>
        <w:autoSpaceDN/>
        <w:ind w:firstLine="720" w:firstLineChars="3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详见附件“发包文件”</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第十条</w:t>
      </w:r>
      <w:r>
        <w:rPr>
          <w:rFonts w:hint="eastAsia" w:asciiTheme="minorEastAsia" w:hAnsiTheme="minorEastAsia" w:eastAsiaTheme="minorEastAsia"/>
          <w:sz w:val="24"/>
          <w:szCs w:val="24"/>
          <w:lang w:eastAsia="zh-CN"/>
        </w:rPr>
        <w:t xml:space="preserve">  保险</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除非合同另有规定，在本合同项目的执行过程中，甲方对乙方的人身死亡或伤残，或财产的损失或损害不予赔偿。甲方也不对乙方与此有关的索赔、损害、赔偿及诉讼等费用和其他开支承担责任。</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第十一条</w:t>
      </w:r>
      <w:r>
        <w:rPr>
          <w:rFonts w:hint="eastAsia" w:asciiTheme="minorEastAsia" w:hAnsiTheme="minorEastAsia" w:eastAsiaTheme="minorEastAsia"/>
          <w:sz w:val="24"/>
          <w:szCs w:val="24"/>
          <w:lang w:eastAsia="zh-CN"/>
        </w:rPr>
        <w:t xml:space="preserve">  违约责任</w:t>
      </w:r>
    </w:p>
    <w:p>
      <w:pPr>
        <w:rPr>
          <w:rStyle w:val="54"/>
          <w:rFonts w:asciiTheme="minorEastAsia" w:hAnsiTheme="minorEastAsia" w:eastAsiaTheme="minorEastAsia"/>
          <w:sz w:val="24"/>
          <w:lang w:eastAsia="zh-CN"/>
        </w:rPr>
      </w:pPr>
      <w:r>
        <w:rPr>
          <w:rStyle w:val="54"/>
          <w:rFonts w:hint="eastAsia" w:asciiTheme="minorEastAsia" w:hAnsiTheme="minorEastAsia" w:eastAsiaTheme="minorEastAsia"/>
          <w:color w:val="000000"/>
          <w:sz w:val="24"/>
          <w:lang w:eastAsia="zh-CN"/>
        </w:rPr>
        <w:t>1．乙方逾期提交可研报告的，每日应向甲方支付违约金为合同价格的</w:t>
      </w:r>
      <w:r>
        <w:rPr>
          <w:rStyle w:val="54"/>
          <w:rFonts w:hint="eastAsia" w:asciiTheme="minorEastAsia" w:hAnsiTheme="minorEastAsia" w:eastAsiaTheme="minorEastAsia"/>
          <w:color w:val="000000"/>
          <w:sz w:val="24"/>
          <w:u w:val="single"/>
          <w:lang w:eastAsia="zh-CN"/>
        </w:rPr>
        <w:t>1‰</w:t>
      </w:r>
      <w:r>
        <w:rPr>
          <w:rStyle w:val="54"/>
          <w:rFonts w:hint="eastAsia" w:asciiTheme="minorEastAsia" w:hAnsiTheme="minorEastAsia" w:eastAsiaTheme="minorEastAsia"/>
          <w:color w:val="000000"/>
          <w:sz w:val="24"/>
          <w:lang w:eastAsia="zh-CN"/>
        </w:rPr>
        <w:t>，逾期超过</w:t>
      </w:r>
      <w:r>
        <w:rPr>
          <w:rFonts w:hint="eastAsia" w:asciiTheme="minorEastAsia" w:hAnsiTheme="minorEastAsia" w:eastAsiaTheme="minorEastAsia"/>
          <w:sz w:val="24"/>
          <w:u w:val="single"/>
          <w:lang w:eastAsia="zh-CN"/>
        </w:rPr>
        <w:t xml:space="preserve"> 15</w:t>
      </w:r>
      <w:r>
        <w:rPr>
          <w:rFonts w:asciiTheme="minorEastAsia" w:hAnsiTheme="minorEastAsia" w:eastAsiaTheme="minorEastAsia"/>
          <w:sz w:val="24"/>
          <w:u w:val="single"/>
          <w:lang w:eastAsia="zh-CN"/>
        </w:rPr>
        <w:t xml:space="preserve"> </w:t>
      </w:r>
      <w:r>
        <w:rPr>
          <w:rStyle w:val="54"/>
          <w:rFonts w:hint="eastAsia" w:asciiTheme="minorEastAsia" w:hAnsiTheme="minorEastAsia" w:eastAsiaTheme="minorEastAsia"/>
          <w:color w:val="000000"/>
          <w:sz w:val="24"/>
          <w:lang w:eastAsia="zh-CN"/>
        </w:rPr>
        <w:t>日的，甲方还有权解除本合同，乙方还需支付甲方合同总</w:t>
      </w:r>
      <w:r>
        <w:rPr>
          <w:rStyle w:val="54"/>
          <w:rFonts w:hint="eastAsia" w:asciiTheme="minorEastAsia" w:hAnsiTheme="minorEastAsia" w:eastAsiaTheme="minorEastAsia"/>
          <w:sz w:val="24"/>
          <w:lang w:eastAsia="zh-CN"/>
        </w:rPr>
        <w:t>额</w:t>
      </w:r>
      <w:r>
        <w:rPr>
          <w:rStyle w:val="54"/>
          <w:rFonts w:hint="eastAsia" w:asciiTheme="minorEastAsia" w:hAnsiTheme="minorEastAsia" w:eastAsiaTheme="minorEastAsia"/>
          <w:sz w:val="24"/>
          <w:u w:val="single"/>
          <w:lang w:eastAsia="zh-CN"/>
        </w:rPr>
        <w:t>20%</w:t>
      </w:r>
      <w:r>
        <w:rPr>
          <w:rStyle w:val="54"/>
          <w:rFonts w:hint="eastAsia" w:asciiTheme="minorEastAsia" w:hAnsiTheme="minorEastAsia" w:eastAsiaTheme="minorEastAsia"/>
          <w:sz w:val="24"/>
          <w:lang w:eastAsia="zh-CN"/>
        </w:rPr>
        <w:t>的违约金。</w:t>
      </w:r>
    </w:p>
    <w:p>
      <w:pPr>
        <w:pStyle w:val="9"/>
        <w:rPr>
          <w:rStyle w:val="54"/>
          <w:rFonts w:asciiTheme="minorEastAsia" w:hAnsiTheme="minorEastAsia" w:eastAsiaTheme="minorEastAsia"/>
          <w:sz w:val="24"/>
          <w:szCs w:val="24"/>
          <w:lang w:eastAsia="zh-CN"/>
        </w:rPr>
      </w:pPr>
      <w:r>
        <w:rPr>
          <w:rStyle w:val="54"/>
          <w:rFonts w:hint="eastAsia" w:asciiTheme="minorEastAsia" w:hAnsiTheme="minorEastAsia" w:eastAsiaTheme="minorEastAsia"/>
          <w:sz w:val="24"/>
          <w:szCs w:val="24"/>
          <w:lang w:eastAsia="zh-CN"/>
        </w:rPr>
        <w:t>2．乙方提交的报告不符合合同约定的，应在甲方指定期限内修改完善直至符合合同约定为止，由此造成逾期提交的，按照第1款约定执行。</w:t>
      </w:r>
    </w:p>
    <w:p>
      <w:pPr>
        <w:pStyle w:val="9"/>
        <w:rPr>
          <w:rStyle w:val="54"/>
          <w:rFonts w:asciiTheme="minorEastAsia" w:hAnsiTheme="minorEastAsia" w:eastAsiaTheme="minorEastAsia"/>
          <w:sz w:val="24"/>
          <w:szCs w:val="24"/>
          <w:lang w:eastAsia="zh-CN"/>
        </w:rPr>
      </w:pPr>
      <w:r>
        <w:rPr>
          <w:rStyle w:val="54"/>
          <w:rFonts w:hint="eastAsia" w:asciiTheme="minorEastAsia" w:hAnsiTheme="minorEastAsia" w:eastAsiaTheme="minorEastAsia"/>
          <w:sz w:val="24"/>
          <w:szCs w:val="24"/>
          <w:lang w:eastAsia="zh-CN"/>
        </w:rPr>
        <w:t>3．任何一方违反保密义务的，应向对方支付违约金人民币</w:t>
      </w:r>
      <w:r>
        <w:rPr>
          <w:rFonts w:hint="eastAsia" w:asciiTheme="minorEastAsia" w:hAnsiTheme="minorEastAsia" w:eastAsiaTheme="minorEastAsia"/>
          <w:sz w:val="24"/>
          <w:szCs w:val="24"/>
          <w:u w:val="single"/>
          <w:lang w:eastAsia="zh-CN"/>
        </w:rPr>
        <w:t xml:space="preserve"> 伍万</w:t>
      </w:r>
      <w:r>
        <w:rPr>
          <w:rFonts w:asciiTheme="minorEastAsia" w:hAnsiTheme="minorEastAsia" w:eastAsiaTheme="minorEastAsia"/>
          <w:sz w:val="24"/>
          <w:szCs w:val="24"/>
          <w:u w:val="single"/>
          <w:lang w:eastAsia="zh-CN"/>
        </w:rPr>
        <w:t xml:space="preserve"> </w:t>
      </w:r>
      <w:r>
        <w:rPr>
          <w:rStyle w:val="54"/>
          <w:rFonts w:hint="eastAsia" w:asciiTheme="minorEastAsia" w:hAnsiTheme="minorEastAsia" w:eastAsiaTheme="minorEastAsia"/>
          <w:sz w:val="24"/>
          <w:szCs w:val="24"/>
          <w:lang w:eastAsia="zh-CN"/>
        </w:rPr>
        <w:t>元；并赔偿由此给对方造成的损失。</w:t>
      </w:r>
    </w:p>
    <w:p>
      <w:pPr>
        <w:pStyle w:val="9"/>
        <w:rPr>
          <w:rStyle w:val="54"/>
          <w:rFonts w:asciiTheme="minorEastAsia" w:hAnsiTheme="minorEastAsia" w:eastAsiaTheme="minorEastAsia"/>
          <w:sz w:val="24"/>
          <w:szCs w:val="24"/>
          <w:lang w:eastAsia="zh-CN"/>
        </w:rPr>
      </w:pPr>
      <w:r>
        <w:rPr>
          <w:rStyle w:val="54"/>
          <w:rFonts w:hint="eastAsia" w:asciiTheme="minorEastAsia" w:hAnsiTheme="minorEastAsia" w:eastAsiaTheme="minorEastAsia"/>
          <w:sz w:val="24"/>
          <w:szCs w:val="24"/>
          <w:lang w:eastAsia="zh-CN"/>
        </w:rPr>
        <w:t>4、任何一方无正当理由单方解除合同的，应向对方支付合同总额</w:t>
      </w:r>
      <w:r>
        <w:rPr>
          <w:rStyle w:val="54"/>
          <w:rFonts w:hint="eastAsia" w:asciiTheme="minorEastAsia" w:hAnsiTheme="minorEastAsia" w:eastAsiaTheme="minorEastAsia"/>
          <w:sz w:val="24"/>
          <w:szCs w:val="24"/>
          <w:u w:val="single"/>
          <w:lang w:eastAsia="zh-CN"/>
        </w:rPr>
        <w:t>20%</w:t>
      </w:r>
      <w:r>
        <w:rPr>
          <w:rStyle w:val="54"/>
          <w:rFonts w:hint="eastAsia" w:asciiTheme="minorEastAsia" w:hAnsiTheme="minorEastAsia" w:eastAsiaTheme="minorEastAsia"/>
          <w:sz w:val="24"/>
          <w:szCs w:val="24"/>
          <w:lang w:eastAsia="zh-CN"/>
        </w:rPr>
        <w:t>的违约金，并赔偿对方的损失。</w:t>
      </w:r>
    </w:p>
    <w:p>
      <w:pPr>
        <w:pStyle w:val="9"/>
        <w:rPr>
          <w:rStyle w:val="54"/>
          <w:rFonts w:asciiTheme="minorEastAsia" w:hAnsiTheme="minorEastAsia" w:eastAsiaTheme="minorEastAsia"/>
          <w:sz w:val="24"/>
          <w:szCs w:val="24"/>
          <w:lang w:eastAsia="zh-CN"/>
        </w:rPr>
      </w:pPr>
      <w:r>
        <w:rPr>
          <w:rStyle w:val="54"/>
          <w:rFonts w:hint="eastAsia" w:asciiTheme="minorEastAsia" w:hAnsiTheme="minorEastAsia" w:eastAsiaTheme="minorEastAsia"/>
          <w:sz w:val="24"/>
          <w:szCs w:val="24"/>
          <w:lang w:eastAsia="zh-CN"/>
        </w:rPr>
        <w:t>5、若乙方在履行合同过程中存在弄虚作假的情形，甲方有权单方解除合同，乙方支付甲方合同总额</w:t>
      </w:r>
      <w:r>
        <w:rPr>
          <w:rStyle w:val="54"/>
          <w:rFonts w:hint="eastAsia" w:asciiTheme="minorEastAsia" w:hAnsiTheme="minorEastAsia" w:eastAsiaTheme="minorEastAsia"/>
          <w:sz w:val="24"/>
          <w:szCs w:val="24"/>
          <w:u w:val="single"/>
          <w:lang w:eastAsia="zh-CN"/>
        </w:rPr>
        <w:t>20%</w:t>
      </w:r>
      <w:r>
        <w:rPr>
          <w:rStyle w:val="54"/>
          <w:rFonts w:hint="eastAsia" w:asciiTheme="minorEastAsia" w:hAnsiTheme="minorEastAsia" w:eastAsiaTheme="minorEastAsia"/>
          <w:sz w:val="24"/>
          <w:szCs w:val="24"/>
          <w:lang w:eastAsia="zh-CN"/>
        </w:rPr>
        <w:t>的违约金。</w:t>
      </w:r>
    </w:p>
    <w:p>
      <w:pPr>
        <w:pStyle w:val="9"/>
        <w:rPr>
          <w:rStyle w:val="54"/>
          <w:rFonts w:asciiTheme="minorEastAsia" w:hAnsiTheme="minorEastAsia" w:eastAsiaTheme="minorEastAsia"/>
          <w:color w:val="000000"/>
          <w:sz w:val="24"/>
          <w:szCs w:val="24"/>
          <w:lang w:eastAsia="zh-CN"/>
        </w:rPr>
      </w:pPr>
      <w:r>
        <w:rPr>
          <w:rStyle w:val="54"/>
          <w:rFonts w:hint="eastAsia" w:asciiTheme="minorEastAsia" w:hAnsiTheme="minorEastAsia" w:eastAsiaTheme="minorEastAsia"/>
          <w:sz w:val="24"/>
          <w:szCs w:val="24"/>
          <w:lang w:eastAsia="zh-CN"/>
        </w:rPr>
        <w:t>6、乙方进入甲方现场服务期间，因不可归责于甲方的原因造成甲方、</w:t>
      </w:r>
      <w:r>
        <w:rPr>
          <w:rStyle w:val="54"/>
          <w:rFonts w:hint="eastAsia" w:asciiTheme="minorEastAsia" w:hAnsiTheme="minorEastAsia" w:eastAsiaTheme="minorEastAsia"/>
          <w:color w:val="000000"/>
          <w:sz w:val="24"/>
          <w:szCs w:val="24"/>
          <w:lang w:eastAsia="zh-CN"/>
        </w:rPr>
        <w:t>乙方或任何第三方人身财产损失的，由乙方承担全部责任。</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第十二条</w:t>
      </w:r>
      <w:r>
        <w:rPr>
          <w:rFonts w:hint="eastAsia" w:asciiTheme="minorEastAsia" w:hAnsiTheme="minorEastAsia" w:eastAsiaTheme="minorEastAsia"/>
          <w:sz w:val="24"/>
          <w:szCs w:val="24"/>
          <w:lang w:eastAsia="zh-CN"/>
        </w:rPr>
        <w:t xml:space="preserve"> 双方因履行本合同而发生的争议，可协商、调解解决，也可直接采取下列第</w:t>
      </w:r>
      <w:r>
        <w:rPr>
          <w:rFonts w:hint="eastAsia" w:asciiTheme="minorEastAsia" w:hAnsiTheme="minorEastAsia" w:eastAsiaTheme="minorEastAsia"/>
          <w:sz w:val="24"/>
          <w:szCs w:val="24"/>
          <w:u w:val="single"/>
          <w:lang w:eastAsia="zh-CN"/>
        </w:rPr>
        <w:t xml:space="preserve">  2</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种方式解决：</w:t>
      </w:r>
    </w:p>
    <w:p>
      <w:pPr>
        <w:pStyle w:val="9"/>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1．向</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仲裁委员会申请仲裁；</w:t>
      </w:r>
    </w:p>
    <w:p>
      <w:pPr>
        <w:pStyle w:val="9"/>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2．向甲方所在地人民法院提起诉讼。</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第十三条</w:t>
      </w:r>
      <w:r>
        <w:rPr>
          <w:rFonts w:hint="eastAsia" w:asciiTheme="minorEastAsia" w:hAnsiTheme="minorEastAsia" w:eastAsiaTheme="minorEastAsia"/>
          <w:sz w:val="24"/>
          <w:szCs w:val="24"/>
          <w:lang w:eastAsia="zh-CN"/>
        </w:rPr>
        <w:t xml:space="preserve"> 其他</w:t>
      </w:r>
    </w:p>
    <w:p>
      <w:pPr>
        <w:pStyle w:val="9"/>
        <w:ind w:firstLine="480" w:firstLineChars="200"/>
        <w:rPr>
          <w:rStyle w:val="54"/>
          <w:rFonts w:asciiTheme="minorEastAsia" w:hAnsiTheme="minorEastAsia" w:eastAsiaTheme="minorEastAsia"/>
          <w:color w:val="000000"/>
          <w:sz w:val="24"/>
          <w:szCs w:val="24"/>
          <w:lang w:eastAsia="zh-CN"/>
        </w:rPr>
      </w:pPr>
      <w:r>
        <w:rPr>
          <w:rStyle w:val="54"/>
          <w:rFonts w:hint="eastAsia" w:asciiTheme="minorEastAsia" w:hAnsiTheme="minorEastAsia" w:eastAsiaTheme="minor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9"/>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乙方提交的报告及其所包含的技术成果的所有权归甲方所有，甲方在此基础上可以进行技术创新和改进并对创新和改进的结果享有知识产权。乙方不得自用或将试验报告提供给第三方使用，如有违反按照泄密处理。</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第十四条</w:t>
      </w:r>
      <w:r>
        <w:rPr>
          <w:rFonts w:hint="eastAsia" w:asciiTheme="minorEastAsia" w:hAnsiTheme="minorEastAsia" w:eastAsiaTheme="minorEastAsia"/>
          <w:sz w:val="24"/>
          <w:szCs w:val="24"/>
          <w:lang w:eastAsia="zh-CN"/>
        </w:rPr>
        <w:t xml:space="preserve"> 本合同经双方盖章后生效。本合同一式</w:t>
      </w:r>
      <w:r>
        <w:rPr>
          <w:rFonts w:hint="eastAsia" w:asciiTheme="minorEastAsia" w:hAnsiTheme="minorEastAsia" w:eastAsiaTheme="minorEastAsia"/>
          <w:sz w:val="24"/>
          <w:szCs w:val="24"/>
          <w:u w:val="single"/>
          <w:lang w:eastAsia="zh-CN"/>
        </w:rPr>
        <w:t xml:space="preserve"> 陆</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份，甲方执</w:t>
      </w:r>
      <w:r>
        <w:rPr>
          <w:rFonts w:hint="eastAsia" w:asciiTheme="minorEastAsia" w:hAnsiTheme="minorEastAsia" w:eastAsiaTheme="minorEastAsia"/>
          <w:sz w:val="24"/>
          <w:szCs w:val="24"/>
          <w:u w:val="single"/>
          <w:lang w:eastAsia="zh-CN"/>
        </w:rPr>
        <w:t xml:space="preserve"> 肆</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份，乙方执</w:t>
      </w:r>
      <w:r>
        <w:rPr>
          <w:rFonts w:hint="eastAsia" w:asciiTheme="minorEastAsia" w:hAnsiTheme="minorEastAsia" w:eastAsiaTheme="minorEastAsia"/>
          <w:sz w:val="24"/>
          <w:szCs w:val="24"/>
          <w:u w:val="single"/>
          <w:lang w:eastAsia="zh-CN"/>
        </w:rPr>
        <w:t xml:space="preserve"> 贰</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份，具有同等法律效力。</w:t>
      </w:r>
    </w:p>
    <w:p>
      <w:pPr>
        <w:tabs>
          <w:tab w:val="left" w:pos="2010"/>
        </w:tabs>
        <w:spacing w:line="520" w:lineRule="exact"/>
        <w:rPr>
          <w:sz w:val="24"/>
          <w:lang w:eastAsia="zh-CN"/>
        </w:rPr>
      </w:pPr>
      <w:r>
        <w:rPr>
          <w:rFonts w:hint="eastAsia"/>
          <w:b/>
          <w:sz w:val="24"/>
          <w:lang w:eastAsia="zh-CN"/>
        </w:rPr>
        <w:t>第十五条</w:t>
      </w:r>
      <w:r>
        <w:rPr>
          <w:rFonts w:hint="eastAsia"/>
          <w:sz w:val="24"/>
          <w:lang w:eastAsia="zh-CN"/>
        </w:rPr>
        <w:t xml:space="preserve"> .附件及双方往来的有效书面文件与合同共同具备法律效力。</w:t>
      </w:r>
    </w:p>
    <w:p>
      <w:pPr>
        <w:tabs>
          <w:tab w:val="left" w:pos="2010"/>
        </w:tabs>
        <w:spacing w:line="520" w:lineRule="exact"/>
        <w:ind w:firstLine="360" w:firstLineChars="150"/>
        <w:rPr>
          <w:sz w:val="24"/>
          <w:lang w:eastAsia="zh-CN"/>
        </w:rPr>
      </w:pPr>
      <w:r>
        <w:rPr>
          <w:rFonts w:hint="eastAsia"/>
          <w:sz w:val="24"/>
          <w:lang w:eastAsia="zh-CN"/>
        </w:rPr>
        <w:t>本合同未尽事宜，如需更改经双方协商后可另签补充协议。</w:t>
      </w:r>
    </w:p>
    <w:p>
      <w:pPr>
        <w:tabs>
          <w:tab w:val="left" w:pos="2010"/>
        </w:tabs>
        <w:rPr>
          <w:sz w:val="24"/>
          <w:szCs w:val="24"/>
          <w:lang w:eastAsia="zh-CN"/>
        </w:rPr>
      </w:pPr>
      <w:r>
        <w:rPr>
          <w:rFonts w:hint="eastAsia"/>
          <w:sz w:val="24"/>
          <w:lang w:eastAsia="zh-CN"/>
        </w:rPr>
        <w:t>附件1、</w:t>
      </w:r>
      <w:r>
        <w:rPr>
          <w:rFonts w:hint="eastAsia"/>
          <w:sz w:val="24"/>
          <w:szCs w:val="24"/>
          <w:lang w:eastAsia="zh-CN"/>
        </w:rPr>
        <w:t>发包文件</w:t>
      </w:r>
    </w:p>
    <w:p>
      <w:pPr>
        <w:tabs>
          <w:tab w:val="left" w:pos="2010"/>
        </w:tabs>
        <w:rPr>
          <w:sz w:val="24"/>
          <w:lang w:eastAsia="zh-CN"/>
        </w:rPr>
      </w:pPr>
      <w:r>
        <w:rPr>
          <w:rFonts w:hint="eastAsia"/>
          <w:sz w:val="24"/>
          <w:lang w:eastAsia="zh-CN"/>
        </w:rPr>
        <w:t>附件2、价格清单</w:t>
      </w:r>
    </w:p>
    <w:p>
      <w:pPr>
        <w:tabs>
          <w:tab w:val="left" w:pos="2010"/>
        </w:tabs>
        <w:rPr>
          <w:sz w:val="24"/>
          <w:lang w:eastAsia="zh-CN"/>
        </w:rPr>
      </w:pPr>
      <w:r>
        <w:rPr>
          <w:rFonts w:hint="eastAsia"/>
          <w:sz w:val="24"/>
          <w:lang w:eastAsia="zh-CN"/>
        </w:rPr>
        <w:t>附件3、安全环保协议</w:t>
      </w:r>
    </w:p>
    <w:p>
      <w:pPr>
        <w:tabs>
          <w:tab w:val="left" w:pos="2010"/>
        </w:tabs>
        <w:rPr>
          <w:rFonts w:cs="Arial"/>
          <w:sz w:val="24"/>
          <w:lang w:eastAsia="zh-CN"/>
        </w:rPr>
      </w:pPr>
      <w:r>
        <w:rPr>
          <w:rFonts w:hint="eastAsia" w:cs="Arial"/>
          <w:sz w:val="24"/>
          <w:lang w:eastAsia="zh-CN"/>
        </w:rPr>
        <w:t>附件4、</w:t>
      </w:r>
      <w:r>
        <w:rPr>
          <w:rFonts w:hint="eastAsia"/>
          <w:snapToGrid w:val="0"/>
          <w:sz w:val="24"/>
          <w:szCs w:val="24"/>
          <w:lang w:eastAsia="zh-CN"/>
        </w:rPr>
        <w:t>建设项目廉洁从业承诺书</w:t>
      </w:r>
    </w:p>
    <w:p>
      <w:pPr>
        <w:tabs>
          <w:tab w:val="left" w:pos="2010"/>
        </w:tabs>
        <w:ind w:firstLine="964" w:firstLineChars="400"/>
        <w:rPr>
          <w:sz w:val="24"/>
          <w:lang w:eastAsia="zh-CN"/>
        </w:rPr>
      </w:pPr>
      <w:r>
        <w:rPr>
          <w:rFonts w:hint="eastAsia" w:cs="Arial"/>
          <w:b/>
          <w:sz w:val="24"/>
          <w:lang w:eastAsia="zh-CN"/>
        </w:rPr>
        <w:t>（以下为签署栏，无正文）</w:t>
      </w:r>
    </w:p>
    <w:p>
      <w:pPr>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w:t>
      </w:r>
    </w:p>
    <w:p>
      <w:pPr>
        <w:ind w:right="-147" w:rightChars="-67"/>
        <w:rPr>
          <w:b/>
          <w:sz w:val="24"/>
          <w:lang w:eastAsia="zh-CN"/>
        </w:rPr>
      </w:pPr>
      <w:r>
        <w:rPr>
          <w:rFonts w:hint="eastAsia"/>
          <w:b/>
          <w:spacing w:val="20"/>
          <w:sz w:val="24"/>
          <w:lang w:eastAsia="zh-CN"/>
        </w:rPr>
        <w:t>腾龙芳烃（漳州）有限公司             翔鹭石化（漳州）有限公司</w:t>
      </w:r>
    </w:p>
    <w:p>
      <w:pPr>
        <w:ind w:right="-147" w:rightChars="-67"/>
        <w:rPr>
          <w:szCs w:val="21"/>
          <w:lang w:eastAsia="zh-CN"/>
        </w:rPr>
      </w:pPr>
      <w:r>
        <w:rPr>
          <w:rFonts w:cs="Arial"/>
          <w:b/>
          <w:sz w:val="24"/>
          <w:lang w:eastAsia="zh-CN"/>
        </w:rPr>
        <w:br w:type="textWrapping"/>
      </w: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福建省漳州市古雷港经济开发区</w:t>
      </w:r>
      <w:r>
        <w:rPr>
          <w:rFonts w:hint="eastAsia"/>
          <w:szCs w:val="21"/>
          <w:lang w:eastAsia="zh-CN"/>
        </w:rPr>
        <w:t xml:space="preserve">       地</w:t>
      </w:r>
      <w:r>
        <w:rPr>
          <w:szCs w:val="21"/>
          <w:lang w:eastAsia="zh-CN"/>
        </w:rPr>
        <w:t xml:space="preserve"> </w:t>
      </w:r>
      <w:r>
        <w:rPr>
          <w:rFonts w:hint="eastAsia"/>
          <w:szCs w:val="21"/>
          <w:lang w:eastAsia="zh-CN"/>
        </w:rPr>
        <w:t xml:space="preserve"> 址：</w:t>
      </w:r>
      <w:r>
        <w:rPr>
          <w:rFonts w:hint="eastAsia" w:hAnsi="Courier New" w:cs="Courier New"/>
          <w:szCs w:val="21"/>
          <w:lang w:eastAsia="zh-CN"/>
        </w:rPr>
        <w:t>福建省漳州市古雷港经济开发区</w:t>
      </w:r>
    </w:p>
    <w:p>
      <w:pPr>
        <w:ind w:right="-147" w:rightChars="-67"/>
        <w:rPr>
          <w:szCs w:val="21"/>
          <w:lang w:eastAsia="zh-CN"/>
        </w:rPr>
      </w:pPr>
      <w:r>
        <w:rPr>
          <w:rFonts w:hint="eastAsia"/>
          <w:szCs w:val="21"/>
          <w:lang w:eastAsia="zh-CN"/>
        </w:rPr>
        <w:t xml:space="preserve">          </w:t>
      </w:r>
      <w:r>
        <w:rPr>
          <w:szCs w:val="21"/>
          <w:lang w:eastAsia="zh-CN"/>
        </w:rPr>
        <w:t xml:space="preserve"> </w:t>
      </w:r>
      <w:r>
        <w:rPr>
          <w:rFonts w:hint="eastAsia" w:hAnsi="Courier New" w:cs="Courier New"/>
          <w:szCs w:val="21"/>
          <w:lang w:eastAsia="zh-CN"/>
        </w:rPr>
        <w:t>腾龙路84号                               腾龙路86号</w:t>
      </w:r>
    </w:p>
    <w:p>
      <w:pPr>
        <w:ind w:left="1038" w:right="-147" w:rightChars="-67" w:hanging="1038" w:hangingChars="472"/>
        <w:rPr>
          <w:szCs w:val="21"/>
          <w:lang w:eastAsia="zh-CN"/>
        </w:rPr>
      </w:pPr>
      <w:r>
        <w:rPr>
          <w:rFonts w:hint="eastAsia"/>
          <w:szCs w:val="21"/>
          <w:lang w:eastAsia="zh-CN"/>
        </w:rPr>
        <w:t>开户行：兴业银行漳州古雷支行                开户行： 中国银行漳州分行</w:t>
      </w:r>
    </w:p>
    <w:p>
      <w:pPr>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号： 162070100100021071                 帐</w:t>
      </w:r>
      <w:r>
        <w:rPr>
          <w:szCs w:val="21"/>
          <w:lang w:eastAsia="zh-CN"/>
        </w:rPr>
        <w:t xml:space="preserve">  </w:t>
      </w:r>
      <w:r>
        <w:rPr>
          <w:rFonts w:hint="eastAsia"/>
          <w:szCs w:val="21"/>
          <w:lang w:eastAsia="zh-CN"/>
        </w:rPr>
        <w:t>号： 416958369985</w:t>
      </w:r>
    </w:p>
    <w:p>
      <w:pPr>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号： 91350600717866709A</w:t>
      </w:r>
      <w:r>
        <w:rPr>
          <w:rFonts w:hint="eastAsia"/>
          <w:lang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 号： 913506006765392255</w:t>
      </w:r>
    </w:p>
    <w:p>
      <w:pPr>
        <w:ind w:right="-147" w:rightChars="-67"/>
        <w:rPr>
          <w:szCs w:val="21"/>
          <w:lang w:eastAsia="zh-CN"/>
        </w:rPr>
      </w:pPr>
      <w:r>
        <w:rPr>
          <w:rFonts w:hint="eastAsia"/>
          <w:szCs w:val="21"/>
          <w:lang w:eastAsia="zh-CN"/>
        </w:rPr>
        <w:t>电</w:t>
      </w:r>
      <w:r>
        <w:rPr>
          <w:szCs w:val="21"/>
          <w:lang w:eastAsia="zh-CN"/>
        </w:rPr>
        <w:t xml:space="preserve">  </w:t>
      </w:r>
      <w:r>
        <w:rPr>
          <w:rFonts w:hint="eastAsia"/>
          <w:szCs w:val="21"/>
          <w:lang w:eastAsia="zh-CN"/>
        </w:rPr>
        <w:t>话：  0596-6311083                      电</w:t>
      </w:r>
      <w:r>
        <w:rPr>
          <w:szCs w:val="21"/>
          <w:lang w:eastAsia="zh-CN"/>
        </w:rPr>
        <w:t xml:space="preserve">  </w:t>
      </w:r>
      <w:r>
        <w:rPr>
          <w:rFonts w:hint="eastAsia"/>
          <w:szCs w:val="21"/>
          <w:lang w:eastAsia="zh-CN"/>
        </w:rPr>
        <w:t>话：</w:t>
      </w:r>
      <w:r>
        <w:rPr>
          <w:rFonts w:hint="eastAsia"/>
          <w:bCs/>
          <w:szCs w:val="21"/>
          <w:lang w:eastAsia="zh-CN"/>
        </w:rPr>
        <w:t xml:space="preserve"> </w:t>
      </w:r>
      <w:r>
        <w:rPr>
          <w:rFonts w:hint="eastAsia"/>
          <w:szCs w:val="21"/>
          <w:lang w:eastAsia="zh-CN"/>
        </w:rPr>
        <w:t>0592-6808888</w:t>
      </w:r>
      <w:r>
        <w:rPr>
          <w:rFonts w:hint="eastAsia"/>
          <w:b/>
          <w:sz w:val="28"/>
          <w:szCs w:val="28"/>
          <w:lang w:eastAsia="zh-CN"/>
        </w:rPr>
        <w:tab/>
      </w:r>
    </w:p>
    <w:p>
      <w:pPr>
        <w:pStyle w:val="2"/>
        <w:rPr>
          <w:b/>
          <w:sz w:val="28"/>
          <w:szCs w:val="28"/>
        </w:rPr>
      </w:pPr>
    </w:p>
    <w:p>
      <w:pPr>
        <w:pStyle w:val="2"/>
      </w:pPr>
      <w:r>
        <w:rPr>
          <w:rFonts w:hint="eastAsia" w:cs="Arial"/>
          <w:b/>
          <w:sz w:val="24"/>
        </w:rPr>
        <w:t>乙方：</w:t>
      </w:r>
    </w:p>
    <w:p>
      <w:pPr>
        <w:ind w:right="-147" w:rightChars="-67"/>
        <w:rPr>
          <w:szCs w:val="21"/>
          <w:lang w:eastAsia="zh-CN"/>
        </w:rPr>
      </w:pPr>
    </w:p>
    <w:p>
      <w:pPr>
        <w:ind w:right="-147" w:rightChars="-67"/>
        <w:rPr>
          <w:szCs w:val="21"/>
          <w:lang w:eastAsia="zh-CN"/>
        </w:rPr>
      </w:pPr>
      <w:r>
        <w:rPr>
          <w:rFonts w:hint="eastAsia"/>
          <w:szCs w:val="21"/>
          <w:lang w:eastAsia="zh-CN"/>
        </w:rPr>
        <w:t>地</w:t>
      </w:r>
      <w:r>
        <w:rPr>
          <w:szCs w:val="21"/>
          <w:lang w:eastAsia="zh-CN"/>
        </w:rPr>
        <w:t xml:space="preserve">  </w:t>
      </w:r>
      <w:r>
        <w:rPr>
          <w:rFonts w:hint="eastAsia"/>
          <w:szCs w:val="21"/>
          <w:lang w:eastAsia="zh-CN"/>
        </w:rPr>
        <w:t>址：</w:t>
      </w:r>
      <w:r>
        <w:rPr>
          <w:szCs w:val="21"/>
          <w:lang w:eastAsia="zh-CN"/>
        </w:rPr>
        <w:t xml:space="preserve"> </w:t>
      </w:r>
    </w:p>
    <w:p>
      <w:pPr>
        <w:ind w:left="1038" w:right="-147" w:rightChars="-67" w:hanging="1038" w:hangingChars="472"/>
        <w:rPr>
          <w:szCs w:val="21"/>
          <w:lang w:eastAsia="zh-CN"/>
        </w:rPr>
      </w:pPr>
      <w:r>
        <w:rPr>
          <w:rFonts w:hint="eastAsia"/>
          <w:szCs w:val="21"/>
          <w:lang w:eastAsia="zh-CN"/>
        </w:rPr>
        <w:t>开户行：</w:t>
      </w:r>
      <w:r>
        <w:rPr>
          <w:szCs w:val="21"/>
          <w:lang w:eastAsia="zh-CN"/>
        </w:rPr>
        <w:t xml:space="preserve"> </w:t>
      </w:r>
    </w:p>
    <w:p>
      <w:pPr>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 xml:space="preserve">号： </w:t>
      </w:r>
    </w:p>
    <w:p>
      <w:pPr>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 xml:space="preserve">号： </w:t>
      </w:r>
    </w:p>
    <w:p>
      <w:pPr>
        <w:pStyle w:val="2"/>
        <w:rPr>
          <w:sz w:val="22"/>
        </w:rPr>
      </w:pPr>
      <w:r>
        <w:rPr>
          <w:rFonts w:hint="eastAsia"/>
          <w:sz w:val="22"/>
        </w:rPr>
        <w:t>电</w:t>
      </w:r>
      <w:r>
        <w:rPr>
          <w:sz w:val="22"/>
        </w:rPr>
        <w:t xml:space="preserve">  </w:t>
      </w:r>
      <w:r>
        <w:rPr>
          <w:rFonts w:hint="eastAsia"/>
          <w:sz w:val="22"/>
        </w:rPr>
        <w:t xml:space="preserve">话： </w:t>
      </w:r>
    </w:p>
    <w:p>
      <w:pPr>
        <w:pStyle w:val="2"/>
        <w:rPr>
          <w:b/>
          <w:sz w:val="28"/>
          <w:szCs w:val="28"/>
        </w:rPr>
      </w:pPr>
    </w:p>
    <w:p>
      <w:pPr>
        <w:pStyle w:val="2"/>
        <w:rPr>
          <w:b/>
          <w:sz w:val="28"/>
          <w:szCs w:val="28"/>
        </w:rPr>
      </w:pPr>
      <w:r>
        <w:rPr>
          <w:rFonts w:hint="eastAsia"/>
          <w:b/>
          <w:sz w:val="28"/>
          <w:szCs w:val="28"/>
        </w:rPr>
        <w:t>附件1：</w:t>
      </w:r>
    </w:p>
    <w:p>
      <w:pPr>
        <w:jc w:val="center"/>
        <w:rPr>
          <w:b/>
          <w:sz w:val="36"/>
          <w:szCs w:val="36"/>
          <w:lang w:eastAsia="zh-CN"/>
        </w:rPr>
      </w:pPr>
      <w:r>
        <w:rPr>
          <w:rFonts w:hint="eastAsia"/>
          <w:b/>
          <w:sz w:val="36"/>
          <w:szCs w:val="36"/>
          <w:lang w:eastAsia="zh-CN"/>
        </w:rPr>
        <w:t>福建福海创石油化工有限公司</w:t>
      </w:r>
    </w:p>
    <w:p>
      <w:pPr>
        <w:jc w:val="center"/>
        <w:rPr>
          <w:b/>
          <w:sz w:val="36"/>
          <w:szCs w:val="36"/>
          <w:lang w:eastAsia="zh-CN"/>
        </w:rPr>
      </w:pPr>
      <w:r>
        <w:rPr>
          <w:rFonts w:hint="eastAsia"/>
          <w:b/>
          <w:sz w:val="36"/>
          <w:szCs w:val="36"/>
          <w:lang w:eastAsia="zh-CN"/>
        </w:rPr>
        <w:t>48塔监测/宏观检查（二期/三期）</w:t>
      </w: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sz w:val="72"/>
          <w:szCs w:val="72"/>
          <w:lang w:eastAsia="zh-CN"/>
        </w:rPr>
      </w:pPr>
      <w:r>
        <w:rPr>
          <w:rFonts w:hint="eastAsia"/>
          <w:sz w:val="72"/>
          <w:szCs w:val="72"/>
          <w:lang w:eastAsia="zh-CN"/>
        </w:rPr>
        <w:t>发包文件</w:t>
      </w: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rPr>
          <w:lang w:eastAsia="zh-CN"/>
        </w:rPr>
      </w:pPr>
    </w:p>
    <w:p>
      <w:pPr>
        <w:jc w:val="center"/>
        <w:rPr>
          <w:sz w:val="30"/>
          <w:szCs w:val="30"/>
          <w:lang w:eastAsia="zh-CN"/>
        </w:rPr>
      </w:pPr>
      <w:r>
        <w:rPr>
          <w:sz w:val="30"/>
          <w:szCs w:val="30"/>
          <w:lang w:eastAsia="zh-CN"/>
        </w:rPr>
        <w:t>2021年5月</w:t>
      </w:r>
    </w:p>
    <w:p>
      <w:pPr>
        <w:pStyle w:val="2"/>
      </w:pPr>
    </w:p>
    <w:p>
      <w:pPr>
        <w:pStyle w:val="2"/>
      </w:pPr>
    </w:p>
    <w:p>
      <w:pPr>
        <w:pStyle w:val="2"/>
      </w:pPr>
    </w:p>
    <w:p>
      <w:pPr>
        <w:rPr>
          <w:sz w:val="30"/>
          <w:szCs w:val="30"/>
          <w:lang w:eastAsia="zh-CN"/>
        </w:rPr>
      </w:pPr>
    </w:p>
    <w:p>
      <w:pPr>
        <w:rPr>
          <w:sz w:val="30"/>
          <w:szCs w:val="30"/>
          <w:lang w:eastAsia="zh-CN"/>
        </w:rPr>
      </w:pPr>
    </w:p>
    <w:p>
      <w:pPr>
        <w:spacing w:line="520" w:lineRule="atLeast"/>
        <w:outlineLvl w:val="0"/>
        <w:rPr>
          <w:b/>
          <w:bCs/>
          <w:sz w:val="28"/>
          <w:szCs w:val="28"/>
          <w:lang w:eastAsia="zh-CN"/>
        </w:rPr>
      </w:pPr>
      <w:r>
        <w:rPr>
          <w:rFonts w:hint="eastAsia"/>
          <w:b/>
          <w:bCs/>
          <w:sz w:val="28"/>
          <w:szCs w:val="28"/>
          <w:lang w:eastAsia="zh-CN"/>
        </w:rPr>
        <w:t>一、项目背景说明</w:t>
      </w:r>
    </w:p>
    <w:p>
      <w:pPr>
        <w:ind w:firstLine="472" w:firstLineChars="197"/>
        <w:outlineLvl w:val="0"/>
        <w:rPr>
          <w:bCs/>
          <w:sz w:val="24"/>
          <w:szCs w:val="24"/>
          <w:lang w:eastAsia="zh-CN"/>
        </w:rPr>
      </w:pPr>
      <w:r>
        <w:rPr>
          <w:rFonts w:hint="eastAsia"/>
          <w:bCs/>
          <w:sz w:val="24"/>
          <w:szCs w:val="24"/>
          <w:lang w:eastAsia="zh-CN"/>
        </w:rPr>
        <w:t>PX项目因客观原因，容器的设计输入风压采用厦门地区的标准800KN/m2。 2015年的“406”事故后，中石化指挥部组织对PX项目进行设计评估，输入的风压变更为1023KN/m2 。经两次设计单位的设计评估，有74台设备评估不合格，其中66台设备因不可能进行整改（例如壁厚不足，螺栓数量不足等）或者整改的代价巨大。为此，业主通过由定检单位进行应力分析加合于评价的方法进行闭合。应力分析结果为：11台塔器应力计算不合格，另外的55台塔器应力计算结果合格（其中18台塔器应力计算完全合格，31台塔器有条件应力计算合格，6台塔器有条件接近合格下限值）。定检单位对11台应力计算不合格塔器进行了合于使用评价，并出具合于使用评价报告。</w:t>
      </w:r>
    </w:p>
    <w:p>
      <w:pPr>
        <w:ind w:firstLine="472" w:firstLineChars="197"/>
        <w:outlineLvl w:val="0"/>
        <w:rPr>
          <w:bCs/>
          <w:sz w:val="24"/>
          <w:szCs w:val="24"/>
          <w:lang w:eastAsia="zh-CN"/>
        </w:rPr>
      </w:pPr>
      <w:r>
        <w:rPr>
          <w:rFonts w:hint="eastAsia"/>
          <w:bCs/>
          <w:sz w:val="24"/>
          <w:szCs w:val="24"/>
          <w:lang w:eastAsia="zh-CN"/>
        </w:rPr>
        <w:t>为保证这48台塔器的安全运行，我司委托了定检单位对17台塔器（11台合于使用评价，6台有条件接近合格下限值）安装塔体结构安全监测系统并进行宏观检查；另外对31台有条件应力计算合格的塔器定期进行宏观检查。应于2019年9月至2020年11月之间，已进行第一期监测/宏观检查。</w:t>
      </w:r>
    </w:p>
    <w:p>
      <w:pPr>
        <w:ind w:firstLine="472" w:firstLineChars="197"/>
        <w:outlineLvl w:val="0"/>
        <w:rPr>
          <w:bCs/>
          <w:sz w:val="24"/>
          <w:szCs w:val="24"/>
          <w:lang w:eastAsia="zh-CN"/>
        </w:rPr>
      </w:pPr>
      <w:r>
        <w:rPr>
          <w:rFonts w:hint="eastAsia"/>
          <w:bCs/>
          <w:sz w:val="24"/>
          <w:szCs w:val="24"/>
          <w:lang w:eastAsia="zh-CN"/>
        </w:rPr>
        <w:t>定检单位根据第一期周期的监测及宏观检查，建议：</w:t>
      </w:r>
    </w:p>
    <w:p>
      <w:pPr>
        <w:ind w:firstLine="472" w:firstLineChars="197"/>
        <w:outlineLvl w:val="0"/>
        <w:rPr>
          <w:bCs/>
          <w:sz w:val="24"/>
          <w:szCs w:val="24"/>
          <w:lang w:eastAsia="zh-CN"/>
        </w:rPr>
      </w:pPr>
      <w:r>
        <w:rPr>
          <w:rFonts w:hint="eastAsia"/>
          <w:bCs/>
          <w:sz w:val="24"/>
          <w:szCs w:val="24"/>
          <w:lang w:eastAsia="zh-CN"/>
        </w:rPr>
        <w:t>1、塔的安全监测：</w:t>
      </w:r>
    </w:p>
    <w:p>
      <w:pPr>
        <w:pStyle w:val="13"/>
        <w:pBdr>
          <w:bottom w:val="none" w:color="auto" w:sz="0" w:space="0"/>
        </w:pBdr>
        <w:ind w:firstLine="600" w:firstLineChars="250"/>
        <w:jc w:val="left"/>
        <w:outlineLvl w:val="0"/>
        <w:rPr>
          <w:bCs/>
          <w:sz w:val="24"/>
          <w:szCs w:val="24"/>
          <w:lang w:eastAsia="zh-CN"/>
        </w:rPr>
      </w:pPr>
      <w:r>
        <w:rPr>
          <w:rFonts w:hint="eastAsia"/>
          <w:bCs/>
          <w:sz w:val="24"/>
          <w:szCs w:val="24"/>
          <w:lang w:eastAsia="zh-CN"/>
        </w:rPr>
        <w:t xml:space="preserve">a)对每台塔结构监测系统增加一套风压测定仪，用于监测塔顶结构的风压，通过《塔式容器规范》（NB/T47041-2014）标准规定方法计算塔器结构的挠度；  </w:t>
      </w:r>
    </w:p>
    <w:p>
      <w:pPr>
        <w:pStyle w:val="13"/>
        <w:pBdr>
          <w:bottom w:val="none" w:color="auto" w:sz="0" w:space="0"/>
        </w:pBdr>
        <w:ind w:firstLine="600" w:firstLineChars="250"/>
        <w:jc w:val="left"/>
        <w:outlineLvl w:val="0"/>
        <w:rPr>
          <w:bCs/>
          <w:sz w:val="24"/>
          <w:szCs w:val="24"/>
          <w:lang w:eastAsia="zh-CN"/>
        </w:rPr>
      </w:pPr>
      <w:r>
        <w:rPr>
          <w:rFonts w:hint="eastAsia"/>
          <w:bCs/>
          <w:sz w:val="24"/>
          <w:szCs w:val="24"/>
          <w:lang w:eastAsia="zh-CN"/>
        </w:rPr>
        <w:t>b) 在13-C-301、13-C-321、42-C-101、44-C-101、45-C-102监测系统上各补充2台微芯传感装置，在41-C-101、43-C-101监测系统上各补充4台微芯传感装置，用于监测塔体结构的倾角与振动特征监测</w:t>
      </w:r>
    </w:p>
    <w:p>
      <w:pPr>
        <w:ind w:firstLine="600" w:firstLineChars="250"/>
        <w:outlineLvl w:val="0"/>
        <w:rPr>
          <w:bCs/>
          <w:sz w:val="24"/>
          <w:szCs w:val="24"/>
          <w:lang w:eastAsia="zh-CN"/>
        </w:rPr>
      </w:pPr>
      <w:r>
        <w:rPr>
          <w:rFonts w:hint="eastAsia"/>
          <w:bCs/>
          <w:sz w:val="24"/>
          <w:szCs w:val="24"/>
          <w:lang w:eastAsia="zh-CN"/>
        </w:rPr>
        <w:t>2、塔的宏观检查</w:t>
      </w:r>
    </w:p>
    <w:p>
      <w:pPr>
        <w:pStyle w:val="13"/>
        <w:pBdr>
          <w:bottom w:val="none" w:color="auto" w:sz="0" w:space="0"/>
        </w:pBdr>
        <w:ind w:firstLine="600" w:firstLineChars="250"/>
        <w:jc w:val="left"/>
        <w:outlineLvl w:val="0"/>
        <w:rPr>
          <w:bCs/>
          <w:sz w:val="24"/>
          <w:szCs w:val="24"/>
          <w:lang w:eastAsia="zh-CN"/>
        </w:rPr>
      </w:pPr>
      <w:r>
        <w:rPr>
          <w:rFonts w:hint="eastAsia"/>
          <w:bCs/>
          <w:sz w:val="24"/>
          <w:szCs w:val="24"/>
          <w:lang w:eastAsia="zh-CN"/>
        </w:rPr>
        <w:t xml:space="preserve">a) 由专业检验机构每30天对塔体基础、地脚螺栓防腐水泥层、附塔管线连接部位、平台、扶梯进行宏观检查；必要时应及时停机进行全面检查、分析或维修，确认安全后方可继续使用； </w:t>
      </w:r>
    </w:p>
    <w:p>
      <w:pPr>
        <w:pStyle w:val="13"/>
        <w:pBdr>
          <w:bottom w:val="none" w:color="auto" w:sz="0" w:space="0"/>
        </w:pBdr>
        <w:ind w:firstLine="600" w:firstLineChars="250"/>
        <w:jc w:val="left"/>
        <w:outlineLvl w:val="0"/>
        <w:rPr>
          <w:bCs/>
          <w:sz w:val="24"/>
          <w:szCs w:val="24"/>
          <w:lang w:eastAsia="zh-CN"/>
        </w:rPr>
      </w:pPr>
      <w:r>
        <w:rPr>
          <w:rFonts w:hint="eastAsia"/>
          <w:bCs/>
          <w:sz w:val="24"/>
          <w:szCs w:val="24"/>
          <w:lang w:eastAsia="zh-CN"/>
        </w:rPr>
        <w:t>b)当发生台风或风速过大时，加强对设备运行状况的监测，台风过后对塔体基础、防腐水泥、附塔管线连接部位、平台、扶梯进行宏观检查，并做好相关记录；</w:t>
      </w:r>
    </w:p>
    <w:p>
      <w:pPr>
        <w:pStyle w:val="13"/>
        <w:pBdr>
          <w:bottom w:val="none" w:color="auto" w:sz="0" w:space="0"/>
        </w:pBdr>
        <w:ind w:firstLine="600" w:firstLineChars="250"/>
        <w:jc w:val="left"/>
        <w:outlineLvl w:val="0"/>
        <w:rPr>
          <w:bCs/>
          <w:sz w:val="24"/>
          <w:szCs w:val="24"/>
          <w:lang w:eastAsia="zh-CN"/>
        </w:rPr>
      </w:pPr>
      <w:r>
        <w:rPr>
          <w:rFonts w:hint="eastAsia"/>
          <w:bCs/>
          <w:sz w:val="24"/>
          <w:szCs w:val="24"/>
          <w:lang w:eastAsia="zh-CN"/>
        </w:rPr>
        <w:t>c ) 继续对塔体进行振动、倾斜在线监测，当监测发现异常现象时，应及时对异常数据进行分析研判，必要时停机进行全面检查、分析或维修, 确认安全后方可继续使用.</w:t>
      </w:r>
    </w:p>
    <w:p>
      <w:pPr>
        <w:pStyle w:val="13"/>
        <w:pBdr>
          <w:bottom w:val="none" w:color="auto" w:sz="0" w:space="0"/>
        </w:pBdr>
        <w:ind w:firstLine="600" w:firstLineChars="250"/>
        <w:jc w:val="left"/>
        <w:outlineLvl w:val="0"/>
        <w:rPr>
          <w:bCs/>
          <w:sz w:val="24"/>
          <w:szCs w:val="24"/>
          <w:lang w:eastAsia="zh-CN"/>
        </w:rPr>
      </w:pPr>
      <w:r>
        <w:rPr>
          <w:rFonts w:hint="eastAsia"/>
          <w:bCs/>
          <w:sz w:val="24"/>
          <w:szCs w:val="24"/>
          <w:lang w:eastAsia="zh-CN"/>
        </w:rPr>
        <w:t>设备管理部根据上海蓝亚的报告，研究决定继续按报告的要求进行监测。</w:t>
      </w:r>
    </w:p>
    <w:p>
      <w:pPr>
        <w:spacing w:line="312" w:lineRule="auto"/>
        <w:outlineLvl w:val="0"/>
        <w:rPr>
          <w:bCs/>
          <w:sz w:val="24"/>
        </w:rPr>
      </w:pPr>
      <w:r>
        <w:rPr>
          <w:rFonts w:hint="eastAsia"/>
          <w:b/>
          <w:bCs/>
          <w:sz w:val="28"/>
          <w:szCs w:val="28"/>
        </w:rPr>
        <w:t>二、工程概况</w:t>
      </w:r>
    </w:p>
    <w:p>
      <w:pPr>
        <w:pStyle w:val="25"/>
        <w:numPr>
          <w:ilvl w:val="1"/>
          <w:numId w:val="2"/>
        </w:numPr>
        <w:autoSpaceDE/>
        <w:autoSpaceDN/>
        <w:spacing w:before="0"/>
        <w:ind w:left="-6" w:leftChars="-30" w:hanging="60" w:hangingChars="25"/>
        <w:rPr>
          <w:bCs/>
          <w:sz w:val="24"/>
          <w:lang w:eastAsia="zh-CN"/>
        </w:rPr>
      </w:pPr>
      <w:r>
        <w:rPr>
          <w:rFonts w:hint="eastAsia"/>
          <w:bCs/>
          <w:sz w:val="24"/>
          <w:lang w:eastAsia="zh-CN"/>
        </w:rPr>
        <w:t>项目名称：48台塔监测/宏观检查（二期/三期）。</w:t>
      </w:r>
    </w:p>
    <w:p>
      <w:pPr>
        <w:pStyle w:val="25"/>
        <w:numPr>
          <w:ilvl w:val="1"/>
          <w:numId w:val="2"/>
        </w:numPr>
        <w:autoSpaceDE/>
        <w:autoSpaceDN/>
        <w:spacing w:before="0"/>
        <w:ind w:left="-6" w:leftChars="-30" w:hanging="60" w:hangingChars="25"/>
        <w:rPr>
          <w:bCs/>
          <w:sz w:val="24"/>
          <w:lang w:eastAsia="zh-CN"/>
        </w:rPr>
      </w:pPr>
      <w:r>
        <w:rPr>
          <w:rFonts w:hint="eastAsia"/>
          <w:bCs/>
          <w:sz w:val="24"/>
          <w:lang w:eastAsia="zh-CN"/>
        </w:rPr>
        <w:t>工程地点：福建省漳州市漳浦县古雷半岛</w:t>
      </w:r>
    </w:p>
    <w:p>
      <w:pPr>
        <w:pStyle w:val="25"/>
        <w:numPr>
          <w:ilvl w:val="1"/>
          <w:numId w:val="2"/>
        </w:numPr>
        <w:autoSpaceDE/>
        <w:autoSpaceDN/>
        <w:spacing w:before="0"/>
        <w:ind w:left="-6" w:leftChars="-30" w:hanging="60" w:hangingChars="25"/>
        <w:rPr>
          <w:bCs/>
          <w:sz w:val="24"/>
          <w:lang w:eastAsia="zh-CN"/>
        </w:rPr>
      </w:pPr>
      <w:r>
        <w:rPr>
          <w:rFonts w:hint="eastAsia"/>
          <w:bCs/>
          <w:sz w:val="24"/>
          <w:lang w:eastAsia="zh-CN"/>
        </w:rPr>
        <w:t>工期：自合同签订日起算，进行2年的监测、宏观检查</w:t>
      </w:r>
    </w:p>
    <w:p>
      <w:pPr>
        <w:pStyle w:val="25"/>
        <w:numPr>
          <w:ilvl w:val="1"/>
          <w:numId w:val="2"/>
        </w:numPr>
        <w:autoSpaceDE/>
        <w:autoSpaceDN/>
        <w:spacing w:before="0"/>
        <w:ind w:left="-6" w:leftChars="-30" w:hanging="60" w:hangingChars="25"/>
        <w:rPr>
          <w:bCs/>
          <w:sz w:val="24"/>
          <w:lang w:eastAsia="zh-CN"/>
        </w:rPr>
      </w:pPr>
      <w:r>
        <w:rPr>
          <w:rFonts w:hint="eastAsia"/>
          <w:bCs/>
          <w:sz w:val="24"/>
          <w:lang w:eastAsia="zh-CN"/>
        </w:rPr>
        <w:t>资质要求：具备综合检验机构（甲类）且有合于使用评价业绩、应力分析能力。</w:t>
      </w:r>
    </w:p>
    <w:p>
      <w:pPr>
        <w:pStyle w:val="25"/>
        <w:numPr>
          <w:ilvl w:val="1"/>
          <w:numId w:val="2"/>
        </w:numPr>
        <w:autoSpaceDE/>
        <w:autoSpaceDN/>
        <w:spacing w:before="0"/>
        <w:ind w:left="-6" w:leftChars="-30" w:hanging="60" w:hangingChars="25"/>
        <w:rPr>
          <w:bCs/>
          <w:sz w:val="24"/>
          <w:lang w:eastAsia="zh-CN"/>
        </w:rPr>
      </w:pPr>
      <w:r>
        <w:rPr>
          <w:rFonts w:hint="eastAsia"/>
          <w:bCs/>
          <w:sz w:val="24"/>
          <w:lang w:eastAsia="zh-CN"/>
        </w:rPr>
        <w:t>发包人（即业主）：福建福海创石油化工有限公司（发包方有权将其责任和义务转让给其子公司腾龙芳烃（漳州）有限公司、翔鹭石化（漳州）有限公司</w:t>
      </w:r>
    </w:p>
    <w:p>
      <w:pPr>
        <w:spacing w:line="312" w:lineRule="auto"/>
        <w:outlineLvl w:val="0"/>
        <w:rPr>
          <w:b/>
          <w:bCs/>
          <w:sz w:val="28"/>
          <w:szCs w:val="28"/>
          <w:lang w:eastAsia="zh-CN"/>
        </w:rPr>
      </w:pPr>
      <w:r>
        <w:rPr>
          <w:rFonts w:hint="eastAsia"/>
          <w:b/>
          <w:bCs/>
          <w:sz w:val="28"/>
          <w:szCs w:val="28"/>
          <w:lang w:eastAsia="zh-CN"/>
        </w:rPr>
        <w:t>三、工程执行文件及标准</w:t>
      </w:r>
    </w:p>
    <w:p>
      <w:pPr>
        <w:numPr>
          <w:ilvl w:val="0"/>
          <w:numId w:val="3"/>
        </w:numPr>
        <w:autoSpaceDE/>
        <w:autoSpaceDN/>
        <w:adjustRightInd w:val="0"/>
        <w:snapToGrid w:val="0"/>
        <w:ind w:left="851" w:hanging="425"/>
        <w:jc w:val="both"/>
        <w:rPr>
          <w:bCs/>
          <w:sz w:val="24"/>
          <w:lang w:eastAsia="zh-CN"/>
        </w:rPr>
      </w:pPr>
      <w:r>
        <w:rPr>
          <w:rFonts w:hint="eastAsia"/>
          <w:bCs/>
          <w:sz w:val="24"/>
          <w:lang w:eastAsia="zh-CN"/>
        </w:rPr>
        <w:t>TSG 21-2016 《固定式压力容器安全技术监察规程》</w:t>
      </w:r>
    </w:p>
    <w:p>
      <w:pPr>
        <w:numPr>
          <w:ilvl w:val="0"/>
          <w:numId w:val="3"/>
        </w:numPr>
        <w:autoSpaceDE/>
        <w:autoSpaceDN/>
        <w:adjustRightInd w:val="0"/>
        <w:snapToGrid w:val="0"/>
        <w:ind w:left="851" w:hanging="425"/>
        <w:jc w:val="both"/>
        <w:rPr>
          <w:bCs/>
          <w:sz w:val="24"/>
          <w:lang w:eastAsia="zh-CN"/>
        </w:rPr>
      </w:pPr>
      <w:r>
        <w:rPr>
          <w:rFonts w:hint="eastAsia"/>
          <w:bCs/>
          <w:sz w:val="24"/>
          <w:lang w:eastAsia="zh-CN"/>
        </w:rPr>
        <w:t>1《工程测量规范》GB50026-2007；</w:t>
      </w:r>
    </w:p>
    <w:p>
      <w:pPr>
        <w:numPr>
          <w:ilvl w:val="0"/>
          <w:numId w:val="3"/>
        </w:numPr>
        <w:autoSpaceDE/>
        <w:autoSpaceDN/>
        <w:adjustRightInd w:val="0"/>
        <w:snapToGrid w:val="0"/>
        <w:ind w:left="851" w:hanging="425"/>
        <w:jc w:val="both"/>
        <w:rPr>
          <w:bCs/>
          <w:sz w:val="24"/>
          <w:lang w:eastAsia="zh-CN"/>
        </w:rPr>
      </w:pPr>
      <w:r>
        <w:rPr>
          <w:rFonts w:hint="eastAsia"/>
          <w:bCs/>
          <w:sz w:val="24"/>
          <w:lang w:eastAsia="zh-CN"/>
        </w:rPr>
        <w:t>《建筑变形测量规范》JGJ8-2016；</w:t>
      </w:r>
    </w:p>
    <w:p>
      <w:pPr>
        <w:numPr>
          <w:ilvl w:val="0"/>
          <w:numId w:val="3"/>
        </w:numPr>
        <w:autoSpaceDE/>
        <w:autoSpaceDN/>
        <w:adjustRightInd w:val="0"/>
        <w:snapToGrid w:val="0"/>
        <w:ind w:left="851" w:hanging="425"/>
        <w:jc w:val="both"/>
        <w:rPr>
          <w:bCs/>
          <w:sz w:val="24"/>
          <w:lang w:eastAsia="zh-CN"/>
        </w:rPr>
      </w:pPr>
      <w:r>
        <w:rPr>
          <w:rFonts w:hint="eastAsia"/>
          <w:bCs/>
          <w:sz w:val="24"/>
          <w:lang w:eastAsia="zh-CN"/>
        </w:rPr>
        <w:t>《中华人民共和国行业标准塔式容器规范》NB/T47041—2014；</w:t>
      </w:r>
    </w:p>
    <w:p>
      <w:pPr>
        <w:numPr>
          <w:ilvl w:val="0"/>
          <w:numId w:val="3"/>
        </w:numPr>
        <w:autoSpaceDE/>
        <w:autoSpaceDN/>
        <w:adjustRightInd w:val="0"/>
        <w:snapToGrid w:val="0"/>
        <w:ind w:left="851" w:hanging="425"/>
        <w:jc w:val="both"/>
        <w:rPr>
          <w:bCs/>
          <w:sz w:val="24"/>
          <w:lang w:eastAsia="zh-CN"/>
        </w:rPr>
      </w:pPr>
      <w:r>
        <w:rPr>
          <w:rFonts w:hint="eastAsia"/>
          <w:bCs/>
          <w:sz w:val="24"/>
          <w:lang w:eastAsia="zh-CN"/>
        </w:rPr>
        <w:t>《建筑结构荷载规范》GB50009—2012；</w:t>
      </w:r>
    </w:p>
    <w:p>
      <w:pPr>
        <w:numPr>
          <w:ilvl w:val="0"/>
          <w:numId w:val="3"/>
        </w:numPr>
        <w:autoSpaceDE/>
        <w:autoSpaceDN/>
        <w:adjustRightInd w:val="0"/>
        <w:snapToGrid w:val="0"/>
        <w:ind w:left="851" w:hanging="425"/>
        <w:jc w:val="both"/>
        <w:rPr>
          <w:bCs/>
          <w:sz w:val="24"/>
          <w:lang w:eastAsia="zh-CN"/>
        </w:rPr>
      </w:pPr>
      <w:r>
        <w:rPr>
          <w:rFonts w:hint="eastAsia"/>
          <w:bCs/>
          <w:sz w:val="24"/>
          <w:lang w:eastAsia="zh-CN"/>
        </w:rPr>
        <w:t>《固定式压力容器安全技术监察规程》TSG 21-2016；</w:t>
      </w:r>
    </w:p>
    <w:p>
      <w:pPr>
        <w:numPr>
          <w:ilvl w:val="0"/>
          <w:numId w:val="3"/>
        </w:numPr>
        <w:autoSpaceDE/>
        <w:autoSpaceDN/>
        <w:adjustRightInd w:val="0"/>
        <w:snapToGrid w:val="0"/>
        <w:ind w:left="851" w:hanging="425"/>
        <w:jc w:val="both"/>
        <w:rPr>
          <w:bCs/>
          <w:sz w:val="24"/>
          <w:lang w:eastAsia="zh-CN"/>
        </w:rPr>
      </w:pPr>
      <w:r>
        <w:rPr>
          <w:rFonts w:hint="eastAsia"/>
          <w:bCs/>
          <w:sz w:val="24"/>
          <w:lang w:eastAsia="zh-CN"/>
        </w:rPr>
        <w:t>《特种设备使用管理规则》TSG 08-2017；</w:t>
      </w:r>
    </w:p>
    <w:p>
      <w:pPr>
        <w:numPr>
          <w:ilvl w:val="0"/>
          <w:numId w:val="3"/>
        </w:numPr>
        <w:autoSpaceDE/>
        <w:autoSpaceDN/>
        <w:adjustRightInd w:val="0"/>
        <w:snapToGrid w:val="0"/>
        <w:ind w:left="851" w:hanging="425"/>
        <w:jc w:val="both"/>
        <w:rPr>
          <w:bCs/>
          <w:sz w:val="24"/>
          <w:lang w:eastAsia="zh-CN"/>
        </w:rPr>
      </w:pPr>
      <w:r>
        <w:rPr>
          <w:rFonts w:hint="eastAsia"/>
          <w:bCs/>
          <w:sz w:val="24"/>
          <w:lang w:eastAsia="zh-CN"/>
        </w:rPr>
        <w:t>《外壳防护等级（IP代码）》GB 4208-2008；</w:t>
      </w:r>
    </w:p>
    <w:p>
      <w:pPr>
        <w:numPr>
          <w:ilvl w:val="0"/>
          <w:numId w:val="3"/>
        </w:numPr>
        <w:autoSpaceDE/>
        <w:autoSpaceDN/>
        <w:adjustRightInd w:val="0"/>
        <w:snapToGrid w:val="0"/>
        <w:ind w:left="851" w:hanging="425"/>
        <w:jc w:val="both"/>
        <w:rPr>
          <w:bCs/>
          <w:sz w:val="24"/>
          <w:lang w:eastAsia="zh-CN"/>
        </w:rPr>
      </w:pPr>
      <w:r>
        <w:rPr>
          <w:rFonts w:hint="eastAsia"/>
          <w:bCs/>
          <w:sz w:val="24"/>
          <w:lang w:eastAsia="zh-CN"/>
        </w:rPr>
        <w:t>《电工电子产品环境试验》第2部分：试验方法试验A：低温GB/T 2423.1-2008；</w:t>
      </w:r>
    </w:p>
    <w:p>
      <w:pPr>
        <w:numPr>
          <w:ilvl w:val="0"/>
          <w:numId w:val="3"/>
        </w:numPr>
        <w:autoSpaceDE/>
        <w:autoSpaceDN/>
        <w:adjustRightInd w:val="0"/>
        <w:snapToGrid w:val="0"/>
        <w:ind w:left="851" w:hanging="425"/>
        <w:jc w:val="both"/>
        <w:rPr>
          <w:bCs/>
          <w:sz w:val="24"/>
          <w:lang w:eastAsia="zh-CN"/>
        </w:rPr>
      </w:pPr>
      <w:r>
        <w:rPr>
          <w:rFonts w:hint="eastAsia"/>
          <w:bCs/>
          <w:sz w:val="24"/>
          <w:lang w:eastAsia="zh-CN"/>
        </w:rPr>
        <w:t>《电工电子产品环境试验》第2部分：试验方法试验B：高温GB/T 2423.2-2008；</w:t>
      </w:r>
    </w:p>
    <w:p>
      <w:pPr>
        <w:numPr>
          <w:ilvl w:val="0"/>
          <w:numId w:val="3"/>
        </w:numPr>
        <w:autoSpaceDE/>
        <w:autoSpaceDN/>
        <w:adjustRightInd w:val="0"/>
        <w:snapToGrid w:val="0"/>
        <w:ind w:left="851" w:hanging="425"/>
        <w:jc w:val="both"/>
        <w:rPr>
          <w:bCs/>
          <w:sz w:val="24"/>
          <w:lang w:eastAsia="zh-CN"/>
        </w:rPr>
      </w:pPr>
      <w:r>
        <w:rPr>
          <w:rFonts w:hint="eastAsia"/>
          <w:bCs/>
          <w:sz w:val="24"/>
          <w:lang w:eastAsia="zh-CN"/>
        </w:rPr>
        <w:t>《电工电子产品基本环境试验规程》试验Db：交变湿热（12h+12h循环）GB/T 2423.4-2008；</w:t>
      </w:r>
    </w:p>
    <w:p>
      <w:pPr>
        <w:numPr>
          <w:ilvl w:val="0"/>
          <w:numId w:val="3"/>
        </w:numPr>
        <w:autoSpaceDE/>
        <w:autoSpaceDN/>
        <w:adjustRightInd w:val="0"/>
        <w:snapToGrid w:val="0"/>
        <w:ind w:left="851" w:hanging="425"/>
        <w:jc w:val="both"/>
        <w:rPr>
          <w:bCs/>
          <w:sz w:val="24"/>
          <w:lang w:eastAsia="zh-CN"/>
        </w:rPr>
      </w:pPr>
      <w:r>
        <w:rPr>
          <w:rFonts w:hint="eastAsia"/>
          <w:bCs/>
          <w:sz w:val="24"/>
          <w:lang w:eastAsia="zh-CN"/>
        </w:rPr>
        <w:t>《通信设备产品包装通用技术条件》GB/T 3873-1983；</w:t>
      </w:r>
    </w:p>
    <w:p>
      <w:pPr>
        <w:numPr>
          <w:ilvl w:val="0"/>
          <w:numId w:val="3"/>
        </w:numPr>
        <w:autoSpaceDE/>
        <w:autoSpaceDN/>
        <w:adjustRightInd w:val="0"/>
        <w:snapToGrid w:val="0"/>
        <w:ind w:left="851" w:hanging="425"/>
        <w:jc w:val="both"/>
        <w:rPr>
          <w:bCs/>
          <w:sz w:val="24"/>
          <w:lang w:eastAsia="zh-CN"/>
        </w:rPr>
      </w:pPr>
      <w:r>
        <w:rPr>
          <w:rFonts w:hint="eastAsia"/>
          <w:bCs/>
          <w:sz w:val="24"/>
          <w:lang w:eastAsia="zh-CN"/>
        </w:rPr>
        <w:t>《气象仪器防盐雾、防潮湿、防霉菌工艺技术要求》JB/T 5750-2014；</w:t>
      </w:r>
    </w:p>
    <w:p>
      <w:pPr>
        <w:numPr>
          <w:ilvl w:val="0"/>
          <w:numId w:val="3"/>
        </w:numPr>
        <w:autoSpaceDE/>
        <w:autoSpaceDN/>
        <w:adjustRightInd w:val="0"/>
        <w:snapToGrid w:val="0"/>
        <w:ind w:left="851" w:hanging="425"/>
        <w:jc w:val="both"/>
        <w:rPr>
          <w:bCs/>
          <w:sz w:val="24"/>
          <w:lang w:eastAsia="zh-CN"/>
        </w:rPr>
      </w:pPr>
      <w:r>
        <w:rPr>
          <w:rFonts w:hint="eastAsia"/>
          <w:bCs/>
          <w:sz w:val="24"/>
          <w:lang w:eastAsia="zh-CN"/>
        </w:rPr>
        <w:t>《900/1800MHz TDMA数字蜂窝移动通信网通用分组无线业务（GPRS）设备技术规范》：移动台YD/T 1214-2002；</w:t>
      </w:r>
    </w:p>
    <w:p>
      <w:pPr>
        <w:numPr>
          <w:ilvl w:val="0"/>
          <w:numId w:val="3"/>
        </w:numPr>
        <w:autoSpaceDE/>
        <w:autoSpaceDN/>
        <w:adjustRightInd w:val="0"/>
        <w:snapToGrid w:val="0"/>
        <w:ind w:left="851" w:hanging="425"/>
        <w:jc w:val="both"/>
        <w:rPr>
          <w:bCs/>
          <w:sz w:val="24"/>
          <w:lang w:eastAsia="zh-CN"/>
        </w:rPr>
      </w:pPr>
      <w:r>
        <w:rPr>
          <w:rFonts w:hint="eastAsia"/>
          <w:bCs/>
          <w:sz w:val="24"/>
          <w:lang w:eastAsia="zh-CN"/>
        </w:rPr>
        <w:t>国家相关法律法、规标准规范。</w:t>
      </w:r>
    </w:p>
    <w:p>
      <w:pPr>
        <w:numPr>
          <w:ilvl w:val="0"/>
          <w:numId w:val="3"/>
        </w:numPr>
        <w:autoSpaceDE/>
        <w:autoSpaceDN/>
        <w:adjustRightInd w:val="0"/>
        <w:snapToGrid w:val="0"/>
        <w:ind w:left="851" w:hanging="425"/>
        <w:jc w:val="both"/>
        <w:rPr>
          <w:bCs/>
          <w:sz w:val="24"/>
          <w:lang w:eastAsia="zh-CN"/>
        </w:rPr>
      </w:pPr>
      <w:r>
        <w:rPr>
          <w:rFonts w:hint="eastAsia"/>
          <w:bCs/>
          <w:sz w:val="24"/>
          <w:lang w:eastAsia="zh-CN"/>
        </w:rPr>
        <w:t>业主已发布的各项规章制定。</w:t>
      </w:r>
    </w:p>
    <w:p>
      <w:pPr>
        <w:numPr>
          <w:ilvl w:val="0"/>
          <w:numId w:val="3"/>
        </w:numPr>
        <w:autoSpaceDE/>
        <w:autoSpaceDN/>
        <w:adjustRightInd w:val="0"/>
        <w:snapToGrid w:val="0"/>
        <w:ind w:left="851" w:hanging="425"/>
        <w:jc w:val="both"/>
        <w:rPr>
          <w:bCs/>
          <w:sz w:val="24"/>
        </w:rPr>
      </w:pPr>
      <w:r>
        <w:rPr>
          <w:rFonts w:hint="eastAsia"/>
          <w:bCs/>
          <w:sz w:val="24"/>
        </w:rPr>
        <w:t>发包文件</w:t>
      </w:r>
    </w:p>
    <w:p>
      <w:pPr>
        <w:adjustRightInd w:val="0"/>
        <w:snapToGrid w:val="0"/>
        <w:ind w:left="426"/>
        <w:rPr>
          <w:bCs/>
          <w:sz w:val="24"/>
          <w:lang w:eastAsia="zh-CN"/>
        </w:rPr>
      </w:pPr>
      <w:r>
        <w:rPr>
          <w:rFonts w:hint="eastAsia"/>
          <w:bCs/>
          <w:sz w:val="24"/>
          <w:lang w:eastAsia="zh-CN"/>
        </w:rPr>
        <w:t>注：标准有冲突或者异议，由业主选择。</w:t>
      </w:r>
    </w:p>
    <w:p>
      <w:pPr>
        <w:spacing w:line="312" w:lineRule="auto"/>
        <w:rPr>
          <w:b/>
          <w:bCs/>
          <w:sz w:val="28"/>
          <w:szCs w:val="28"/>
          <w:lang w:eastAsia="zh-CN"/>
        </w:rPr>
      </w:pPr>
      <w:r>
        <w:rPr>
          <w:rFonts w:hint="eastAsia"/>
          <w:b/>
          <w:bCs/>
          <w:sz w:val="28"/>
          <w:szCs w:val="28"/>
          <w:lang w:eastAsia="zh-CN"/>
        </w:rPr>
        <w:t>四、承包方工作范围及工作内容</w:t>
      </w:r>
    </w:p>
    <w:p>
      <w:pPr>
        <w:pStyle w:val="13"/>
        <w:pBdr>
          <w:bottom w:val="none" w:color="auto" w:sz="0" w:space="0"/>
        </w:pBdr>
        <w:jc w:val="left"/>
        <w:outlineLvl w:val="0"/>
        <w:rPr>
          <w:bCs/>
          <w:sz w:val="24"/>
          <w:szCs w:val="24"/>
          <w:lang w:eastAsia="zh-CN"/>
        </w:rPr>
      </w:pPr>
      <w:r>
        <w:rPr>
          <w:rFonts w:hint="eastAsia"/>
          <w:bCs/>
          <w:sz w:val="24"/>
          <w:szCs w:val="24"/>
          <w:lang w:eastAsia="zh-CN"/>
        </w:rPr>
        <w:t>1 需要安装塔体安装塔体结构安全监测系统并进行宏观检查的塔器</w:t>
      </w:r>
    </w:p>
    <w:p>
      <w:pPr>
        <w:pStyle w:val="13"/>
        <w:pBdr>
          <w:bottom w:val="none" w:color="auto" w:sz="0" w:space="0"/>
        </w:pBdr>
        <w:jc w:val="left"/>
        <w:outlineLvl w:val="0"/>
        <w:rPr>
          <w:bCs/>
          <w:sz w:val="24"/>
          <w:szCs w:val="24"/>
          <w:lang w:eastAsia="zh-CN"/>
        </w:rPr>
      </w:pPr>
      <w:r>
        <w:rPr>
          <w:rFonts w:hint="eastAsia"/>
          <w:bCs/>
          <w:sz w:val="24"/>
          <w:szCs w:val="24"/>
          <w:lang w:eastAsia="zh-CN"/>
        </w:rPr>
        <w:t>1.1 应力分析结果不合格塔器11台（详见下表）</w:t>
      </w:r>
    </w:p>
    <w:tbl>
      <w:tblPr>
        <w:tblStyle w:val="18"/>
        <w:tblpPr w:leftFromText="180" w:rightFromText="180" w:vertAnchor="text" w:horzAnchor="page" w:tblpX="1837" w:tblpY="105"/>
        <w:tblOverlap w:val="never"/>
        <w:tblW w:w="87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02"/>
        <w:gridCol w:w="1866"/>
        <w:gridCol w:w="1237"/>
        <w:gridCol w:w="36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tcBorders>
              <w:top w:val="single" w:color="auto" w:sz="12" w:space="0"/>
              <w:bottom w:val="single" w:color="auto" w:sz="12" w:space="0"/>
            </w:tcBorders>
            <w:vAlign w:val="center"/>
          </w:tcPr>
          <w:p>
            <w:pPr>
              <w:spacing w:line="312" w:lineRule="auto"/>
              <w:jc w:val="center"/>
              <w:rPr>
                <w:szCs w:val="21"/>
              </w:rPr>
            </w:pPr>
            <w:r>
              <w:rPr>
                <w:szCs w:val="21"/>
              </w:rPr>
              <w:t>序号</w:t>
            </w:r>
          </w:p>
        </w:tc>
        <w:tc>
          <w:tcPr>
            <w:tcW w:w="1202" w:type="dxa"/>
            <w:tcBorders>
              <w:top w:val="single" w:color="auto" w:sz="12" w:space="0"/>
              <w:bottom w:val="single" w:color="auto" w:sz="12" w:space="0"/>
            </w:tcBorders>
            <w:vAlign w:val="center"/>
          </w:tcPr>
          <w:p>
            <w:pPr>
              <w:spacing w:line="312" w:lineRule="auto"/>
              <w:jc w:val="center"/>
              <w:rPr>
                <w:szCs w:val="21"/>
              </w:rPr>
            </w:pPr>
            <w:r>
              <w:rPr>
                <w:szCs w:val="21"/>
              </w:rPr>
              <w:t>位号</w:t>
            </w:r>
          </w:p>
        </w:tc>
        <w:tc>
          <w:tcPr>
            <w:tcW w:w="1866" w:type="dxa"/>
            <w:tcBorders>
              <w:top w:val="single" w:color="auto" w:sz="12" w:space="0"/>
              <w:bottom w:val="single" w:color="auto" w:sz="12" w:space="0"/>
            </w:tcBorders>
            <w:vAlign w:val="center"/>
          </w:tcPr>
          <w:p>
            <w:pPr>
              <w:spacing w:line="312" w:lineRule="auto"/>
              <w:jc w:val="center"/>
              <w:rPr>
                <w:szCs w:val="21"/>
              </w:rPr>
            </w:pPr>
            <w:r>
              <w:rPr>
                <w:szCs w:val="21"/>
              </w:rPr>
              <w:t>设备名称</w:t>
            </w:r>
          </w:p>
        </w:tc>
        <w:tc>
          <w:tcPr>
            <w:tcW w:w="1237" w:type="dxa"/>
            <w:tcBorders>
              <w:top w:val="single" w:color="auto" w:sz="12" w:space="0"/>
              <w:bottom w:val="single" w:color="auto" w:sz="12" w:space="0"/>
            </w:tcBorders>
            <w:vAlign w:val="center"/>
          </w:tcPr>
          <w:p>
            <w:pPr>
              <w:spacing w:line="312" w:lineRule="auto"/>
              <w:jc w:val="center"/>
              <w:rPr>
                <w:szCs w:val="21"/>
              </w:rPr>
            </w:pPr>
            <w:r>
              <w:rPr>
                <w:szCs w:val="21"/>
              </w:rPr>
              <w:t>分析结果</w:t>
            </w:r>
          </w:p>
        </w:tc>
        <w:tc>
          <w:tcPr>
            <w:tcW w:w="3633" w:type="dxa"/>
            <w:tcBorders>
              <w:top w:val="single" w:color="auto" w:sz="12" w:space="0"/>
              <w:bottom w:val="single" w:color="auto" w:sz="12" w:space="0"/>
            </w:tcBorders>
            <w:vAlign w:val="center"/>
          </w:tcPr>
          <w:p>
            <w:pPr>
              <w:spacing w:line="312" w:lineRule="auto"/>
              <w:jc w:val="center"/>
              <w:rPr>
                <w:szCs w:val="21"/>
              </w:rPr>
            </w:pPr>
            <w:r>
              <w:rPr>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tcBorders>
              <w:top w:val="single" w:color="auto" w:sz="12" w:space="0"/>
              <w:bottom w:val="single" w:color="auto" w:sz="4" w:space="0"/>
            </w:tcBorders>
            <w:vAlign w:val="center"/>
          </w:tcPr>
          <w:p>
            <w:pPr>
              <w:spacing w:line="312" w:lineRule="auto"/>
              <w:jc w:val="center"/>
              <w:rPr>
                <w:szCs w:val="21"/>
              </w:rPr>
            </w:pPr>
            <w:r>
              <w:rPr>
                <w:szCs w:val="21"/>
              </w:rPr>
              <w:t>1</w:t>
            </w:r>
          </w:p>
        </w:tc>
        <w:tc>
          <w:tcPr>
            <w:tcW w:w="1202" w:type="dxa"/>
            <w:tcBorders>
              <w:top w:val="single" w:color="auto" w:sz="12" w:space="0"/>
              <w:bottom w:val="single" w:color="auto" w:sz="4" w:space="0"/>
            </w:tcBorders>
            <w:vAlign w:val="center"/>
          </w:tcPr>
          <w:p>
            <w:pPr>
              <w:spacing w:line="312" w:lineRule="auto"/>
              <w:jc w:val="center"/>
              <w:rPr>
                <w:szCs w:val="21"/>
              </w:rPr>
            </w:pPr>
            <w:r>
              <w:rPr>
                <w:szCs w:val="21"/>
              </w:rPr>
              <w:t>12-C-201</w:t>
            </w:r>
          </w:p>
        </w:tc>
        <w:tc>
          <w:tcPr>
            <w:tcW w:w="1866" w:type="dxa"/>
            <w:tcBorders>
              <w:top w:val="single" w:color="auto" w:sz="12" w:space="0"/>
              <w:bottom w:val="single" w:color="auto" w:sz="4" w:space="0"/>
            </w:tcBorders>
            <w:vAlign w:val="center"/>
          </w:tcPr>
          <w:p>
            <w:pPr>
              <w:spacing w:line="312" w:lineRule="auto"/>
              <w:jc w:val="center"/>
              <w:rPr>
                <w:szCs w:val="21"/>
              </w:rPr>
            </w:pPr>
            <w:r>
              <w:rPr>
                <w:szCs w:val="21"/>
              </w:rPr>
              <w:t>胺吸收塔</w:t>
            </w:r>
          </w:p>
        </w:tc>
        <w:tc>
          <w:tcPr>
            <w:tcW w:w="1237" w:type="dxa"/>
            <w:tcBorders>
              <w:top w:val="single" w:color="auto" w:sz="12" w:space="0"/>
              <w:bottom w:val="single" w:color="auto" w:sz="4" w:space="0"/>
            </w:tcBorders>
            <w:vAlign w:val="center"/>
          </w:tcPr>
          <w:p>
            <w:pPr>
              <w:spacing w:line="312" w:lineRule="auto"/>
              <w:jc w:val="center"/>
              <w:rPr>
                <w:szCs w:val="21"/>
              </w:rPr>
            </w:pPr>
            <w:r>
              <w:rPr>
                <w:szCs w:val="21"/>
              </w:rPr>
              <w:t>不合格</w:t>
            </w:r>
          </w:p>
        </w:tc>
        <w:tc>
          <w:tcPr>
            <w:tcW w:w="3633" w:type="dxa"/>
            <w:tcBorders>
              <w:top w:val="single" w:color="auto" w:sz="12" w:space="0"/>
              <w:bottom w:val="single" w:color="auto" w:sz="4" w:space="0"/>
            </w:tcBorders>
            <w:vAlign w:val="center"/>
          </w:tcPr>
          <w:p>
            <w:pPr>
              <w:spacing w:line="240" w:lineRule="atLeast"/>
              <w:rPr>
                <w:color w:val="000000"/>
                <w:szCs w:val="21"/>
                <w:lang w:eastAsia="zh-CN"/>
              </w:rPr>
            </w:pPr>
            <w:r>
              <w:rPr>
                <w:szCs w:val="21"/>
                <w:lang w:eastAsia="zh-CN"/>
              </w:rPr>
              <w:t>1.</w:t>
            </w:r>
            <w:r>
              <w:rPr>
                <w:color w:val="000000"/>
                <w:szCs w:val="21"/>
                <w:lang w:eastAsia="zh-CN"/>
              </w:rPr>
              <w:t>锥壳小端分析组合压应力大于材料许用应力</w:t>
            </w:r>
          </w:p>
          <w:p>
            <w:pPr>
              <w:spacing w:line="240" w:lineRule="atLeast"/>
              <w:rPr>
                <w:szCs w:val="21"/>
                <w:lang w:eastAsia="zh-CN"/>
              </w:rPr>
            </w:pPr>
            <w:r>
              <w:rPr>
                <w:color w:val="000000"/>
                <w:szCs w:val="21"/>
                <w:lang w:eastAsia="zh-CN"/>
              </w:rPr>
              <w:t>2.第1个设备法兰分析所需螺栓面积大于实际螺栓面积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tcBorders>
              <w:top w:val="single" w:color="auto" w:sz="4" w:space="0"/>
            </w:tcBorders>
            <w:vAlign w:val="center"/>
          </w:tcPr>
          <w:p>
            <w:pPr>
              <w:spacing w:line="312" w:lineRule="auto"/>
              <w:jc w:val="center"/>
              <w:rPr>
                <w:szCs w:val="21"/>
              </w:rPr>
            </w:pPr>
            <w:r>
              <w:rPr>
                <w:szCs w:val="21"/>
              </w:rPr>
              <w:t>2</w:t>
            </w:r>
          </w:p>
        </w:tc>
        <w:tc>
          <w:tcPr>
            <w:tcW w:w="1202" w:type="dxa"/>
            <w:tcBorders>
              <w:top w:val="single" w:color="auto" w:sz="4" w:space="0"/>
            </w:tcBorders>
            <w:vAlign w:val="center"/>
          </w:tcPr>
          <w:p>
            <w:pPr>
              <w:spacing w:line="312" w:lineRule="auto"/>
              <w:jc w:val="center"/>
              <w:rPr>
                <w:szCs w:val="21"/>
              </w:rPr>
            </w:pPr>
            <w:r>
              <w:rPr>
                <w:szCs w:val="21"/>
              </w:rPr>
              <w:t>13-C-301</w:t>
            </w:r>
          </w:p>
        </w:tc>
        <w:tc>
          <w:tcPr>
            <w:tcW w:w="1866" w:type="dxa"/>
            <w:tcBorders>
              <w:top w:val="single" w:color="auto" w:sz="4" w:space="0"/>
            </w:tcBorders>
            <w:vAlign w:val="center"/>
          </w:tcPr>
          <w:p>
            <w:pPr>
              <w:spacing w:line="312" w:lineRule="auto"/>
              <w:jc w:val="center"/>
              <w:rPr>
                <w:szCs w:val="21"/>
              </w:rPr>
            </w:pPr>
            <w:r>
              <w:rPr>
                <w:szCs w:val="21"/>
              </w:rPr>
              <w:t>脱丁烷塔</w:t>
            </w:r>
          </w:p>
        </w:tc>
        <w:tc>
          <w:tcPr>
            <w:tcW w:w="1237" w:type="dxa"/>
            <w:tcBorders>
              <w:top w:val="single" w:color="auto" w:sz="4" w:space="0"/>
            </w:tcBorders>
            <w:vAlign w:val="center"/>
          </w:tcPr>
          <w:p>
            <w:pPr>
              <w:spacing w:line="312" w:lineRule="auto"/>
              <w:jc w:val="center"/>
              <w:rPr>
                <w:szCs w:val="21"/>
              </w:rPr>
            </w:pPr>
            <w:r>
              <w:rPr>
                <w:szCs w:val="21"/>
              </w:rPr>
              <w:t>不合格</w:t>
            </w:r>
          </w:p>
        </w:tc>
        <w:tc>
          <w:tcPr>
            <w:tcW w:w="3633" w:type="dxa"/>
            <w:tcBorders>
              <w:top w:val="single" w:color="auto" w:sz="4" w:space="0"/>
            </w:tcBorders>
            <w:vAlign w:val="center"/>
          </w:tcPr>
          <w:p>
            <w:pPr>
              <w:spacing w:line="240" w:lineRule="atLeast"/>
              <w:rPr>
                <w:color w:val="000000"/>
                <w:szCs w:val="21"/>
                <w:lang w:eastAsia="zh-CN"/>
              </w:rPr>
            </w:pPr>
            <w:r>
              <w:rPr>
                <w:szCs w:val="21"/>
                <w:lang w:eastAsia="zh-CN"/>
              </w:rPr>
              <w:t>1.</w:t>
            </w:r>
            <w:r>
              <w:rPr>
                <w:color w:val="000000"/>
                <w:szCs w:val="21"/>
                <w:lang w:eastAsia="zh-CN"/>
              </w:rPr>
              <w:t>地脚螺栓座基础环板分析需要厚度大于名义厚度</w:t>
            </w:r>
          </w:p>
          <w:p>
            <w:pPr>
              <w:spacing w:line="240" w:lineRule="atLeast"/>
              <w:rPr>
                <w:szCs w:val="21"/>
                <w:lang w:eastAsia="zh-CN"/>
              </w:rPr>
            </w:pPr>
            <w:r>
              <w:rPr>
                <w:color w:val="000000"/>
                <w:szCs w:val="21"/>
                <w:lang w:eastAsia="zh-CN"/>
              </w:rPr>
              <w:t>2.盖板分析最大应力大于材料许用应力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tcBorders>
              <w:top w:val="single" w:color="auto" w:sz="4" w:space="0"/>
            </w:tcBorders>
            <w:vAlign w:val="center"/>
          </w:tcPr>
          <w:p>
            <w:pPr>
              <w:spacing w:line="312" w:lineRule="auto"/>
              <w:jc w:val="center"/>
              <w:rPr>
                <w:szCs w:val="21"/>
              </w:rPr>
            </w:pPr>
            <w:r>
              <w:rPr>
                <w:szCs w:val="21"/>
              </w:rPr>
              <w:t>3</w:t>
            </w:r>
          </w:p>
        </w:tc>
        <w:tc>
          <w:tcPr>
            <w:tcW w:w="1202" w:type="dxa"/>
            <w:tcBorders>
              <w:top w:val="single" w:color="auto" w:sz="4" w:space="0"/>
            </w:tcBorders>
            <w:vAlign w:val="center"/>
          </w:tcPr>
          <w:p>
            <w:pPr>
              <w:spacing w:line="312" w:lineRule="auto"/>
              <w:jc w:val="center"/>
              <w:rPr>
                <w:szCs w:val="21"/>
              </w:rPr>
            </w:pPr>
            <w:r>
              <w:rPr>
                <w:szCs w:val="21"/>
              </w:rPr>
              <w:t>13-C-321</w:t>
            </w:r>
          </w:p>
        </w:tc>
        <w:tc>
          <w:tcPr>
            <w:tcW w:w="1866" w:type="dxa"/>
            <w:tcBorders>
              <w:top w:val="single" w:color="auto" w:sz="4" w:space="0"/>
            </w:tcBorders>
            <w:vAlign w:val="center"/>
          </w:tcPr>
          <w:p>
            <w:pPr>
              <w:spacing w:line="312" w:lineRule="auto"/>
              <w:jc w:val="center"/>
              <w:rPr>
                <w:szCs w:val="21"/>
              </w:rPr>
            </w:pPr>
            <w:r>
              <w:rPr>
                <w:szCs w:val="21"/>
              </w:rPr>
              <w:t>轻石脑油分离塔</w:t>
            </w:r>
          </w:p>
        </w:tc>
        <w:tc>
          <w:tcPr>
            <w:tcW w:w="1237" w:type="dxa"/>
            <w:tcBorders>
              <w:top w:val="single" w:color="auto" w:sz="4" w:space="0"/>
            </w:tcBorders>
            <w:vAlign w:val="center"/>
          </w:tcPr>
          <w:p>
            <w:pPr>
              <w:spacing w:line="312" w:lineRule="auto"/>
              <w:jc w:val="center"/>
              <w:rPr>
                <w:szCs w:val="21"/>
              </w:rPr>
            </w:pPr>
            <w:r>
              <w:rPr>
                <w:szCs w:val="21"/>
              </w:rPr>
              <w:t>不合格</w:t>
            </w:r>
          </w:p>
        </w:tc>
        <w:tc>
          <w:tcPr>
            <w:tcW w:w="3633" w:type="dxa"/>
            <w:tcBorders>
              <w:top w:val="single" w:color="auto" w:sz="4" w:space="0"/>
            </w:tcBorders>
            <w:vAlign w:val="center"/>
          </w:tcPr>
          <w:p>
            <w:pPr>
              <w:spacing w:line="240" w:lineRule="atLeast"/>
              <w:rPr>
                <w:color w:val="000000"/>
                <w:szCs w:val="21"/>
                <w:lang w:eastAsia="zh-CN"/>
              </w:rPr>
            </w:pPr>
            <w:r>
              <w:rPr>
                <w:szCs w:val="21"/>
                <w:lang w:eastAsia="zh-CN"/>
              </w:rPr>
              <w:t>1.</w:t>
            </w:r>
            <w:r>
              <w:rPr>
                <w:color w:val="000000"/>
                <w:szCs w:val="21"/>
                <w:lang w:eastAsia="zh-CN"/>
              </w:rPr>
              <w:t>地脚螺栓分析需要的螺纹小径大于实际的螺纹小径</w:t>
            </w:r>
          </w:p>
          <w:p>
            <w:pPr>
              <w:spacing w:line="240" w:lineRule="atLeast"/>
              <w:rPr>
                <w:color w:val="000000"/>
                <w:szCs w:val="21"/>
                <w:lang w:eastAsia="zh-CN"/>
              </w:rPr>
            </w:pPr>
            <w:r>
              <w:rPr>
                <w:color w:val="000000"/>
                <w:szCs w:val="21"/>
                <w:lang w:eastAsia="zh-CN"/>
              </w:rPr>
              <w:t>2.地脚螺栓座基础环板分析需要厚度大于名义厚度</w:t>
            </w:r>
          </w:p>
          <w:p>
            <w:pPr>
              <w:spacing w:line="240" w:lineRule="atLeast"/>
              <w:rPr>
                <w:szCs w:val="21"/>
                <w:lang w:eastAsia="zh-CN"/>
              </w:rPr>
            </w:pPr>
            <w:r>
              <w:rPr>
                <w:color w:val="000000"/>
                <w:szCs w:val="21"/>
                <w:lang w:eastAsia="zh-CN"/>
              </w:rPr>
              <w:t>3.盖板分析最大应力大于材料许用应力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tcBorders>
              <w:top w:val="single" w:color="auto" w:sz="4" w:space="0"/>
            </w:tcBorders>
            <w:vAlign w:val="center"/>
          </w:tcPr>
          <w:p>
            <w:pPr>
              <w:spacing w:line="312" w:lineRule="auto"/>
              <w:jc w:val="center"/>
              <w:rPr>
                <w:szCs w:val="21"/>
              </w:rPr>
            </w:pPr>
            <w:r>
              <w:rPr>
                <w:szCs w:val="21"/>
              </w:rPr>
              <w:t>4</w:t>
            </w:r>
          </w:p>
        </w:tc>
        <w:tc>
          <w:tcPr>
            <w:tcW w:w="1202" w:type="dxa"/>
            <w:tcBorders>
              <w:top w:val="single" w:color="auto" w:sz="4" w:space="0"/>
            </w:tcBorders>
            <w:vAlign w:val="center"/>
          </w:tcPr>
          <w:p>
            <w:pPr>
              <w:spacing w:line="312" w:lineRule="auto"/>
              <w:jc w:val="center"/>
              <w:rPr>
                <w:szCs w:val="21"/>
              </w:rPr>
            </w:pPr>
            <w:r>
              <w:rPr>
                <w:szCs w:val="21"/>
              </w:rPr>
              <w:t>13-C-331</w:t>
            </w:r>
          </w:p>
        </w:tc>
        <w:tc>
          <w:tcPr>
            <w:tcW w:w="1866" w:type="dxa"/>
            <w:tcBorders>
              <w:top w:val="single" w:color="auto" w:sz="4" w:space="0"/>
            </w:tcBorders>
            <w:vAlign w:val="center"/>
          </w:tcPr>
          <w:p>
            <w:pPr>
              <w:spacing w:line="312" w:lineRule="auto"/>
              <w:jc w:val="center"/>
              <w:rPr>
                <w:szCs w:val="21"/>
              </w:rPr>
            </w:pPr>
            <w:r>
              <w:rPr>
                <w:szCs w:val="21"/>
              </w:rPr>
              <w:t>C5分离塔</w:t>
            </w:r>
          </w:p>
        </w:tc>
        <w:tc>
          <w:tcPr>
            <w:tcW w:w="1237" w:type="dxa"/>
            <w:tcBorders>
              <w:top w:val="single" w:color="auto" w:sz="4" w:space="0"/>
            </w:tcBorders>
            <w:vAlign w:val="center"/>
          </w:tcPr>
          <w:p>
            <w:pPr>
              <w:spacing w:line="312" w:lineRule="auto"/>
              <w:jc w:val="center"/>
              <w:rPr>
                <w:szCs w:val="21"/>
              </w:rPr>
            </w:pPr>
            <w:r>
              <w:rPr>
                <w:szCs w:val="21"/>
              </w:rPr>
              <w:t>不合格</w:t>
            </w:r>
          </w:p>
        </w:tc>
        <w:tc>
          <w:tcPr>
            <w:tcW w:w="3633" w:type="dxa"/>
            <w:tcBorders>
              <w:top w:val="single" w:color="auto" w:sz="4" w:space="0"/>
            </w:tcBorders>
            <w:vAlign w:val="center"/>
          </w:tcPr>
          <w:p>
            <w:pPr>
              <w:spacing w:line="240" w:lineRule="atLeast"/>
              <w:rPr>
                <w:color w:val="000000"/>
                <w:szCs w:val="21"/>
                <w:lang w:eastAsia="zh-CN"/>
              </w:rPr>
            </w:pPr>
            <w:r>
              <w:rPr>
                <w:szCs w:val="21"/>
                <w:lang w:eastAsia="zh-CN"/>
              </w:rPr>
              <w:t>1.</w:t>
            </w:r>
            <w:r>
              <w:rPr>
                <w:color w:val="000000"/>
                <w:szCs w:val="21"/>
                <w:lang w:eastAsia="zh-CN"/>
              </w:rPr>
              <w:t>地脚螺栓座基础环板分析需要厚度大于名义厚度</w:t>
            </w:r>
          </w:p>
          <w:p>
            <w:pPr>
              <w:spacing w:line="240" w:lineRule="atLeast"/>
              <w:rPr>
                <w:szCs w:val="21"/>
                <w:lang w:eastAsia="zh-CN"/>
              </w:rPr>
            </w:pPr>
            <w:r>
              <w:rPr>
                <w:color w:val="000000"/>
                <w:szCs w:val="21"/>
                <w:lang w:eastAsia="zh-CN"/>
              </w:rPr>
              <w:t>2.盖板分析最大应力大于材料许用应力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tcBorders>
              <w:top w:val="single" w:color="auto" w:sz="4" w:space="0"/>
            </w:tcBorders>
            <w:vAlign w:val="center"/>
          </w:tcPr>
          <w:p>
            <w:pPr>
              <w:spacing w:line="312" w:lineRule="auto"/>
              <w:jc w:val="center"/>
              <w:rPr>
                <w:szCs w:val="21"/>
              </w:rPr>
            </w:pPr>
            <w:r>
              <w:rPr>
                <w:szCs w:val="21"/>
              </w:rPr>
              <w:t>5</w:t>
            </w:r>
          </w:p>
        </w:tc>
        <w:tc>
          <w:tcPr>
            <w:tcW w:w="1202" w:type="dxa"/>
            <w:tcBorders>
              <w:top w:val="single" w:color="auto" w:sz="4" w:space="0"/>
            </w:tcBorders>
            <w:vAlign w:val="center"/>
          </w:tcPr>
          <w:p>
            <w:pPr>
              <w:spacing w:line="312" w:lineRule="auto"/>
              <w:jc w:val="center"/>
              <w:rPr>
                <w:szCs w:val="21"/>
              </w:rPr>
            </w:pPr>
            <w:r>
              <w:rPr>
                <w:szCs w:val="21"/>
              </w:rPr>
              <w:t>18-C-101</w:t>
            </w:r>
          </w:p>
        </w:tc>
        <w:tc>
          <w:tcPr>
            <w:tcW w:w="1866" w:type="dxa"/>
            <w:tcBorders>
              <w:top w:val="single" w:color="auto" w:sz="4" w:space="0"/>
            </w:tcBorders>
            <w:vAlign w:val="center"/>
          </w:tcPr>
          <w:p>
            <w:pPr>
              <w:spacing w:line="312" w:lineRule="auto"/>
              <w:jc w:val="center"/>
              <w:rPr>
                <w:szCs w:val="21"/>
              </w:rPr>
            </w:pPr>
            <w:r>
              <w:rPr>
                <w:szCs w:val="21"/>
              </w:rPr>
              <w:t>主汽提塔</w:t>
            </w:r>
          </w:p>
        </w:tc>
        <w:tc>
          <w:tcPr>
            <w:tcW w:w="1237" w:type="dxa"/>
            <w:tcBorders>
              <w:top w:val="single" w:color="auto" w:sz="4" w:space="0"/>
            </w:tcBorders>
            <w:vAlign w:val="center"/>
          </w:tcPr>
          <w:p>
            <w:pPr>
              <w:spacing w:line="312" w:lineRule="auto"/>
              <w:jc w:val="center"/>
              <w:rPr>
                <w:szCs w:val="21"/>
              </w:rPr>
            </w:pPr>
            <w:r>
              <w:rPr>
                <w:szCs w:val="21"/>
              </w:rPr>
              <w:t>不合格</w:t>
            </w:r>
          </w:p>
        </w:tc>
        <w:tc>
          <w:tcPr>
            <w:tcW w:w="3633" w:type="dxa"/>
            <w:tcBorders>
              <w:top w:val="single" w:color="auto" w:sz="4" w:space="0"/>
            </w:tcBorders>
            <w:vAlign w:val="center"/>
          </w:tcPr>
          <w:p>
            <w:pPr>
              <w:spacing w:line="240" w:lineRule="atLeast"/>
              <w:rPr>
                <w:szCs w:val="21"/>
                <w:lang w:eastAsia="zh-CN"/>
              </w:rPr>
            </w:pPr>
            <w:r>
              <w:rPr>
                <w:szCs w:val="21"/>
                <w:lang w:eastAsia="zh-CN"/>
              </w:rPr>
              <w:t>1.</w:t>
            </w:r>
            <w:r>
              <w:rPr>
                <w:color w:val="000000"/>
                <w:szCs w:val="21"/>
                <w:lang w:eastAsia="zh-CN"/>
              </w:rPr>
              <w:t>地脚螺分析需要的螺纹小径大于实际的螺纹小径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tcBorders>
              <w:top w:val="single" w:color="auto" w:sz="4" w:space="0"/>
            </w:tcBorders>
            <w:vAlign w:val="center"/>
          </w:tcPr>
          <w:p>
            <w:pPr>
              <w:spacing w:line="312" w:lineRule="auto"/>
              <w:jc w:val="center"/>
              <w:rPr>
                <w:szCs w:val="21"/>
              </w:rPr>
            </w:pPr>
            <w:r>
              <w:rPr>
                <w:szCs w:val="21"/>
              </w:rPr>
              <w:t>6</w:t>
            </w:r>
          </w:p>
        </w:tc>
        <w:tc>
          <w:tcPr>
            <w:tcW w:w="1202" w:type="dxa"/>
            <w:tcBorders>
              <w:top w:val="single" w:color="auto" w:sz="4" w:space="0"/>
            </w:tcBorders>
            <w:vAlign w:val="center"/>
          </w:tcPr>
          <w:p>
            <w:pPr>
              <w:spacing w:line="312" w:lineRule="auto"/>
              <w:jc w:val="center"/>
              <w:rPr>
                <w:szCs w:val="21"/>
              </w:rPr>
            </w:pPr>
            <w:r>
              <w:rPr>
                <w:szCs w:val="21"/>
              </w:rPr>
              <w:t>36-C-101</w:t>
            </w:r>
          </w:p>
        </w:tc>
        <w:tc>
          <w:tcPr>
            <w:tcW w:w="1866" w:type="dxa"/>
            <w:tcBorders>
              <w:top w:val="single" w:color="auto" w:sz="4" w:space="0"/>
            </w:tcBorders>
            <w:vAlign w:val="center"/>
          </w:tcPr>
          <w:p>
            <w:pPr>
              <w:spacing w:line="312" w:lineRule="auto"/>
              <w:jc w:val="center"/>
              <w:rPr>
                <w:szCs w:val="21"/>
              </w:rPr>
            </w:pPr>
            <w:r>
              <w:rPr>
                <w:szCs w:val="21"/>
              </w:rPr>
              <w:t>抽提蒸馏塔</w:t>
            </w:r>
          </w:p>
        </w:tc>
        <w:tc>
          <w:tcPr>
            <w:tcW w:w="1237" w:type="dxa"/>
            <w:tcBorders>
              <w:top w:val="single" w:color="auto" w:sz="4" w:space="0"/>
            </w:tcBorders>
            <w:vAlign w:val="center"/>
          </w:tcPr>
          <w:p>
            <w:pPr>
              <w:spacing w:line="312" w:lineRule="auto"/>
              <w:jc w:val="center"/>
              <w:rPr>
                <w:szCs w:val="21"/>
              </w:rPr>
            </w:pPr>
            <w:r>
              <w:rPr>
                <w:szCs w:val="21"/>
              </w:rPr>
              <w:t>不合格</w:t>
            </w:r>
          </w:p>
        </w:tc>
        <w:tc>
          <w:tcPr>
            <w:tcW w:w="3633" w:type="dxa"/>
            <w:tcBorders>
              <w:top w:val="single" w:color="auto" w:sz="4" w:space="0"/>
            </w:tcBorders>
            <w:vAlign w:val="center"/>
          </w:tcPr>
          <w:p>
            <w:pPr>
              <w:spacing w:line="240" w:lineRule="atLeast"/>
              <w:rPr>
                <w:szCs w:val="21"/>
                <w:lang w:eastAsia="zh-CN"/>
              </w:rPr>
            </w:pPr>
            <w:r>
              <w:rPr>
                <w:color w:val="000000"/>
                <w:szCs w:val="21"/>
                <w:lang w:eastAsia="zh-CN"/>
              </w:rPr>
              <w:t>1.地脚螺栓座盖板分析最大应力大于材料许用应力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tcBorders>
              <w:top w:val="single" w:color="auto" w:sz="4" w:space="0"/>
            </w:tcBorders>
            <w:vAlign w:val="center"/>
          </w:tcPr>
          <w:p>
            <w:pPr>
              <w:spacing w:line="312" w:lineRule="auto"/>
              <w:jc w:val="center"/>
              <w:rPr>
                <w:szCs w:val="21"/>
              </w:rPr>
            </w:pPr>
            <w:r>
              <w:rPr>
                <w:szCs w:val="21"/>
              </w:rPr>
              <w:t>7</w:t>
            </w:r>
          </w:p>
        </w:tc>
        <w:tc>
          <w:tcPr>
            <w:tcW w:w="1202" w:type="dxa"/>
            <w:tcBorders>
              <w:top w:val="single" w:color="auto" w:sz="4" w:space="0"/>
            </w:tcBorders>
            <w:vAlign w:val="center"/>
          </w:tcPr>
          <w:p>
            <w:pPr>
              <w:spacing w:line="312" w:lineRule="auto"/>
              <w:jc w:val="center"/>
              <w:rPr>
                <w:szCs w:val="21"/>
              </w:rPr>
            </w:pPr>
            <w:r>
              <w:rPr>
                <w:szCs w:val="21"/>
              </w:rPr>
              <w:t>36-C-104</w:t>
            </w:r>
          </w:p>
        </w:tc>
        <w:tc>
          <w:tcPr>
            <w:tcW w:w="1866" w:type="dxa"/>
            <w:tcBorders>
              <w:top w:val="single" w:color="auto" w:sz="4" w:space="0"/>
            </w:tcBorders>
            <w:vAlign w:val="center"/>
          </w:tcPr>
          <w:p>
            <w:pPr>
              <w:spacing w:line="312" w:lineRule="auto"/>
              <w:jc w:val="center"/>
              <w:rPr>
                <w:szCs w:val="21"/>
              </w:rPr>
            </w:pPr>
            <w:r>
              <w:rPr>
                <w:szCs w:val="21"/>
              </w:rPr>
              <w:t>抽提油脱C5塔</w:t>
            </w:r>
          </w:p>
        </w:tc>
        <w:tc>
          <w:tcPr>
            <w:tcW w:w="1237" w:type="dxa"/>
            <w:tcBorders>
              <w:top w:val="single" w:color="auto" w:sz="4" w:space="0"/>
            </w:tcBorders>
            <w:vAlign w:val="center"/>
          </w:tcPr>
          <w:p>
            <w:pPr>
              <w:spacing w:line="312" w:lineRule="auto"/>
              <w:jc w:val="center"/>
              <w:rPr>
                <w:szCs w:val="21"/>
              </w:rPr>
            </w:pPr>
            <w:r>
              <w:rPr>
                <w:szCs w:val="21"/>
              </w:rPr>
              <w:t>不合格</w:t>
            </w:r>
          </w:p>
        </w:tc>
        <w:tc>
          <w:tcPr>
            <w:tcW w:w="3633" w:type="dxa"/>
            <w:tcBorders>
              <w:top w:val="single" w:color="auto" w:sz="4" w:space="0"/>
            </w:tcBorders>
            <w:vAlign w:val="center"/>
          </w:tcPr>
          <w:p>
            <w:pPr>
              <w:spacing w:line="240" w:lineRule="atLeast"/>
              <w:rPr>
                <w:color w:val="000000"/>
                <w:szCs w:val="21"/>
                <w:lang w:eastAsia="zh-CN"/>
              </w:rPr>
            </w:pPr>
            <w:r>
              <w:rPr>
                <w:szCs w:val="21"/>
                <w:lang w:eastAsia="zh-CN"/>
              </w:rPr>
              <w:t>1.</w:t>
            </w:r>
            <w:r>
              <w:rPr>
                <w:color w:val="000000"/>
                <w:szCs w:val="21"/>
                <w:lang w:eastAsia="zh-CN"/>
              </w:rPr>
              <w:t>地脚螺栓分析需要的螺纹小径大于实际的螺纹小径</w:t>
            </w:r>
          </w:p>
          <w:p>
            <w:pPr>
              <w:spacing w:line="240" w:lineRule="atLeast"/>
              <w:rPr>
                <w:color w:val="000000"/>
                <w:szCs w:val="21"/>
                <w:lang w:eastAsia="zh-CN"/>
              </w:rPr>
            </w:pPr>
            <w:r>
              <w:rPr>
                <w:color w:val="000000"/>
                <w:szCs w:val="21"/>
                <w:lang w:eastAsia="zh-CN"/>
              </w:rPr>
              <w:t>2.地脚螺栓座基础环板分析需要厚度大于名义厚度</w:t>
            </w:r>
          </w:p>
          <w:p>
            <w:pPr>
              <w:spacing w:line="240" w:lineRule="atLeast"/>
              <w:rPr>
                <w:spacing w:val="-10"/>
                <w:szCs w:val="21"/>
                <w:lang w:eastAsia="zh-CN"/>
              </w:rPr>
            </w:pPr>
            <w:r>
              <w:rPr>
                <w:color w:val="000000"/>
                <w:spacing w:val="-10"/>
                <w:szCs w:val="21"/>
                <w:lang w:eastAsia="zh-CN"/>
              </w:rPr>
              <w:t>3.盖板分析最大应力大于材料许用应力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tcBorders>
              <w:top w:val="single" w:color="auto" w:sz="4" w:space="0"/>
            </w:tcBorders>
            <w:vAlign w:val="center"/>
          </w:tcPr>
          <w:p>
            <w:pPr>
              <w:spacing w:line="312" w:lineRule="auto"/>
              <w:jc w:val="center"/>
              <w:rPr>
                <w:szCs w:val="21"/>
              </w:rPr>
            </w:pPr>
            <w:r>
              <w:rPr>
                <w:szCs w:val="21"/>
              </w:rPr>
              <w:t>8</w:t>
            </w:r>
          </w:p>
        </w:tc>
        <w:tc>
          <w:tcPr>
            <w:tcW w:w="1202" w:type="dxa"/>
            <w:tcBorders>
              <w:top w:val="single" w:color="auto" w:sz="4" w:space="0"/>
            </w:tcBorders>
            <w:vAlign w:val="center"/>
          </w:tcPr>
          <w:p>
            <w:pPr>
              <w:spacing w:line="312" w:lineRule="auto"/>
              <w:jc w:val="center"/>
              <w:rPr>
                <w:szCs w:val="21"/>
              </w:rPr>
            </w:pPr>
            <w:r>
              <w:rPr>
                <w:szCs w:val="21"/>
              </w:rPr>
              <w:t>37-C-103</w:t>
            </w:r>
          </w:p>
        </w:tc>
        <w:tc>
          <w:tcPr>
            <w:tcW w:w="1866" w:type="dxa"/>
            <w:tcBorders>
              <w:top w:val="single" w:color="auto" w:sz="4" w:space="0"/>
            </w:tcBorders>
            <w:vAlign w:val="center"/>
          </w:tcPr>
          <w:p>
            <w:pPr>
              <w:spacing w:line="312" w:lineRule="auto"/>
              <w:jc w:val="center"/>
              <w:rPr>
                <w:szCs w:val="21"/>
              </w:rPr>
            </w:pPr>
            <w:r>
              <w:rPr>
                <w:szCs w:val="21"/>
              </w:rPr>
              <w:t>重芳烃塔</w:t>
            </w:r>
          </w:p>
        </w:tc>
        <w:tc>
          <w:tcPr>
            <w:tcW w:w="1237" w:type="dxa"/>
            <w:tcBorders>
              <w:top w:val="single" w:color="auto" w:sz="4" w:space="0"/>
            </w:tcBorders>
            <w:vAlign w:val="center"/>
          </w:tcPr>
          <w:p>
            <w:pPr>
              <w:spacing w:line="312" w:lineRule="auto"/>
              <w:jc w:val="center"/>
              <w:rPr>
                <w:szCs w:val="21"/>
              </w:rPr>
            </w:pPr>
            <w:r>
              <w:rPr>
                <w:szCs w:val="21"/>
              </w:rPr>
              <w:t>不合格</w:t>
            </w:r>
          </w:p>
        </w:tc>
        <w:tc>
          <w:tcPr>
            <w:tcW w:w="3633" w:type="dxa"/>
            <w:tcBorders>
              <w:top w:val="single" w:color="auto" w:sz="4" w:space="0"/>
            </w:tcBorders>
            <w:vAlign w:val="center"/>
          </w:tcPr>
          <w:p>
            <w:pPr>
              <w:spacing w:line="240" w:lineRule="atLeast"/>
              <w:rPr>
                <w:color w:val="000000"/>
                <w:szCs w:val="21"/>
                <w:lang w:eastAsia="zh-CN"/>
              </w:rPr>
            </w:pPr>
            <w:r>
              <w:rPr>
                <w:szCs w:val="21"/>
                <w:lang w:eastAsia="zh-CN"/>
              </w:rPr>
              <w:t>1.</w:t>
            </w:r>
            <w:r>
              <w:rPr>
                <w:color w:val="000000"/>
                <w:szCs w:val="21"/>
                <w:lang w:eastAsia="zh-CN"/>
              </w:rPr>
              <w:t>地脚螺栓座盖板分析最大应力大于材料许用应力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tcBorders>
              <w:top w:val="single" w:color="auto" w:sz="4" w:space="0"/>
            </w:tcBorders>
            <w:vAlign w:val="center"/>
          </w:tcPr>
          <w:p>
            <w:pPr>
              <w:spacing w:line="312" w:lineRule="auto"/>
              <w:jc w:val="center"/>
              <w:rPr>
                <w:szCs w:val="21"/>
              </w:rPr>
            </w:pPr>
            <w:r>
              <w:rPr>
                <w:szCs w:val="21"/>
              </w:rPr>
              <w:t>9</w:t>
            </w:r>
          </w:p>
        </w:tc>
        <w:tc>
          <w:tcPr>
            <w:tcW w:w="1202" w:type="dxa"/>
            <w:tcBorders>
              <w:top w:val="single" w:color="auto" w:sz="4" w:space="0"/>
            </w:tcBorders>
            <w:vAlign w:val="center"/>
          </w:tcPr>
          <w:p>
            <w:pPr>
              <w:spacing w:line="312" w:lineRule="auto"/>
              <w:jc w:val="center"/>
              <w:rPr>
                <w:szCs w:val="21"/>
              </w:rPr>
            </w:pPr>
            <w:r>
              <w:rPr>
                <w:szCs w:val="21"/>
              </w:rPr>
              <w:t>42-C-101</w:t>
            </w:r>
          </w:p>
        </w:tc>
        <w:tc>
          <w:tcPr>
            <w:tcW w:w="1866" w:type="dxa"/>
            <w:tcBorders>
              <w:top w:val="single" w:color="auto" w:sz="4" w:space="0"/>
            </w:tcBorders>
            <w:vAlign w:val="center"/>
          </w:tcPr>
          <w:p>
            <w:pPr>
              <w:spacing w:line="312" w:lineRule="auto"/>
              <w:jc w:val="center"/>
              <w:rPr>
                <w:szCs w:val="21"/>
              </w:rPr>
            </w:pPr>
            <w:r>
              <w:rPr>
                <w:szCs w:val="21"/>
              </w:rPr>
              <w:t>脱庚烷塔</w:t>
            </w:r>
          </w:p>
        </w:tc>
        <w:tc>
          <w:tcPr>
            <w:tcW w:w="1237" w:type="dxa"/>
            <w:tcBorders>
              <w:top w:val="single" w:color="auto" w:sz="4" w:space="0"/>
            </w:tcBorders>
            <w:vAlign w:val="center"/>
          </w:tcPr>
          <w:p>
            <w:pPr>
              <w:spacing w:line="312" w:lineRule="auto"/>
              <w:jc w:val="center"/>
              <w:rPr>
                <w:szCs w:val="21"/>
              </w:rPr>
            </w:pPr>
            <w:r>
              <w:rPr>
                <w:szCs w:val="21"/>
              </w:rPr>
              <w:t>不合格</w:t>
            </w:r>
          </w:p>
        </w:tc>
        <w:tc>
          <w:tcPr>
            <w:tcW w:w="3633" w:type="dxa"/>
            <w:tcBorders>
              <w:top w:val="single" w:color="auto" w:sz="4" w:space="0"/>
            </w:tcBorders>
            <w:vAlign w:val="center"/>
          </w:tcPr>
          <w:p>
            <w:pPr>
              <w:spacing w:line="240" w:lineRule="atLeast"/>
              <w:rPr>
                <w:szCs w:val="21"/>
                <w:lang w:eastAsia="zh-CN"/>
              </w:rPr>
            </w:pPr>
            <w:r>
              <w:rPr>
                <w:szCs w:val="21"/>
                <w:lang w:eastAsia="zh-CN"/>
              </w:rPr>
              <w:t>1.</w:t>
            </w:r>
            <w:r>
              <w:rPr>
                <w:color w:val="000000"/>
                <w:szCs w:val="21"/>
                <w:lang w:eastAsia="zh-CN"/>
              </w:rPr>
              <w:t>地脚螺栓分析需要的螺纹小径大于实际的螺纹小径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tcBorders>
              <w:top w:val="single" w:color="auto" w:sz="4" w:space="0"/>
            </w:tcBorders>
            <w:vAlign w:val="center"/>
          </w:tcPr>
          <w:p>
            <w:pPr>
              <w:spacing w:line="312" w:lineRule="auto"/>
              <w:jc w:val="center"/>
              <w:rPr>
                <w:szCs w:val="21"/>
              </w:rPr>
            </w:pPr>
            <w:r>
              <w:rPr>
                <w:szCs w:val="21"/>
              </w:rPr>
              <w:t>10</w:t>
            </w:r>
          </w:p>
        </w:tc>
        <w:tc>
          <w:tcPr>
            <w:tcW w:w="1202" w:type="dxa"/>
            <w:tcBorders>
              <w:top w:val="single" w:color="auto" w:sz="4" w:space="0"/>
            </w:tcBorders>
            <w:vAlign w:val="center"/>
          </w:tcPr>
          <w:p>
            <w:pPr>
              <w:spacing w:line="312" w:lineRule="auto"/>
              <w:jc w:val="center"/>
              <w:rPr>
                <w:szCs w:val="21"/>
              </w:rPr>
            </w:pPr>
            <w:r>
              <w:rPr>
                <w:szCs w:val="21"/>
              </w:rPr>
              <w:t>44-C-101</w:t>
            </w:r>
          </w:p>
        </w:tc>
        <w:tc>
          <w:tcPr>
            <w:tcW w:w="1866" w:type="dxa"/>
            <w:tcBorders>
              <w:top w:val="single" w:color="auto" w:sz="4" w:space="0"/>
            </w:tcBorders>
            <w:vAlign w:val="center"/>
          </w:tcPr>
          <w:p>
            <w:pPr>
              <w:spacing w:line="312" w:lineRule="auto"/>
              <w:jc w:val="center"/>
              <w:rPr>
                <w:szCs w:val="21"/>
              </w:rPr>
            </w:pPr>
            <w:r>
              <w:rPr>
                <w:szCs w:val="21"/>
              </w:rPr>
              <w:t>脱庚烷塔</w:t>
            </w:r>
          </w:p>
        </w:tc>
        <w:tc>
          <w:tcPr>
            <w:tcW w:w="1237" w:type="dxa"/>
            <w:tcBorders>
              <w:top w:val="single" w:color="auto" w:sz="4" w:space="0"/>
            </w:tcBorders>
            <w:vAlign w:val="center"/>
          </w:tcPr>
          <w:p>
            <w:pPr>
              <w:spacing w:line="312" w:lineRule="auto"/>
              <w:jc w:val="center"/>
              <w:rPr>
                <w:szCs w:val="21"/>
              </w:rPr>
            </w:pPr>
            <w:r>
              <w:rPr>
                <w:szCs w:val="21"/>
              </w:rPr>
              <w:t>不合格</w:t>
            </w:r>
          </w:p>
        </w:tc>
        <w:tc>
          <w:tcPr>
            <w:tcW w:w="3633" w:type="dxa"/>
            <w:tcBorders>
              <w:top w:val="single" w:color="auto" w:sz="4" w:space="0"/>
            </w:tcBorders>
            <w:vAlign w:val="center"/>
          </w:tcPr>
          <w:p>
            <w:pPr>
              <w:spacing w:line="240" w:lineRule="atLeast"/>
              <w:rPr>
                <w:szCs w:val="21"/>
                <w:lang w:eastAsia="zh-CN"/>
              </w:rPr>
            </w:pPr>
            <w:r>
              <w:rPr>
                <w:szCs w:val="21"/>
                <w:lang w:eastAsia="zh-CN"/>
              </w:rPr>
              <w:t>1.</w:t>
            </w:r>
            <w:r>
              <w:rPr>
                <w:color w:val="000000"/>
                <w:szCs w:val="21"/>
                <w:lang w:eastAsia="zh-CN"/>
              </w:rPr>
              <w:t>地脚螺栓分析需要的螺纹小径大于实际的螺纹小径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tcBorders>
              <w:top w:val="single" w:color="auto" w:sz="4" w:space="0"/>
            </w:tcBorders>
            <w:vAlign w:val="center"/>
          </w:tcPr>
          <w:p>
            <w:pPr>
              <w:spacing w:line="312" w:lineRule="auto"/>
              <w:jc w:val="center"/>
              <w:rPr>
                <w:szCs w:val="21"/>
              </w:rPr>
            </w:pPr>
            <w:r>
              <w:rPr>
                <w:szCs w:val="21"/>
              </w:rPr>
              <w:t>11</w:t>
            </w:r>
          </w:p>
        </w:tc>
        <w:tc>
          <w:tcPr>
            <w:tcW w:w="1202" w:type="dxa"/>
            <w:tcBorders>
              <w:top w:val="single" w:color="auto" w:sz="4" w:space="0"/>
            </w:tcBorders>
            <w:vAlign w:val="center"/>
          </w:tcPr>
          <w:p>
            <w:pPr>
              <w:spacing w:line="312" w:lineRule="auto"/>
              <w:jc w:val="center"/>
              <w:rPr>
                <w:szCs w:val="21"/>
              </w:rPr>
            </w:pPr>
            <w:r>
              <w:rPr>
                <w:szCs w:val="21"/>
              </w:rPr>
              <w:t>45-C-102</w:t>
            </w:r>
          </w:p>
        </w:tc>
        <w:tc>
          <w:tcPr>
            <w:tcW w:w="1866" w:type="dxa"/>
            <w:tcBorders>
              <w:top w:val="single" w:color="auto" w:sz="4" w:space="0"/>
            </w:tcBorders>
            <w:vAlign w:val="center"/>
          </w:tcPr>
          <w:p>
            <w:pPr>
              <w:spacing w:line="312" w:lineRule="auto"/>
              <w:jc w:val="center"/>
              <w:rPr>
                <w:szCs w:val="21"/>
              </w:rPr>
            </w:pPr>
            <w:r>
              <w:rPr>
                <w:szCs w:val="21"/>
              </w:rPr>
              <w:t>邻二甲苯塔</w:t>
            </w:r>
          </w:p>
        </w:tc>
        <w:tc>
          <w:tcPr>
            <w:tcW w:w="1237" w:type="dxa"/>
            <w:tcBorders>
              <w:top w:val="single" w:color="auto" w:sz="4" w:space="0"/>
            </w:tcBorders>
            <w:vAlign w:val="center"/>
          </w:tcPr>
          <w:p>
            <w:pPr>
              <w:spacing w:line="312" w:lineRule="auto"/>
              <w:jc w:val="center"/>
              <w:rPr>
                <w:szCs w:val="21"/>
              </w:rPr>
            </w:pPr>
            <w:r>
              <w:rPr>
                <w:szCs w:val="21"/>
              </w:rPr>
              <w:t>不合格</w:t>
            </w:r>
          </w:p>
        </w:tc>
        <w:tc>
          <w:tcPr>
            <w:tcW w:w="3633" w:type="dxa"/>
            <w:tcBorders>
              <w:top w:val="single" w:color="auto" w:sz="4" w:space="0"/>
            </w:tcBorders>
            <w:vAlign w:val="center"/>
          </w:tcPr>
          <w:p>
            <w:pPr>
              <w:spacing w:line="240" w:lineRule="atLeast"/>
              <w:rPr>
                <w:szCs w:val="21"/>
                <w:lang w:eastAsia="zh-CN"/>
              </w:rPr>
            </w:pPr>
            <w:r>
              <w:rPr>
                <w:szCs w:val="21"/>
                <w:lang w:eastAsia="zh-CN"/>
              </w:rPr>
              <w:t>1.</w:t>
            </w:r>
            <w:r>
              <w:rPr>
                <w:color w:val="000000"/>
                <w:szCs w:val="21"/>
                <w:lang w:eastAsia="zh-CN"/>
              </w:rPr>
              <w:t>地脚螺分析需要的螺纹小径大于实际的螺纹小径</w:t>
            </w:r>
          </w:p>
        </w:tc>
      </w:tr>
    </w:tbl>
    <w:p>
      <w:pPr>
        <w:pStyle w:val="13"/>
        <w:pBdr>
          <w:bottom w:val="none" w:color="auto" w:sz="0" w:space="0"/>
        </w:pBdr>
        <w:spacing w:beforeLines="50" w:afterLines="50" w:line="312" w:lineRule="auto"/>
        <w:jc w:val="left"/>
        <w:outlineLvl w:val="0"/>
        <w:rPr>
          <w:bCs/>
          <w:sz w:val="24"/>
          <w:szCs w:val="24"/>
          <w:lang w:eastAsia="zh-CN"/>
        </w:rPr>
      </w:pPr>
      <w:r>
        <w:rPr>
          <w:rFonts w:hint="eastAsia"/>
          <w:bCs/>
          <w:sz w:val="24"/>
          <w:szCs w:val="24"/>
          <w:lang w:eastAsia="zh-CN"/>
        </w:rPr>
        <w:t>1.2 按照应力分析参数应力分析结果接近合格下限值塔器共计6台。</w:t>
      </w:r>
    </w:p>
    <w:tbl>
      <w:tblPr>
        <w:tblStyle w:val="18"/>
        <w:tblpPr w:leftFromText="180" w:rightFromText="180" w:vertAnchor="text" w:horzAnchor="page" w:tblpX="1911" w:tblpY="72"/>
        <w:tblOverlap w:val="never"/>
        <w:tblW w:w="869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2268"/>
        <w:gridCol w:w="1134"/>
        <w:gridCol w:w="33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op w:val="single" w:color="auto" w:sz="12" w:space="0"/>
              <w:bottom w:val="single" w:color="auto" w:sz="12" w:space="0"/>
            </w:tcBorders>
            <w:vAlign w:val="center"/>
          </w:tcPr>
          <w:p>
            <w:pPr>
              <w:spacing w:line="312" w:lineRule="auto"/>
              <w:jc w:val="center"/>
              <w:rPr>
                <w:szCs w:val="21"/>
              </w:rPr>
            </w:pPr>
            <w:r>
              <w:rPr>
                <w:szCs w:val="21"/>
              </w:rPr>
              <w:t>序号</w:t>
            </w:r>
          </w:p>
        </w:tc>
        <w:tc>
          <w:tcPr>
            <w:tcW w:w="1276" w:type="dxa"/>
            <w:tcBorders>
              <w:top w:val="single" w:color="auto" w:sz="12" w:space="0"/>
              <w:bottom w:val="single" w:color="auto" w:sz="12" w:space="0"/>
            </w:tcBorders>
            <w:vAlign w:val="center"/>
          </w:tcPr>
          <w:p>
            <w:pPr>
              <w:spacing w:line="312" w:lineRule="auto"/>
              <w:jc w:val="center"/>
              <w:rPr>
                <w:szCs w:val="21"/>
              </w:rPr>
            </w:pPr>
            <w:r>
              <w:rPr>
                <w:szCs w:val="21"/>
              </w:rPr>
              <w:t>位号</w:t>
            </w:r>
          </w:p>
        </w:tc>
        <w:tc>
          <w:tcPr>
            <w:tcW w:w="2268" w:type="dxa"/>
            <w:tcBorders>
              <w:top w:val="single" w:color="auto" w:sz="12" w:space="0"/>
              <w:bottom w:val="single" w:color="auto" w:sz="12" w:space="0"/>
            </w:tcBorders>
            <w:vAlign w:val="center"/>
          </w:tcPr>
          <w:p>
            <w:pPr>
              <w:spacing w:line="312" w:lineRule="auto"/>
              <w:jc w:val="center"/>
              <w:rPr>
                <w:szCs w:val="21"/>
              </w:rPr>
            </w:pPr>
            <w:r>
              <w:rPr>
                <w:szCs w:val="21"/>
              </w:rPr>
              <w:t>设备名称</w:t>
            </w:r>
          </w:p>
        </w:tc>
        <w:tc>
          <w:tcPr>
            <w:tcW w:w="1134" w:type="dxa"/>
            <w:tcBorders>
              <w:top w:val="single" w:color="auto" w:sz="12" w:space="0"/>
              <w:bottom w:val="single" w:color="auto" w:sz="12" w:space="0"/>
            </w:tcBorders>
            <w:vAlign w:val="center"/>
          </w:tcPr>
          <w:p>
            <w:pPr>
              <w:spacing w:line="312" w:lineRule="auto"/>
              <w:jc w:val="center"/>
              <w:rPr>
                <w:szCs w:val="21"/>
              </w:rPr>
            </w:pPr>
            <w:r>
              <w:rPr>
                <w:szCs w:val="21"/>
              </w:rPr>
              <w:t>分析结果</w:t>
            </w:r>
          </w:p>
        </w:tc>
        <w:tc>
          <w:tcPr>
            <w:tcW w:w="3345" w:type="dxa"/>
            <w:tcBorders>
              <w:top w:val="single" w:color="auto" w:sz="12" w:space="0"/>
              <w:bottom w:val="single" w:color="auto" w:sz="12" w:space="0"/>
            </w:tcBorders>
            <w:vAlign w:val="center"/>
          </w:tcPr>
          <w:p>
            <w:pPr>
              <w:spacing w:line="312" w:lineRule="auto"/>
              <w:jc w:val="center"/>
              <w:rPr>
                <w:szCs w:val="21"/>
              </w:rPr>
            </w:pPr>
            <w:r>
              <w:rPr>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op w:val="single" w:color="auto" w:sz="4" w:space="0"/>
            </w:tcBorders>
            <w:vAlign w:val="center"/>
          </w:tcPr>
          <w:p>
            <w:pPr>
              <w:spacing w:line="312" w:lineRule="auto"/>
              <w:jc w:val="center"/>
              <w:rPr>
                <w:szCs w:val="21"/>
              </w:rPr>
            </w:pPr>
            <w:r>
              <w:rPr>
                <w:rFonts w:hint="eastAsia"/>
                <w:szCs w:val="21"/>
              </w:rPr>
              <w:t>1</w:t>
            </w:r>
          </w:p>
        </w:tc>
        <w:tc>
          <w:tcPr>
            <w:tcW w:w="1276" w:type="dxa"/>
            <w:tcBorders>
              <w:top w:val="single" w:color="auto" w:sz="4" w:space="0"/>
            </w:tcBorders>
            <w:vAlign w:val="center"/>
          </w:tcPr>
          <w:p>
            <w:pPr>
              <w:spacing w:line="312" w:lineRule="auto"/>
              <w:jc w:val="center"/>
              <w:rPr>
                <w:szCs w:val="21"/>
              </w:rPr>
            </w:pPr>
            <w:r>
              <w:rPr>
                <w:szCs w:val="21"/>
              </w:rPr>
              <w:t>16-C-301</w:t>
            </w:r>
          </w:p>
        </w:tc>
        <w:tc>
          <w:tcPr>
            <w:tcW w:w="2268" w:type="dxa"/>
            <w:tcBorders>
              <w:top w:val="single" w:color="auto" w:sz="4" w:space="0"/>
            </w:tcBorders>
            <w:vAlign w:val="center"/>
          </w:tcPr>
          <w:p>
            <w:pPr>
              <w:spacing w:line="312" w:lineRule="auto"/>
              <w:jc w:val="center"/>
              <w:rPr>
                <w:szCs w:val="21"/>
              </w:rPr>
            </w:pPr>
            <w:r>
              <w:rPr>
                <w:rFonts w:hint="eastAsia"/>
                <w:szCs w:val="21"/>
              </w:rPr>
              <w:t>急冷塔</w:t>
            </w:r>
          </w:p>
        </w:tc>
        <w:tc>
          <w:tcPr>
            <w:tcW w:w="1134" w:type="dxa"/>
            <w:tcBorders>
              <w:top w:val="single" w:color="auto" w:sz="4" w:space="0"/>
            </w:tcBorders>
            <w:vAlign w:val="center"/>
          </w:tcPr>
          <w:p>
            <w:pPr>
              <w:spacing w:line="312" w:lineRule="auto"/>
              <w:jc w:val="center"/>
              <w:rPr>
                <w:szCs w:val="21"/>
              </w:rPr>
            </w:pPr>
            <w:r>
              <w:rPr>
                <w:szCs w:val="21"/>
              </w:rPr>
              <w:t>合格</w:t>
            </w:r>
          </w:p>
        </w:tc>
        <w:tc>
          <w:tcPr>
            <w:tcW w:w="3345" w:type="dxa"/>
            <w:tcBorders>
              <w:top w:val="single" w:color="auto" w:sz="4" w:space="0"/>
            </w:tcBorders>
            <w:vAlign w:val="center"/>
          </w:tcPr>
          <w:p>
            <w:pPr>
              <w:spacing w:line="240" w:lineRule="atLeast"/>
              <w:rPr>
                <w:szCs w:val="21"/>
              </w:rPr>
            </w:pPr>
            <w:r>
              <w:rPr>
                <w:rFonts w:hint="eastAsia"/>
                <w:szCs w:val="21"/>
              </w:rPr>
              <w:t>1.盖板不合格（147MPa&lt;202.697MPa）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op w:val="single" w:color="auto" w:sz="4" w:space="0"/>
            </w:tcBorders>
            <w:vAlign w:val="center"/>
          </w:tcPr>
          <w:p>
            <w:pPr>
              <w:spacing w:line="312" w:lineRule="auto"/>
              <w:jc w:val="center"/>
              <w:rPr>
                <w:szCs w:val="21"/>
              </w:rPr>
            </w:pPr>
            <w:r>
              <w:rPr>
                <w:rFonts w:hint="eastAsia"/>
                <w:szCs w:val="21"/>
              </w:rPr>
              <w:t>2</w:t>
            </w:r>
          </w:p>
        </w:tc>
        <w:tc>
          <w:tcPr>
            <w:tcW w:w="1276" w:type="dxa"/>
            <w:tcBorders>
              <w:top w:val="single" w:color="auto" w:sz="4" w:space="0"/>
            </w:tcBorders>
            <w:vAlign w:val="center"/>
          </w:tcPr>
          <w:p>
            <w:pPr>
              <w:spacing w:line="312" w:lineRule="auto"/>
              <w:jc w:val="center"/>
              <w:rPr>
                <w:szCs w:val="21"/>
              </w:rPr>
            </w:pPr>
            <w:r>
              <w:rPr>
                <w:szCs w:val="21"/>
              </w:rPr>
              <w:t>32-C-102</w:t>
            </w:r>
          </w:p>
        </w:tc>
        <w:tc>
          <w:tcPr>
            <w:tcW w:w="2268" w:type="dxa"/>
            <w:tcBorders>
              <w:top w:val="single" w:color="auto" w:sz="4" w:space="0"/>
            </w:tcBorders>
            <w:vAlign w:val="center"/>
          </w:tcPr>
          <w:p>
            <w:pPr>
              <w:spacing w:line="312" w:lineRule="auto"/>
              <w:jc w:val="center"/>
              <w:rPr>
                <w:szCs w:val="21"/>
              </w:rPr>
            </w:pPr>
            <w:r>
              <w:rPr>
                <w:rFonts w:hint="eastAsia"/>
                <w:szCs w:val="21"/>
              </w:rPr>
              <w:t>脱乙烷塔</w:t>
            </w:r>
          </w:p>
        </w:tc>
        <w:tc>
          <w:tcPr>
            <w:tcW w:w="1134" w:type="dxa"/>
            <w:tcBorders>
              <w:top w:val="single" w:color="auto" w:sz="4" w:space="0"/>
            </w:tcBorders>
            <w:vAlign w:val="center"/>
          </w:tcPr>
          <w:p>
            <w:pPr>
              <w:spacing w:line="312" w:lineRule="auto"/>
              <w:jc w:val="center"/>
              <w:rPr>
                <w:szCs w:val="21"/>
              </w:rPr>
            </w:pPr>
            <w:r>
              <w:rPr>
                <w:szCs w:val="21"/>
              </w:rPr>
              <w:t>合格</w:t>
            </w:r>
          </w:p>
        </w:tc>
        <w:tc>
          <w:tcPr>
            <w:tcW w:w="3345" w:type="dxa"/>
            <w:tcBorders>
              <w:top w:val="single" w:color="auto" w:sz="4" w:space="0"/>
            </w:tcBorders>
            <w:vAlign w:val="center"/>
          </w:tcPr>
          <w:p>
            <w:pPr>
              <w:spacing w:line="240" w:lineRule="atLeast"/>
              <w:rPr>
                <w:szCs w:val="21"/>
                <w:lang w:eastAsia="zh-CN"/>
              </w:rPr>
            </w:pPr>
            <w:r>
              <w:rPr>
                <w:rFonts w:hint="eastAsia"/>
                <w:szCs w:val="21"/>
                <w:lang w:eastAsia="zh-CN"/>
              </w:rPr>
              <w:t>1.盖板校核不合格（147MPa&lt;196.457MPa）</w:t>
            </w:r>
          </w:p>
          <w:p>
            <w:pPr>
              <w:spacing w:line="240" w:lineRule="atLeast"/>
              <w:rPr>
                <w:szCs w:val="21"/>
                <w:lang w:eastAsia="zh-CN"/>
              </w:rPr>
            </w:pPr>
            <w:r>
              <w:rPr>
                <w:rFonts w:hint="eastAsia"/>
                <w:szCs w:val="21"/>
                <w:lang w:eastAsia="zh-CN"/>
              </w:rPr>
              <w:t>2.地脚螺栓不合格（42.5&lt;45.5mm）</w:t>
            </w:r>
          </w:p>
          <w:p>
            <w:pPr>
              <w:spacing w:line="240" w:lineRule="atLeast"/>
              <w:rPr>
                <w:szCs w:val="21"/>
                <w:lang w:eastAsia="zh-CN"/>
              </w:rPr>
            </w:pPr>
            <w:r>
              <w:rPr>
                <w:rFonts w:hint="eastAsia"/>
                <w:szCs w:val="21"/>
                <w:lang w:eastAsia="zh-CN"/>
              </w:rPr>
              <w:t>3.MH1开孔补强不合格（-23%）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op w:val="single" w:color="auto" w:sz="4" w:space="0"/>
            </w:tcBorders>
            <w:vAlign w:val="center"/>
          </w:tcPr>
          <w:p>
            <w:pPr>
              <w:spacing w:line="312" w:lineRule="auto"/>
              <w:jc w:val="center"/>
              <w:rPr>
                <w:szCs w:val="21"/>
              </w:rPr>
            </w:pPr>
            <w:r>
              <w:rPr>
                <w:rFonts w:hint="eastAsia"/>
                <w:szCs w:val="21"/>
              </w:rPr>
              <w:t>3</w:t>
            </w:r>
          </w:p>
        </w:tc>
        <w:tc>
          <w:tcPr>
            <w:tcW w:w="1276" w:type="dxa"/>
            <w:tcBorders>
              <w:top w:val="single" w:color="auto" w:sz="4" w:space="0"/>
            </w:tcBorders>
            <w:vAlign w:val="center"/>
          </w:tcPr>
          <w:p>
            <w:pPr>
              <w:spacing w:line="312" w:lineRule="auto"/>
              <w:jc w:val="center"/>
              <w:rPr>
                <w:szCs w:val="21"/>
              </w:rPr>
            </w:pPr>
            <w:r>
              <w:rPr>
                <w:szCs w:val="21"/>
              </w:rPr>
              <w:t>32-C-201</w:t>
            </w:r>
          </w:p>
        </w:tc>
        <w:tc>
          <w:tcPr>
            <w:tcW w:w="2268" w:type="dxa"/>
            <w:tcBorders>
              <w:top w:val="single" w:color="auto" w:sz="4" w:space="0"/>
            </w:tcBorders>
            <w:vAlign w:val="center"/>
          </w:tcPr>
          <w:p>
            <w:pPr>
              <w:spacing w:line="312" w:lineRule="auto"/>
              <w:jc w:val="center"/>
              <w:rPr>
                <w:szCs w:val="21"/>
              </w:rPr>
            </w:pPr>
            <w:r>
              <w:rPr>
                <w:rFonts w:hint="eastAsia"/>
                <w:szCs w:val="21"/>
              </w:rPr>
              <w:t>重整油分馏塔</w:t>
            </w:r>
          </w:p>
        </w:tc>
        <w:tc>
          <w:tcPr>
            <w:tcW w:w="1134" w:type="dxa"/>
            <w:tcBorders>
              <w:top w:val="single" w:color="auto" w:sz="4" w:space="0"/>
            </w:tcBorders>
            <w:vAlign w:val="center"/>
          </w:tcPr>
          <w:p>
            <w:pPr>
              <w:spacing w:line="312" w:lineRule="auto"/>
              <w:jc w:val="center"/>
              <w:rPr>
                <w:szCs w:val="21"/>
              </w:rPr>
            </w:pPr>
            <w:r>
              <w:rPr>
                <w:szCs w:val="21"/>
              </w:rPr>
              <w:t>合格</w:t>
            </w:r>
          </w:p>
        </w:tc>
        <w:tc>
          <w:tcPr>
            <w:tcW w:w="3345" w:type="dxa"/>
            <w:tcBorders>
              <w:top w:val="single" w:color="auto" w:sz="4" w:space="0"/>
            </w:tcBorders>
            <w:vAlign w:val="center"/>
          </w:tcPr>
          <w:p>
            <w:pPr>
              <w:spacing w:line="240" w:lineRule="atLeast"/>
              <w:rPr>
                <w:szCs w:val="21"/>
                <w:lang w:eastAsia="zh-CN"/>
              </w:rPr>
            </w:pPr>
            <w:r>
              <w:rPr>
                <w:rFonts w:hint="eastAsia"/>
                <w:szCs w:val="21"/>
                <w:lang w:eastAsia="zh-CN"/>
              </w:rPr>
              <w:t>1.基础环板不合格（36&lt;44.5326mm）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op w:val="single" w:color="auto" w:sz="4" w:space="0"/>
            </w:tcBorders>
            <w:vAlign w:val="center"/>
          </w:tcPr>
          <w:p>
            <w:pPr>
              <w:spacing w:line="312" w:lineRule="auto"/>
              <w:jc w:val="center"/>
              <w:rPr>
                <w:szCs w:val="21"/>
              </w:rPr>
            </w:pPr>
            <w:r>
              <w:rPr>
                <w:rFonts w:hint="eastAsia"/>
                <w:szCs w:val="21"/>
              </w:rPr>
              <w:t>4</w:t>
            </w:r>
          </w:p>
        </w:tc>
        <w:tc>
          <w:tcPr>
            <w:tcW w:w="1276" w:type="dxa"/>
            <w:tcBorders>
              <w:top w:val="single" w:color="auto" w:sz="4" w:space="0"/>
            </w:tcBorders>
            <w:vAlign w:val="center"/>
          </w:tcPr>
          <w:p>
            <w:pPr>
              <w:spacing w:line="312" w:lineRule="auto"/>
              <w:jc w:val="center"/>
              <w:rPr>
                <w:szCs w:val="21"/>
              </w:rPr>
            </w:pPr>
            <w:r>
              <w:rPr>
                <w:szCs w:val="21"/>
              </w:rPr>
              <w:t>41-C-101</w:t>
            </w:r>
          </w:p>
        </w:tc>
        <w:tc>
          <w:tcPr>
            <w:tcW w:w="2268" w:type="dxa"/>
            <w:tcBorders>
              <w:top w:val="single" w:color="auto" w:sz="4" w:space="0"/>
            </w:tcBorders>
            <w:vAlign w:val="center"/>
          </w:tcPr>
          <w:p>
            <w:pPr>
              <w:spacing w:line="312" w:lineRule="auto"/>
              <w:jc w:val="center"/>
              <w:rPr>
                <w:szCs w:val="21"/>
              </w:rPr>
            </w:pPr>
            <w:r>
              <w:rPr>
                <w:rFonts w:hint="eastAsia"/>
                <w:szCs w:val="21"/>
              </w:rPr>
              <w:t>二甲苯再蒸馏塔</w:t>
            </w:r>
          </w:p>
        </w:tc>
        <w:tc>
          <w:tcPr>
            <w:tcW w:w="1134" w:type="dxa"/>
            <w:tcBorders>
              <w:top w:val="single" w:color="auto" w:sz="4" w:space="0"/>
            </w:tcBorders>
            <w:vAlign w:val="center"/>
          </w:tcPr>
          <w:p>
            <w:pPr>
              <w:spacing w:line="312" w:lineRule="auto"/>
              <w:jc w:val="center"/>
              <w:rPr>
                <w:szCs w:val="21"/>
              </w:rPr>
            </w:pPr>
            <w:r>
              <w:rPr>
                <w:szCs w:val="21"/>
              </w:rPr>
              <w:t>合格</w:t>
            </w:r>
          </w:p>
        </w:tc>
        <w:tc>
          <w:tcPr>
            <w:tcW w:w="3345" w:type="dxa"/>
            <w:tcBorders>
              <w:top w:val="single" w:color="auto" w:sz="4" w:space="0"/>
            </w:tcBorders>
            <w:vAlign w:val="center"/>
          </w:tcPr>
          <w:p>
            <w:pPr>
              <w:spacing w:line="240" w:lineRule="atLeast"/>
              <w:rPr>
                <w:szCs w:val="21"/>
              </w:rPr>
            </w:pPr>
            <w:r>
              <w:rPr>
                <w:rFonts w:hint="eastAsia"/>
                <w:szCs w:val="21"/>
              </w:rPr>
              <w:t>1.盖板不合格（147MPa&lt;446.7MPa）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op w:val="single" w:color="auto" w:sz="4" w:space="0"/>
            </w:tcBorders>
            <w:vAlign w:val="center"/>
          </w:tcPr>
          <w:p>
            <w:pPr>
              <w:spacing w:line="312" w:lineRule="auto"/>
              <w:jc w:val="center"/>
              <w:rPr>
                <w:szCs w:val="21"/>
              </w:rPr>
            </w:pPr>
            <w:r>
              <w:rPr>
                <w:rFonts w:hint="eastAsia"/>
                <w:szCs w:val="21"/>
              </w:rPr>
              <w:t>5</w:t>
            </w:r>
          </w:p>
        </w:tc>
        <w:tc>
          <w:tcPr>
            <w:tcW w:w="1276" w:type="dxa"/>
            <w:tcBorders>
              <w:top w:val="single" w:color="auto" w:sz="4" w:space="0"/>
            </w:tcBorders>
            <w:vAlign w:val="center"/>
          </w:tcPr>
          <w:p>
            <w:pPr>
              <w:spacing w:line="312" w:lineRule="auto"/>
              <w:jc w:val="center"/>
              <w:rPr>
                <w:szCs w:val="21"/>
              </w:rPr>
            </w:pPr>
            <w:r>
              <w:rPr>
                <w:szCs w:val="21"/>
              </w:rPr>
              <w:t>43-C-101</w:t>
            </w:r>
          </w:p>
        </w:tc>
        <w:tc>
          <w:tcPr>
            <w:tcW w:w="2268" w:type="dxa"/>
            <w:tcBorders>
              <w:top w:val="single" w:color="auto" w:sz="4" w:space="0"/>
            </w:tcBorders>
            <w:vAlign w:val="center"/>
          </w:tcPr>
          <w:p>
            <w:pPr>
              <w:spacing w:line="312" w:lineRule="auto"/>
              <w:jc w:val="center"/>
              <w:rPr>
                <w:szCs w:val="21"/>
              </w:rPr>
            </w:pPr>
            <w:r>
              <w:rPr>
                <w:rFonts w:hint="eastAsia"/>
                <w:szCs w:val="21"/>
              </w:rPr>
              <w:t>二甲苯再蒸馏塔</w:t>
            </w:r>
          </w:p>
        </w:tc>
        <w:tc>
          <w:tcPr>
            <w:tcW w:w="1134" w:type="dxa"/>
            <w:tcBorders>
              <w:top w:val="single" w:color="auto" w:sz="4" w:space="0"/>
            </w:tcBorders>
            <w:vAlign w:val="center"/>
          </w:tcPr>
          <w:p>
            <w:pPr>
              <w:spacing w:line="312" w:lineRule="auto"/>
              <w:jc w:val="center"/>
              <w:rPr>
                <w:szCs w:val="21"/>
              </w:rPr>
            </w:pPr>
            <w:r>
              <w:rPr>
                <w:szCs w:val="21"/>
              </w:rPr>
              <w:t>合格</w:t>
            </w:r>
          </w:p>
        </w:tc>
        <w:tc>
          <w:tcPr>
            <w:tcW w:w="3345" w:type="dxa"/>
            <w:tcBorders>
              <w:top w:val="single" w:color="auto" w:sz="4" w:space="0"/>
            </w:tcBorders>
            <w:vAlign w:val="center"/>
          </w:tcPr>
          <w:p>
            <w:pPr>
              <w:spacing w:line="240" w:lineRule="atLeast"/>
              <w:rPr>
                <w:szCs w:val="21"/>
              </w:rPr>
            </w:pPr>
            <w:r>
              <w:rPr>
                <w:rFonts w:hint="eastAsia"/>
                <w:szCs w:val="21"/>
              </w:rPr>
              <w:t>1.盖板不合格（147MPa&lt;446.7MPa）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op w:val="single" w:color="auto" w:sz="4" w:space="0"/>
            </w:tcBorders>
            <w:vAlign w:val="center"/>
          </w:tcPr>
          <w:p>
            <w:pPr>
              <w:spacing w:line="312" w:lineRule="auto"/>
              <w:jc w:val="center"/>
              <w:rPr>
                <w:szCs w:val="21"/>
              </w:rPr>
            </w:pPr>
            <w:r>
              <w:rPr>
                <w:rFonts w:hint="eastAsia"/>
                <w:szCs w:val="21"/>
              </w:rPr>
              <w:t>6</w:t>
            </w:r>
          </w:p>
        </w:tc>
        <w:tc>
          <w:tcPr>
            <w:tcW w:w="1276" w:type="dxa"/>
            <w:tcBorders>
              <w:top w:val="single" w:color="auto" w:sz="4" w:space="0"/>
            </w:tcBorders>
            <w:vAlign w:val="center"/>
          </w:tcPr>
          <w:p>
            <w:pPr>
              <w:spacing w:line="312" w:lineRule="auto"/>
              <w:jc w:val="center"/>
              <w:rPr>
                <w:szCs w:val="21"/>
              </w:rPr>
            </w:pPr>
            <w:r>
              <w:rPr>
                <w:szCs w:val="21"/>
              </w:rPr>
              <w:t>21-D-301</w:t>
            </w:r>
          </w:p>
        </w:tc>
        <w:tc>
          <w:tcPr>
            <w:tcW w:w="2268" w:type="dxa"/>
            <w:tcBorders>
              <w:top w:val="single" w:color="auto" w:sz="4" w:space="0"/>
            </w:tcBorders>
            <w:vAlign w:val="center"/>
          </w:tcPr>
          <w:p>
            <w:pPr>
              <w:spacing w:line="312" w:lineRule="auto"/>
              <w:jc w:val="center"/>
              <w:rPr>
                <w:szCs w:val="21"/>
              </w:rPr>
            </w:pPr>
            <w:r>
              <w:rPr>
                <w:rFonts w:hint="eastAsia"/>
                <w:szCs w:val="21"/>
              </w:rPr>
              <w:t>二阶段原料油缓冲罐</w:t>
            </w:r>
          </w:p>
        </w:tc>
        <w:tc>
          <w:tcPr>
            <w:tcW w:w="1134" w:type="dxa"/>
            <w:tcBorders>
              <w:top w:val="single" w:color="auto" w:sz="4" w:space="0"/>
            </w:tcBorders>
            <w:vAlign w:val="center"/>
          </w:tcPr>
          <w:p>
            <w:pPr>
              <w:spacing w:line="312" w:lineRule="auto"/>
              <w:jc w:val="center"/>
              <w:rPr>
                <w:szCs w:val="21"/>
              </w:rPr>
            </w:pPr>
            <w:r>
              <w:rPr>
                <w:szCs w:val="21"/>
              </w:rPr>
              <w:t>合格</w:t>
            </w:r>
          </w:p>
        </w:tc>
        <w:tc>
          <w:tcPr>
            <w:tcW w:w="3345" w:type="dxa"/>
            <w:tcBorders>
              <w:top w:val="single" w:color="auto" w:sz="4" w:space="0"/>
            </w:tcBorders>
            <w:vAlign w:val="center"/>
          </w:tcPr>
          <w:p>
            <w:pPr>
              <w:spacing w:line="240" w:lineRule="atLeast"/>
              <w:rPr>
                <w:spacing w:val="-10"/>
                <w:szCs w:val="21"/>
              </w:rPr>
            </w:pPr>
            <w:r>
              <w:rPr>
                <w:rFonts w:hint="eastAsia"/>
                <w:szCs w:val="21"/>
              </w:rPr>
              <w:t>1.盖板不合格（170MPa&lt;225.456MPa）</w:t>
            </w:r>
          </w:p>
        </w:tc>
      </w:tr>
    </w:tbl>
    <w:p>
      <w:pPr>
        <w:pStyle w:val="13"/>
        <w:pBdr>
          <w:bottom w:val="none" w:color="auto" w:sz="0" w:space="0"/>
        </w:pBdr>
        <w:spacing w:beforeLines="50" w:afterLines="50" w:line="312" w:lineRule="auto"/>
        <w:jc w:val="left"/>
        <w:outlineLvl w:val="0"/>
        <w:rPr>
          <w:bCs/>
          <w:sz w:val="24"/>
          <w:szCs w:val="24"/>
          <w:lang w:eastAsia="zh-CN"/>
        </w:rPr>
      </w:pPr>
      <w:r>
        <w:rPr>
          <w:rFonts w:hint="eastAsia"/>
          <w:bCs/>
          <w:sz w:val="24"/>
          <w:szCs w:val="24"/>
          <w:lang w:eastAsia="zh-CN"/>
        </w:rPr>
        <w:t>2 需定期进行宏观检查的塔器（有条件应力计算合格的31台塔器明细）</w:t>
      </w:r>
    </w:p>
    <w:tbl>
      <w:tblPr>
        <w:tblStyle w:val="18"/>
        <w:tblW w:w="8556"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3"/>
        <w:gridCol w:w="2363"/>
        <w:gridCol w:w="2508"/>
        <w:gridCol w:w="2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tcBorders>
              <w:top w:val="single" w:color="auto" w:sz="12" w:space="0"/>
              <w:bottom w:val="single" w:color="auto" w:sz="12" w:space="0"/>
            </w:tcBorders>
            <w:vAlign w:val="center"/>
          </w:tcPr>
          <w:p>
            <w:pPr>
              <w:spacing w:line="312" w:lineRule="auto"/>
              <w:jc w:val="center"/>
              <w:rPr>
                <w:szCs w:val="21"/>
              </w:rPr>
            </w:pPr>
            <w:r>
              <w:rPr>
                <w:rFonts w:hint="eastAsia"/>
                <w:szCs w:val="21"/>
              </w:rPr>
              <w:t>序号</w:t>
            </w:r>
          </w:p>
        </w:tc>
        <w:tc>
          <w:tcPr>
            <w:tcW w:w="2363" w:type="dxa"/>
            <w:tcBorders>
              <w:top w:val="single" w:color="auto" w:sz="12" w:space="0"/>
              <w:bottom w:val="single" w:color="auto" w:sz="12" w:space="0"/>
            </w:tcBorders>
            <w:vAlign w:val="center"/>
          </w:tcPr>
          <w:p>
            <w:pPr>
              <w:spacing w:line="312" w:lineRule="auto"/>
              <w:jc w:val="center"/>
              <w:rPr>
                <w:szCs w:val="21"/>
              </w:rPr>
            </w:pPr>
            <w:r>
              <w:rPr>
                <w:rFonts w:hint="eastAsia"/>
                <w:szCs w:val="21"/>
              </w:rPr>
              <w:t>位号</w:t>
            </w:r>
          </w:p>
        </w:tc>
        <w:tc>
          <w:tcPr>
            <w:tcW w:w="2508" w:type="dxa"/>
            <w:tcBorders>
              <w:top w:val="single" w:color="auto" w:sz="12" w:space="0"/>
              <w:bottom w:val="single" w:color="auto" w:sz="12" w:space="0"/>
            </w:tcBorders>
            <w:vAlign w:val="center"/>
          </w:tcPr>
          <w:p>
            <w:pPr>
              <w:spacing w:line="312" w:lineRule="auto"/>
              <w:jc w:val="center"/>
              <w:rPr>
                <w:szCs w:val="21"/>
              </w:rPr>
            </w:pPr>
            <w:r>
              <w:rPr>
                <w:rFonts w:hint="eastAsia"/>
                <w:szCs w:val="21"/>
              </w:rPr>
              <w:t>设备名称</w:t>
            </w:r>
          </w:p>
        </w:tc>
        <w:tc>
          <w:tcPr>
            <w:tcW w:w="2782" w:type="dxa"/>
            <w:tcBorders>
              <w:top w:val="single" w:color="auto" w:sz="12" w:space="0"/>
              <w:bottom w:val="single" w:color="auto" w:sz="12" w:space="0"/>
            </w:tcBorders>
            <w:vAlign w:val="center"/>
          </w:tcPr>
          <w:p>
            <w:pPr>
              <w:spacing w:line="312" w:lineRule="auto"/>
              <w:jc w:val="center"/>
              <w:rPr>
                <w:szCs w:val="21"/>
              </w:rPr>
            </w:pPr>
            <w:r>
              <w:rPr>
                <w:rFonts w:hint="eastAsia"/>
                <w:szCs w:val="21"/>
              </w:rPr>
              <w:t>分析结果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1</w:t>
            </w:r>
          </w:p>
        </w:tc>
        <w:tc>
          <w:tcPr>
            <w:tcW w:w="2363" w:type="dxa"/>
            <w:vAlign w:val="center"/>
          </w:tcPr>
          <w:p>
            <w:pPr>
              <w:spacing w:line="312" w:lineRule="auto"/>
              <w:jc w:val="center"/>
              <w:rPr>
                <w:szCs w:val="21"/>
              </w:rPr>
            </w:pPr>
            <w:r>
              <w:rPr>
                <w:szCs w:val="21"/>
              </w:rPr>
              <w:t>13-C-351</w:t>
            </w:r>
          </w:p>
        </w:tc>
        <w:tc>
          <w:tcPr>
            <w:tcW w:w="2508" w:type="dxa"/>
            <w:vAlign w:val="center"/>
          </w:tcPr>
          <w:p>
            <w:pPr>
              <w:spacing w:line="312" w:lineRule="auto"/>
              <w:jc w:val="center"/>
              <w:rPr>
                <w:szCs w:val="21"/>
              </w:rPr>
            </w:pPr>
            <w:r>
              <w:rPr>
                <w:rFonts w:hint="eastAsia"/>
                <w:szCs w:val="21"/>
              </w:rPr>
              <w:t>轻烃吸收塔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2</w:t>
            </w:r>
          </w:p>
        </w:tc>
        <w:tc>
          <w:tcPr>
            <w:tcW w:w="2363" w:type="dxa"/>
            <w:vAlign w:val="center"/>
          </w:tcPr>
          <w:p>
            <w:pPr>
              <w:spacing w:line="312" w:lineRule="auto"/>
              <w:jc w:val="center"/>
              <w:rPr>
                <w:szCs w:val="21"/>
              </w:rPr>
            </w:pPr>
            <w:r>
              <w:rPr>
                <w:szCs w:val="21"/>
              </w:rPr>
              <w:t>13-C-361</w:t>
            </w:r>
          </w:p>
        </w:tc>
        <w:tc>
          <w:tcPr>
            <w:tcW w:w="2508" w:type="dxa"/>
            <w:vAlign w:val="center"/>
          </w:tcPr>
          <w:p>
            <w:pPr>
              <w:spacing w:line="312" w:lineRule="auto"/>
              <w:jc w:val="center"/>
              <w:rPr>
                <w:szCs w:val="21"/>
              </w:rPr>
            </w:pPr>
            <w:r>
              <w:rPr>
                <w:rFonts w:hint="eastAsia"/>
                <w:szCs w:val="21"/>
              </w:rPr>
              <w:t>胺吸收塔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3</w:t>
            </w:r>
          </w:p>
        </w:tc>
        <w:tc>
          <w:tcPr>
            <w:tcW w:w="2363" w:type="dxa"/>
            <w:vAlign w:val="center"/>
          </w:tcPr>
          <w:p>
            <w:pPr>
              <w:spacing w:line="312" w:lineRule="auto"/>
              <w:jc w:val="center"/>
              <w:rPr>
                <w:szCs w:val="21"/>
              </w:rPr>
            </w:pPr>
            <w:r>
              <w:rPr>
                <w:szCs w:val="21"/>
              </w:rPr>
              <w:t>16-C-101</w:t>
            </w:r>
          </w:p>
        </w:tc>
        <w:tc>
          <w:tcPr>
            <w:tcW w:w="2508" w:type="dxa"/>
            <w:vAlign w:val="center"/>
          </w:tcPr>
          <w:p>
            <w:pPr>
              <w:spacing w:line="312" w:lineRule="auto"/>
              <w:jc w:val="center"/>
              <w:rPr>
                <w:szCs w:val="21"/>
              </w:rPr>
            </w:pPr>
            <w:r>
              <w:rPr>
                <w:rFonts w:hint="eastAsia"/>
                <w:szCs w:val="21"/>
              </w:rPr>
              <w:t>液硫脱气塔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4</w:t>
            </w:r>
          </w:p>
        </w:tc>
        <w:tc>
          <w:tcPr>
            <w:tcW w:w="2363" w:type="dxa"/>
            <w:vAlign w:val="center"/>
          </w:tcPr>
          <w:p>
            <w:pPr>
              <w:spacing w:line="312" w:lineRule="auto"/>
              <w:jc w:val="center"/>
              <w:rPr>
                <w:szCs w:val="21"/>
              </w:rPr>
            </w:pPr>
            <w:r>
              <w:rPr>
                <w:szCs w:val="21"/>
              </w:rPr>
              <w:t>16-C-201</w:t>
            </w:r>
          </w:p>
        </w:tc>
        <w:tc>
          <w:tcPr>
            <w:tcW w:w="2508" w:type="dxa"/>
            <w:vAlign w:val="center"/>
          </w:tcPr>
          <w:p>
            <w:pPr>
              <w:spacing w:line="312" w:lineRule="auto"/>
              <w:jc w:val="center"/>
              <w:rPr>
                <w:szCs w:val="21"/>
              </w:rPr>
            </w:pPr>
            <w:r>
              <w:rPr>
                <w:rFonts w:hint="eastAsia"/>
                <w:szCs w:val="21"/>
              </w:rPr>
              <w:t>液硫脱气塔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5</w:t>
            </w:r>
          </w:p>
        </w:tc>
        <w:tc>
          <w:tcPr>
            <w:tcW w:w="2363" w:type="dxa"/>
            <w:vAlign w:val="center"/>
          </w:tcPr>
          <w:p>
            <w:pPr>
              <w:spacing w:line="312" w:lineRule="auto"/>
              <w:jc w:val="center"/>
              <w:rPr>
                <w:szCs w:val="21"/>
              </w:rPr>
            </w:pPr>
            <w:r>
              <w:rPr>
                <w:szCs w:val="21"/>
              </w:rPr>
              <w:t>16-C-302</w:t>
            </w:r>
          </w:p>
        </w:tc>
        <w:tc>
          <w:tcPr>
            <w:tcW w:w="2508" w:type="dxa"/>
            <w:vAlign w:val="center"/>
          </w:tcPr>
          <w:p>
            <w:pPr>
              <w:spacing w:line="312" w:lineRule="auto"/>
              <w:jc w:val="center"/>
              <w:rPr>
                <w:szCs w:val="21"/>
              </w:rPr>
            </w:pPr>
            <w:r>
              <w:rPr>
                <w:rFonts w:hint="eastAsia"/>
                <w:szCs w:val="21"/>
              </w:rPr>
              <w:t>尾气吸收塔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6</w:t>
            </w:r>
          </w:p>
        </w:tc>
        <w:tc>
          <w:tcPr>
            <w:tcW w:w="2363" w:type="dxa"/>
            <w:vAlign w:val="center"/>
          </w:tcPr>
          <w:p>
            <w:pPr>
              <w:spacing w:line="312" w:lineRule="auto"/>
              <w:jc w:val="center"/>
              <w:rPr>
                <w:szCs w:val="21"/>
              </w:rPr>
            </w:pPr>
            <w:r>
              <w:rPr>
                <w:szCs w:val="21"/>
              </w:rPr>
              <w:t>31-C-101</w:t>
            </w:r>
          </w:p>
        </w:tc>
        <w:tc>
          <w:tcPr>
            <w:tcW w:w="2508" w:type="dxa"/>
            <w:vAlign w:val="center"/>
          </w:tcPr>
          <w:p>
            <w:pPr>
              <w:spacing w:line="312" w:lineRule="auto"/>
              <w:jc w:val="center"/>
              <w:rPr>
                <w:szCs w:val="21"/>
              </w:rPr>
            </w:pPr>
            <w:r>
              <w:rPr>
                <w:rFonts w:hint="eastAsia"/>
                <w:szCs w:val="21"/>
              </w:rPr>
              <w:t>汽提塔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7</w:t>
            </w:r>
          </w:p>
        </w:tc>
        <w:tc>
          <w:tcPr>
            <w:tcW w:w="2363" w:type="dxa"/>
            <w:vAlign w:val="center"/>
          </w:tcPr>
          <w:p>
            <w:pPr>
              <w:spacing w:line="312" w:lineRule="auto"/>
              <w:jc w:val="center"/>
              <w:rPr>
                <w:szCs w:val="21"/>
              </w:rPr>
            </w:pPr>
            <w:r>
              <w:rPr>
                <w:szCs w:val="21"/>
              </w:rPr>
              <w:t>32-R-101</w:t>
            </w:r>
          </w:p>
        </w:tc>
        <w:tc>
          <w:tcPr>
            <w:tcW w:w="2508" w:type="dxa"/>
            <w:vAlign w:val="center"/>
          </w:tcPr>
          <w:p>
            <w:pPr>
              <w:spacing w:line="312" w:lineRule="auto"/>
              <w:jc w:val="center"/>
              <w:rPr>
                <w:szCs w:val="21"/>
              </w:rPr>
            </w:pPr>
            <w:r>
              <w:rPr>
                <w:rFonts w:hint="eastAsia"/>
                <w:szCs w:val="21"/>
              </w:rPr>
              <w:t>重整第一反应器</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8</w:t>
            </w:r>
          </w:p>
        </w:tc>
        <w:tc>
          <w:tcPr>
            <w:tcW w:w="2363" w:type="dxa"/>
            <w:vAlign w:val="center"/>
          </w:tcPr>
          <w:p>
            <w:pPr>
              <w:spacing w:line="312" w:lineRule="auto"/>
              <w:jc w:val="center"/>
              <w:rPr>
                <w:szCs w:val="21"/>
              </w:rPr>
            </w:pPr>
            <w:r>
              <w:rPr>
                <w:szCs w:val="21"/>
              </w:rPr>
              <w:t>32-R-102</w:t>
            </w:r>
          </w:p>
        </w:tc>
        <w:tc>
          <w:tcPr>
            <w:tcW w:w="2508" w:type="dxa"/>
            <w:vAlign w:val="center"/>
          </w:tcPr>
          <w:p>
            <w:pPr>
              <w:spacing w:line="312" w:lineRule="auto"/>
              <w:jc w:val="center"/>
              <w:rPr>
                <w:szCs w:val="21"/>
              </w:rPr>
            </w:pPr>
            <w:r>
              <w:rPr>
                <w:rFonts w:hint="eastAsia"/>
                <w:szCs w:val="21"/>
              </w:rPr>
              <w:t>重整第二反应器</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9</w:t>
            </w:r>
          </w:p>
        </w:tc>
        <w:tc>
          <w:tcPr>
            <w:tcW w:w="2363" w:type="dxa"/>
            <w:vAlign w:val="center"/>
          </w:tcPr>
          <w:p>
            <w:pPr>
              <w:spacing w:line="312" w:lineRule="auto"/>
              <w:jc w:val="center"/>
              <w:rPr>
                <w:szCs w:val="21"/>
              </w:rPr>
            </w:pPr>
            <w:r>
              <w:rPr>
                <w:szCs w:val="21"/>
              </w:rPr>
              <w:t>32-R-103</w:t>
            </w:r>
          </w:p>
        </w:tc>
        <w:tc>
          <w:tcPr>
            <w:tcW w:w="2508" w:type="dxa"/>
            <w:vAlign w:val="center"/>
          </w:tcPr>
          <w:p>
            <w:pPr>
              <w:spacing w:line="312" w:lineRule="auto"/>
              <w:jc w:val="center"/>
              <w:rPr>
                <w:szCs w:val="21"/>
              </w:rPr>
            </w:pPr>
            <w:r>
              <w:rPr>
                <w:rFonts w:hint="eastAsia"/>
                <w:szCs w:val="21"/>
              </w:rPr>
              <w:t>重整第三反应器</w:t>
            </w:r>
          </w:p>
        </w:tc>
        <w:tc>
          <w:tcPr>
            <w:tcW w:w="2782" w:type="dxa"/>
            <w:vAlign w:val="center"/>
          </w:tcPr>
          <w:p>
            <w:pPr>
              <w:spacing w:line="312" w:lineRule="auto"/>
              <w:jc w:val="center"/>
              <w:rPr>
                <w:szCs w:val="21"/>
              </w:rPr>
            </w:pPr>
            <w:r>
              <w:rPr>
                <w:rFonts w:hint="eastAsia"/>
                <w:szCs w:val="21"/>
              </w:rPr>
              <w:t>合格</w:t>
            </w:r>
          </w:p>
        </w:tc>
      </w:tr>
      <w:tr>
        <w:tblPrEx>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10</w:t>
            </w:r>
          </w:p>
        </w:tc>
        <w:tc>
          <w:tcPr>
            <w:tcW w:w="2363" w:type="dxa"/>
            <w:vAlign w:val="center"/>
          </w:tcPr>
          <w:p>
            <w:pPr>
              <w:spacing w:line="312" w:lineRule="auto"/>
              <w:jc w:val="center"/>
              <w:rPr>
                <w:szCs w:val="21"/>
              </w:rPr>
            </w:pPr>
            <w:r>
              <w:rPr>
                <w:szCs w:val="21"/>
              </w:rPr>
              <w:t>32-R-104</w:t>
            </w:r>
          </w:p>
        </w:tc>
        <w:tc>
          <w:tcPr>
            <w:tcW w:w="2508" w:type="dxa"/>
            <w:vAlign w:val="center"/>
          </w:tcPr>
          <w:p>
            <w:pPr>
              <w:spacing w:line="312" w:lineRule="auto"/>
              <w:jc w:val="center"/>
              <w:rPr>
                <w:szCs w:val="21"/>
              </w:rPr>
            </w:pPr>
            <w:r>
              <w:rPr>
                <w:rFonts w:hint="eastAsia"/>
                <w:szCs w:val="21"/>
              </w:rPr>
              <w:t>重整第四反应器</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11</w:t>
            </w:r>
          </w:p>
        </w:tc>
        <w:tc>
          <w:tcPr>
            <w:tcW w:w="2363" w:type="dxa"/>
            <w:vAlign w:val="center"/>
          </w:tcPr>
          <w:p>
            <w:pPr>
              <w:spacing w:line="312" w:lineRule="auto"/>
              <w:jc w:val="center"/>
              <w:rPr>
                <w:szCs w:val="21"/>
              </w:rPr>
            </w:pPr>
            <w:r>
              <w:rPr>
                <w:szCs w:val="21"/>
              </w:rPr>
              <w:t>42-C-102</w:t>
            </w:r>
          </w:p>
        </w:tc>
        <w:tc>
          <w:tcPr>
            <w:tcW w:w="2508" w:type="dxa"/>
            <w:vAlign w:val="center"/>
          </w:tcPr>
          <w:p>
            <w:pPr>
              <w:spacing w:line="312" w:lineRule="auto"/>
              <w:jc w:val="center"/>
              <w:rPr>
                <w:szCs w:val="21"/>
              </w:rPr>
            </w:pPr>
            <w:r>
              <w:rPr>
                <w:rFonts w:hint="eastAsia"/>
                <w:szCs w:val="21"/>
              </w:rPr>
              <w:t>成品塔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12</w:t>
            </w:r>
          </w:p>
        </w:tc>
        <w:tc>
          <w:tcPr>
            <w:tcW w:w="2363" w:type="dxa"/>
            <w:vAlign w:val="center"/>
          </w:tcPr>
          <w:p>
            <w:pPr>
              <w:spacing w:line="312" w:lineRule="auto"/>
              <w:jc w:val="center"/>
              <w:rPr>
                <w:szCs w:val="21"/>
              </w:rPr>
            </w:pPr>
            <w:r>
              <w:rPr>
                <w:szCs w:val="21"/>
              </w:rPr>
              <w:t>36-C-</w:t>
            </w:r>
            <w:r>
              <w:rPr>
                <w:rFonts w:hint="eastAsia"/>
                <w:szCs w:val="21"/>
              </w:rPr>
              <w:t>1</w:t>
            </w:r>
            <w:r>
              <w:rPr>
                <w:szCs w:val="21"/>
              </w:rPr>
              <w:t>02</w:t>
            </w:r>
          </w:p>
        </w:tc>
        <w:tc>
          <w:tcPr>
            <w:tcW w:w="2508" w:type="dxa"/>
            <w:vAlign w:val="center"/>
          </w:tcPr>
          <w:p>
            <w:pPr>
              <w:spacing w:line="312" w:lineRule="auto"/>
              <w:jc w:val="center"/>
              <w:rPr>
                <w:szCs w:val="21"/>
              </w:rPr>
            </w:pPr>
            <w:r>
              <w:rPr>
                <w:rFonts w:hint="eastAsia"/>
                <w:szCs w:val="21"/>
              </w:rPr>
              <w:t>回收塔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13</w:t>
            </w:r>
          </w:p>
        </w:tc>
        <w:tc>
          <w:tcPr>
            <w:tcW w:w="2363" w:type="dxa"/>
            <w:vAlign w:val="center"/>
          </w:tcPr>
          <w:p>
            <w:pPr>
              <w:spacing w:line="312" w:lineRule="auto"/>
              <w:jc w:val="center"/>
              <w:rPr>
                <w:szCs w:val="21"/>
              </w:rPr>
            </w:pPr>
            <w:r>
              <w:rPr>
                <w:szCs w:val="21"/>
              </w:rPr>
              <w:t>37-C-102</w:t>
            </w:r>
          </w:p>
        </w:tc>
        <w:tc>
          <w:tcPr>
            <w:tcW w:w="2508" w:type="dxa"/>
            <w:vAlign w:val="center"/>
          </w:tcPr>
          <w:p>
            <w:pPr>
              <w:spacing w:line="312" w:lineRule="auto"/>
              <w:jc w:val="center"/>
              <w:rPr>
                <w:szCs w:val="21"/>
              </w:rPr>
            </w:pPr>
            <w:r>
              <w:rPr>
                <w:rFonts w:hint="eastAsia"/>
                <w:szCs w:val="21"/>
              </w:rPr>
              <w:t>甲苯塔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14</w:t>
            </w:r>
          </w:p>
        </w:tc>
        <w:tc>
          <w:tcPr>
            <w:tcW w:w="2363" w:type="dxa"/>
            <w:vAlign w:val="center"/>
          </w:tcPr>
          <w:p>
            <w:pPr>
              <w:spacing w:line="312" w:lineRule="auto"/>
              <w:jc w:val="center"/>
              <w:rPr>
                <w:szCs w:val="21"/>
              </w:rPr>
            </w:pPr>
            <w:r>
              <w:rPr>
                <w:szCs w:val="21"/>
              </w:rPr>
              <w:t>41-C-102B</w:t>
            </w:r>
          </w:p>
        </w:tc>
        <w:tc>
          <w:tcPr>
            <w:tcW w:w="2508" w:type="dxa"/>
            <w:vAlign w:val="center"/>
          </w:tcPr>
          <w:p>
            <w:pPr>
              <w:spacing w:line="312" w:lineRule="auto"/>
              <w:jc w:val="center"/>
              <w:rPr>
                <w:szCs w:val="21"/>
              </w:rPr>
            </w:pPr>
            <w:r>
              <w:rPr>
                <w:rFonts w:hint="eastAsia"/>
                <w:szCs w:val="21"/>
              </w:rPr>
              <w:t>二甲苯再蒸馏塔(下部)</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15</w:t>
            </w:r>
          </w:p>
        </w:tc>
        <w:tc>
          <w:tcPr>
            <w:tcW w:w="2363" w:type="dxa"/>
            <w:vAlign w:val="center"/>
          </w:tcPr>
          <w:p>
            <w:pPr>
              <w:spacing w:line="312" w:lineRule="auto"/>
              <w:jc w:val="center"/>
              <w:rPr>
                <w:szCs w:val="21"/>
              </w:rPr>
            </w:pPr>
            <w:r>
              <w:rPr>
                <w:szCs w:val="21"/>
              </w:rPr>
              <w:t>41-C-202</w:t>
            </w:r>
          </w:p>
        </w:tc>
        <w:tc>
          <w:tcPr>
            <w:tcW w:w="2508" w:type="dxa"/>
            <w:vAlign w:val="center"/>
          </w:tcPr>
          <w:p>
            <w:pPr>
              <w:spacing w:line="312" w:lineRule="auto"/>
              <w:jc w:val="center"/>
              <w:rPr>
                <w:szCs w:val="21"/>
              </w:rPr>
            </w:pPr>
            <w:r>
              <w:rPr>
                <w:rFonts w:hint="eastAsia"/>
                <w:szCs w:val="21"/>
              </w:rPr>
              <w:t>抽出液塔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16</w:t>
            </w:r>
          </w:p>
        </w:tc>
        <w:tc>
          <w:tcPr>
            <w:tcW w:w="2363" w:type="dxa"/>
            <w:vAlign w:val="center"/>
          </w:tcPr>
          <w:p>
            <w:pPr>
              <w:spacing w:line="312" w:lineRule="auto"/>
              <w:jc w:val="center"/>
              <w:rPr>
                <w:szCs w:val="21"/>
              </w:rPr>
            </w:pPr>
            <w:r>
              <w:rPr>
                <w:szCs w:val="21"/>
              </w:rPr>
              <w:t>41-C-204</w:t>
            </w:r>
          </w:p>
        </w:tc>
        <w:tc>
          <w:tcPr>
            <w:tcW w:w="2508" w:type="dxa"/>
            <w:vAlign w:val="center"/>
          </w:tcPr>
          <w:p>
            <w:pPr>
              <w:spacing w:line="312" w:lineRule="auto"/>
              <w:jc w:val="center"/>
              <w:rPr>
                <w:szCs w:val="21"/>
              </w:rPr>
            </w:pPr>
            <w:r>
              <w:rPr>
                <w:rFonts w:hint="eastAsia"/>
                <w:szCs w:val="21"/>
              </w:rPr>
              <w:t>抽余液塔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17</w:t>
            </w:r>
          </w:p>
        </w:tc>
        <w:tc>
          <w:tcPr>
            <w:tcW w:w="2363" w:type="dxa"/>
            <w:vAlign w:val="center"/>
          </w:tcPr>
          <w:p>
            <w:pPr>
              <w:spacing w:line="312" w:lineRule="auto"/>
              <w:jc w:val="center"/>
              <w:rPr>
                <w:szCs w:val="21"/>
              </w:rPr>
            </w:pPr>
            <w:r>
              <w:rPr>
                <w:szCs w:val="21"/>
              </w:rPr>
              <w:t>42-R-101</w:t>
            </w:r>
          </w:p>
        </w:tc>
        <w:tc>
          <w:tcPr>
            <w:tcW w:w="2508" w:type="dxa"/>
            <w:vAlign w:val="center"/>
          </w:tcPr>
          <w:p>
            <w:pPr>
              <w:spacing w:line="312" w:lineRule="auto"/>
              <w:jc w:val="center"/>
              <w:rPr>
                <w:szCs w:val="21"/>
              </w:rPr>
            </w:pPr>
            <w:r>
              <w:rPr>
                <w:rFonts w:hint="eastAsia"/>
                <w:szCs w:val="21"/>
              </w:rPr>
              <w:t>异构化反应器</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18</w:t>
            </w:r>
          </w:p>
        </w:tc>
        <w:tc>
          <w:tcPr>
            <w:tcW w:w="2363" w:type="dxa"/>
            <w:vAlign w:val="center"/>
          </w:tcPr>
          <w:p>
            <w:pPr>
              <w:spacing w:line="312" w:lineRule="auto"/>
              <w:jc w:val="center"/>
              <w:rPr>
                <w:szCs w:val="21"/>
              </w:rPr>
            </w:pPr>
            <w:r>
              <w:rPr>
                <w:szCs w:val="21"/>
              </w:rPr>
              <w:t>43-C-102B</w:t>
            </w:r>
          </w:p>
        </w:tc>
        <w:tc>
          <w:tcPr>
            <w:tcW w:w="2508" w:type="dxa"/>
            <w:vAlign w:val="center"/>
          </w:tcPr>
          <w:p>
            <w:pPr>
              <w:spacing w:line="312" w:lineRule="auto"/>
              <w:jc w:val="center"/>
              <w:rPr>
                <w:szCs w:val="21"/>
              </w:rPr>
            </w:pPr>
            <w:r>
              <w:rPr>
                <w:rFonts w:hint="eastAsia"/>
                <w:szCs w:val="21"/>
              </w:rPr>
              <w:t>二甲苯再蒸馏塔(下部)</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19</w:t>
            </w:r>
          </w:p>
        </w:tc>
        <w:tc>
          <w:tcPr>
            <w:tcW w:w="2363" w:type="dxa"/>
            <w:vAlign w:val="center"/>
          </w:tcPr>
          <w:p>
            <w:pPr>
              <w:spacing w:line="312" w:lineRule="auto"/>
              <w:jc w:val="center"/>
              <w:rPr>
                <w:szCs w:val="21"/>
              </w:rPr>
            </w:pPr>
            <w:r>
              <w:rPr>
                <w:szCs w:val="21"/>
              </w:rPr>
              <w:t>43-C-202</w:t>
            </w:r>
          </w:p>
        </w:tc>
        <w:tc>
          <w:tcPr>
            <w:tcW w:w="2508" w:type="dxa"/>
            <w:vAlign w:val="center"/>
          </w:tcPr>
          <w:p>
            <w:pPr>
              <w:spacing w:line="312" w:lineRule="auto"/>
              <w:jc w:val="center"/>
              <w:rPr>
                <w:szCs w:val="21"/>
              </w:rPr>
            </w:pPr>
            <w:r>
              <w:rPr>
                <w:rFonts w:hint="eastAsia"/>
                <w:szCs w:val="21"/>
              </w:rPr>
              <w:t>抽出液塔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20</w:t>
            </w:r>
          </w:p>
        </w:tc>
        <w:tc>
          <w:tcPr>
            <w:tcW w:w="2363" w:type="dxa"/>
            <w:vAlign w:val="center"/>
          </w:tcPr>
          <w:p>
            <w:pPr>
              <w:spacing w:line="312" w:lineRule="auto"/>
              <w:jc w:val="center"/>
              <w:rPr>
                <w:szCs w:val="21"/>
              </w:rPr>
            </w:pPr>
            <w:r>
              <w:rPr>
                <w:szCs w:val="21"/>
              </w:rPr>
              <w:t>43-C-204</w:t>
            </w:r>
          </w:p>
        </w:tc>
        <w:tc>
          <w:tcPr>
            <w:tcW w:w="2508" w:type="dxa"/>
            <w:vAlign w:val="center"/>
          </w:tcPr>
          <w:p>
            <w:pPr>
              <w:spacing w:line="312" w:lineRule="auto"/>
              <w:jc w:val="center"/>
              <w:rPr>
                <w:szCs w:val="21"/>
              </w:rPr>
            </w:pPr>
            <w:r>
              <w:rPr>
                <w:rFonts w:hint="eastAsia"/>
                <w:szCs w:val="21"/>
              </w:rPr>
              <w:t>抽余液塔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21</w:t>
            </w:r>
          </w:p>
        </w:tc>
        <w:tc>
          <w:tcPr>
            <w:tcW w:w="2363" w:type="dxa"/>
            <w:vAlign w:val="center"/>
          </w:tcPr>
          <w:p>
            <w:pPr>
              <w:spacing w:line="312" w:lineRule="auto"/>
              <w:jc w:val="center"/>
              <w:rPr>
                <w:szCs w:val="21"/>
              </w:rPr>
            </w:pPr>
            <w:r>
              <w:rPr>
                <w:szCs w:val="21"/>
              </w:rPr>
              <w:t>44-R-101</w:t>
            </w:r>
          </w:p>
        </w:tc>
        <w:tc>
          <w:tcPr>
            <w:tcW w:w="2508" w:type="dxa"/>
            <w:vAlign w:val="center"/>
          </w:tcPr>
          <w:p>
            <w:pPr>
              <w:spacing w:line="312" w:lineRule="auto"/>
              <w:jc w:val="center"/>
              <w:rPr>
                <w:szCs w:val="21"/>
              </w:rPr>
            </w:pPr>
            <w:r>
              <w:rPr>
                <w:rFonts w:hint="eastAsia"/>
                <w:szCs w:val="21"/>
              </w:rPr>
              <w:t>异构化反应器</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22</w:t>
            </w:r>
          </w:p>
        </w:tc>
        <w:tc>
          <w:tcPr>
            <w:tcW w:w="2363" w:type="dxa"/>
            <w:vAlign w:val="center"/>
          </w:tcPr>
          <w:p>
            <w:pPr>
              <w:spacing w:line="312" w:lineRule="auto"/>
              <w:jc w:val="center"/>
              <w:rPr>
                <w:szCs w:val="21"/>
              </w:rPr>
            </w:pPr>
            <w:r>
              <w:rPr>
                <w:szCs w:val="21"/>
              </w:rPr>
              <w:t>44-C-102</w:t>
            </w:r>
          </w:p>
        </w:tc>
        <w:tc>
          <w:tcPr>
            <w:tcW w:w="2508" w:type="dxa"/>
            <w:vAlign w:val="center"/>
          </w:tcPr>
          <w:p>
            <w:pPr>
              <w:spacing w:line="312" w:lineRule="auto"/>
              <w:jc w:val="center"/>
              <w:rPr>
                <w:szCs w:val="21"/>
              </w:rPr>
            </w:pPr>
            <w:r>
              <w:rPr>
                <w:rFonts w:hint="eastAsia"/>
                <w:szCs w:val="21"/>
              </w:rPr>
              <w:t>循环塔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23</w:t>
            </w:r>
          </w:p>
        </w:tc>
        <w:tc>
          <w:tcPr>
            <w:tcW w:w="2363" w:type="dxa"/>
            <w:vAlign w:val="center"/>
          </w:tcPr>
          <w:p>
            <w:pPr>
              <w:spacing w:line="312" w:lineRule="auto"/>
              <w:jc w:val="center"/>
              <w:rPr>
                <w:szCs w:val="21"/>
              </w:rPr>
            </w:pPr>
            <w:r>
              <w:rPr>
                <w:szCs w:val="21"/>
              </w:rPr>
              <w:t>21-C-402</w:t>
            </w:r>
          </w:p>
        </w:tc>
        <w:tc>
          <w:tcPr>
            <w:tcW w:w="2508" w:type="dxa"/>
            <w:vAlign w:val="center"/>
          </w:tcPr>
          <w:p>
            <w:pPr>
              <w:spacing w:line="312" w:lineRule="auto"/>
              <w:jc w:val="center"/>
              <w:rPr>
                <w:szCs w:val="21"/>
              </w:rPr>
            </w:pPr>
            <w:r>
              <w:rPr>
                <w:rFonts w:hint="eastAsia"/>
                <w:szCs w:val="21"/>
              </w:rPr>
              <w:t>脱乙烷塔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24</w:t>
            </w:r>
          </w:p>
        </w:tc>
        <w:tc>
          <w:tcPr>
            <w:tcW w:w="2363" w:type="dxa"/>
            <w:vAlign w:val="center"/>
          </w:tcPr>
          <w:p>
            <w:pPr>
              <w:spacing w:line="312" w:lineRule="auto"/>
              <w:jc w:val="center"/>
              <w:rPr>
                <w:szCs w:val="21"/>
              </w:rPr>
            </w:pPr>
            <w:r>
              <w:rPr>
                <w:szCs w:val="21"/>
              </w:rPr>
              <w:t>13-C-312</w:t>
            </w:r>
          </w:p>
        </w:tc>
        <w:tc>
          <w:tcPr>
            <w:tcW w:w="2508" w:type="dxa"/>
            <w:vAlign w:val="center"/>
          </w:tcPr>
          <w:p>
            <w:pPr>
              <w:spacing w:line="312" w:lineRule="auto"/>
              <w:jc w:val="center"/>
              <w:rPr>
                <w:szCs w:val="21"/>
                <w:lang w:eastAsia="zh-CN"/>
              </w:rPr>
            </w:pPr>
            <w:r>
              <w:rPr>
                <w:rFonts w:hint="eastAsia"/>
                <w:szCs w:val="21"/>
                <w:lang w:eastAsia="zh-CN"/>
              </w:rPr>
              <w:t>液化石油气脱硫化氢塔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rFonts w:eastAsiaTheme="minorEastAsia"/>
                <w:szCs w:val="21"/>
              </w:rPr>
            </w:pPr>
            <w:r>
              <w:rPr>
                <w:rFonts w:hint="eastAsia"/>
                <w:szCs w:val="21"/>
              </w:rPr>
              <w:t>25</w:t>
            </w:r>
          </w:p>
        </w:tc>
        <w:tc>
          <w:tcPr>
            <w:tcW w:w="2363" w:type="dxa"/>
            <w:vAlign w:val="center"/>
          </w:tcPr>
          <w:p>
            <w:pPr>
              <w:spacing w:line="312" w:lineRule="auto"/>
              <w:jc w:val="center"/>
              <w:rPr>
                <w:szCs w:val="21"/>
              </w:rPr>
            </w:pPr>
            <w:r>
              <w:rPr>
                <w:szCs w:val="21"/>
              </w:rPr>
              <w:t>59-R-7001</w:t>
            </w:r>
          </w:p>
        </w:tc>
        <w:tc>
          <w:tcPr>
            <w:tcW w:w="2508" w:type="dxa"/>
            <w:vAlign w:val="center"/>
          </w:tcPr>
          <w:p>
            <w:pPr>
              <w:spacing w:line="312" w:lineRule="auto"/>
              <w:jc w:val="center"/>
              <w:rPr>
                <w:szCs w:val="21"/>
              </w:rPr>
            </w:pPr>
            <w:r>
              <w:rPr>
                <w:rFonts w:hint="eastAsia"/>
                <w:szCs w:val="21"/>
              </w:rPr>
              <w:t>汽提塔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rFonts w:eastAsiaTheme="minorEastAsia"/>
                <w:szCs w:val="21"/>
              </w:rPr>
            </w:pPr>
            <w:r>
              <w:rPr>
                <w:rFonts w:hint="eastAsia"/>
                <w:szCs w:val="21"/>
              </w:rPr>
              <w:t>26</w:t>
            </w:r>
          </w:p>
        </w:tc>
        <w:tc>
          <w:tcPr>
            <w:tcW w:w="2363" w:type="dxa"/>
            <w:vAlign w:val="center"/>
          </w:tcPr>
          <w:p>
            <w:pPr>
              <w:spacing w:line="312" w:lineRule="auto"/>
              <w:jc w:val="center"/>
              <w:rPr>
                <w:szCs w:val="21"/>
              </w:rPr>
            </w:pPr>
            <w:r>
              <w:rPr>
                <w:szCs w:val="21"/>
              </w:rPr>
              <w:t>21-C-403</w:t>
            </w:r>
          </w:p>
        </w:tc>
        <w:tc>
          <w:tcPr>
            <w:tcW w:w="2508" w:type="dxa"/>
            <w:vAlign w:val="center"/>
          </w:tcPr>
          <w:p>
            <w:pPr>
              <w:spacing w:line="312" w:lineRule="auto"/>
              <w:jc w:val="center"/>
              <w:rPr>
                <w:szCs w:val="21"/>
              </w:rPr>
            </w:pPr>
            <w:r>
              <w:rPr>
                <w:rFonts w:hint="eastAsia"/>
                <w:szCs w:val="21"/>
              </w:rPr>
              <w:t>脱丁烷塔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rFonts w:eastAsiaTheme="minorEastAsia"/>
                <w:szCs w:val="21"/>
              </w:rPr>
            </w:pPr>
            <w:r>
              <w:rPr>
                <w:rFonts w:hint="eastAsia"/>
                <w:szCs w:val="21"/>
              </w:rPr>
              <w:t>27</w:t>
            </w:r>
          </w:p>
        </w:tc>
        <w:tc>
          <w:tcPr>
            <w:tcW w:w="2363" w:type="dxa"/>
            <w:vAlign w:val="center"/>
          </w:tcPr>
          <w:p>
            <w:pPr>
              <w:spacing w:line="312" w:lineRule="auto"/>
              <w:jc w:val="center"/>
              <w:rPr>
                <w:szCs w:val="21"/>
              </w:rPr>
            </w:pPr>
            <w:r>
              <w:rPr>
                <w:szCs w:val="21"/>
              </w:rPr>
              <w:t>14-C-101</w:t>
            </w:r>
          </w:p>
        </w:tc>
        <w:tc>
          <w:tcPr>
            <w:tcW w:w="2508" w:type="dxa"/>
            <w:vAlign w:val="center"/>
          </w:tcPr>
          <w:p>
            <w:pPr>
              <w:spacing w:line="312" w:lineRule="auto"/>
              <w:jc w:val="center"/>
              <w:rPr>
                <w:szCs w:val="21"/>
              </w:rPr>
            </w:pPr>
            <w:r>
              <w:rPr>
                <w:rFonts w:hint="eastAsia"/>
                <w:szCs w:val="21"/>
              </w:rPr>
              <w:t>分馏塔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28</w:t>
            </w:r>
          </w:p>
        </w:tc>
        <w:tc>
          <w:tcPr>
            <w:tcW w:w="2363" w:type="dxa"/>
            <w:vAlign w:val="center"/>
          </w:tcPr>
          <w:p>
            <w:pPr>
              <w:spacing w:line="312" w:lineRule="auto"/>
              <w:jc w:val="center"/>
              <w:rPr>
                <w:szCs w:val="21"/>
              </w:rPr>
            </w:pPr>
            <w:r>
              <w:rPr>
                <w:szCs w:val="21"/>
              </w:rPr>
              <w:t>13-C-311</w:t>
            </w:r>
          </w:p>
        </w:tc>
        <w:tc>
          <w:tcPr>
            <w:tcW w:w="2508" w:type="dxa"/>
            <w:vAlign w:val="center"/>
          </w:tcPr>
          <w:p>
            <w:pPr>
              <w:spacing w:line="312" w:lineRule="auto"/>
              <w:jc w:val="center"/>
              <w:rPr>
                <w:szCs w:val="21"/>
              </w:rPr>
            </w:pPr>
            <w:r>
              <w:rPr>
                <w:rFonts w:hint="eastAsia"/>
                <w:szCs w:val="21"/>
              </w:rPr>
              <w:t>脱乙烷塔</w:t>
            </w:r>
          </w:p>
        </w:tc>
        <w:tc>
          <w:tcPr>
            <w:tcW w:w="2782" w:type="dxa"/>
            <w:vAlign w:val="center"/>
          </w:tcPr>
          <w:p>
            <w:pPr>
              <w:spacing w:line="312" w:lineRule="auto"/>
              <w:jc w:val="center"/>
              <w:rPr>
                <w:szCs w:val="21"/>
              </w:rPr>
            </w:pPr>
            <w:r>
              <w:rPr>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29</w:t>
            </w:r>
          </w:p>
        </w:tc>
        <w:tc>
          <w:tcPr>
            <w:tcW w:w="2363" w:type="dxa"/>
            <w:vAlign w:val="center"/>
          </w:tcPr>
          <w:p>
            <w:pPr>
              <w:spacing w:line="312" w:lineRule="auto"/>
              <w:jc w:val="center"/>
              <w:rPr>
                <w:szCs w:val="21"/>
              </w:rPr>
            </w:pPr>
            <w:r>
              <w:rPr>
                <w:szCs w:val="21"/>
              </w:rPr>
              <w:t>21-C-202</w:t>
            </w:r>
          </w:p>
        </w:tc>
        <w:tc>
          <w:tcPr>
            <w:tcW w:w="2508" w:type="dxa"/>
            <w:vAlign w:val="center"/>
          </w:tcPr>
          <w:p>
            <w:pPr>
              <w:spacing w:line="312" w:lineRule="auto"/>
              <w:jc w:val="center"/>
              <w:rPr>
                <w:szCs w:val="21"/>
              </w:rPr>
            </w:pPr>
            <w:r>
              <w:rPr>
                <w:rFonts w:hint="eastAsia"/>
                <w:szCs w:val="21"/>
              </w:rPr>
              <w:t>分馏塔</w:t>
            </w:r>
          </w:p>
        </w:tc>
        <w:tc>
          <w:tcPr>
            <w:tcW w:w="2782" w:type="dxa"/>
            <w:vAlign w:val="center"/>
          </w:tcPr>
          <w:p>
            <w:pPr>
              <w:spacing w:line="312" w:lineRule="auto"/>
              <w:jc w:val="center"/>
              <w:rPr>
                <w:rFonts w:eastAsiaTheme="minorEastAsia"/>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30</w:t>
            </w:r>
          </w:p>
        </w:tc>
        <w:tc>
          <w:tcPr>
            <w:tcW w:w="2363" w:type="dxa"/>
            <w:vAlign w:val="center"/>
          </w:tcPr>
          <w:p>
            <w:pPr>
              <w:spacing w:line="312" w:lineRule="auto"/>
              <w:jc w:val="center"/>
              <w:rPr>
                <w:szCs w:val="21"/>
              </w:rPr>
            </w:pPr>
            <w:r>
              <w:rPr>
                <w:szCs w:val="21"/>
              </w:rPr>
              <w:t>16-C-303</w:t>
            </w:r>
          </w:p>
        </w:tc>
        <w:tc>
          <w:tcPr>
            <w:tcW w:w="2508" w:type="dxa"/>
            <w:vAlign w:val="center"/>
          </w:tcPr>
          <w:p>
            <w:pPr>
              <w:spacing w:line="312" w:lineRule="auto"/>
              <w:jc w:val="center"/>
              <w:rPr>
                <w:szCs w:val="21"/>
              </w:rPr>
            </w:pPr>
            <w:r>
              <w:rPr>
                <w:rFonts w:hint="eastAsia"/>
                <w:szCs w:val="21"/>
              </w:rPr>
              <w:t>再生塔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31</w:t>
            </w:r>
          </w:p>
        </w:tc>
        <w:tc>
          <w:tcPr>
            <w:tcW w:w="2363" w:type="dxa"/>
            <w:vAlign w:val="center"/>
          </w:tcPr>
          <w:p>
            <w:pPr>
              <w:spacing w:line="312" w:lineRule="auto"/>
              <w:jc w:val="center"/>
              <w:rPr>
                <w:szCs w:val="21"/>
              </w:rPr>
            </w:pPr>
            <w:r>
              <w:rPr>
                <w:szCs w:val="21"/>
              </w:rPr>
              <w:t>17-C-101</w:t>
            </w:r>
          </w:p>
        </w:tc>
        <w:tc>
          <w:tcPr>
            <w:tcW w:w="2508" w:type="dxa"/>
            <w:vAlign w:val="center"/>
          </w:tcPr>
          <w:p>
            <w:pPr>
              <w:spacing w:line="312" w:lineRule="auto"/>
              <w:jc w:val="center"/>
              <w:rPr>
                <w:szCs w:val="21"/>
              </w:rPr>
            </w:pPr>
            <w:r>
              <w:rPr>
                <w:rFonts w:hint="eastAsia"/>
                <w:szCs w:val="21"/>
              </w:rPr>
              <w:t>再生塔</w:t>
            </w:r>
          </w:p>
        </w:tc>
        <w:tc>
          <w:tcPr>
            <w:tcW w:w="2782" w:type="dxa"/>
            <w:vAlign w:val="center"/>
          </w:tcPr>
          <w:p>
            <w:pPr>
              <w:spacing w:line="312" w:lineRule="auto"/>
              <w:jc w:val="center"/>
              <w:rPr>
                <w:szCs w:val="21"/>
              </w:rPr>
            </w:pPr>
            <w:r>
              <w:rPr>
                <w:rFonts w:hint="eastAsia"/>
                <w:szCs w:val="21"/>
              </w:rPr>
              <w:t>合格</w:t>
            </w:r>
          </w:p>
        </w:tc>
      </w:tr>
    </w:tbl>
    <w:p>
      <w:pPr>
        <w:pStyle w:val="25"/>
        <w:spacing w:before="0"/>
        <w:ind w:left="284" w:firstLine="0"/>
        <w:rPr>
          <w:sz w:val="24"/>
          <w:szCs w:val="24"/>
        </w:rPr>
      </w:pPr>
      <w:r>
        <w:rPr>
          <w:sz w:val="24"/>
          <w:szCs w:val="24"/>
        </w:rPr>
        <w:t>2</w:t>
      </w:r>
      <w:r>
        <w:rPr>
          <w:rFonts w:hint="eastAsia"/>
          <w:sz w:val="24"/>
          <w:szCs w:val="24"/>
        </w:rPr>
        <w:t>、工作内容及义务：</w:t>
      </w:r>
    </w:p>
    <w:p>
      <w:pPr>
        <w:ind w:firstLine="240" w:firstLineChars="100"/>
        <w:rPr>
          <w:bCs/>
          <w:sz w:val="24"/>
          <w:szCs w:val="24"/>
          <w:lang w:eastAsia="zh-CN"/>
        </w:rPr>
      </w:pPr>
      <w:r>
        <w:rPr>
          <w:rFonts w:hint="eastAsia"/>
          <w:bCs/>
          <w:sz w:val="24"/>
          <w:szCs w:val="24"/>
          <w:lang w:eastAsia="zh-CN"/>
        </w:rPr>
        <w:t>2.1 塔体结构安全监测内容</w:t>
      </w:r>
    </w:p>
    <w:p>
      <w:pPr>
        <w:pStyle w:val="25"/>
        <w:spacing w:before="0"/>
        <w:ind w:left="9" w:leftChars="4" w:firstLine="240" w:firstLineChars="100"/>
        <w:rPr>
          <w:bCs/>
          <w:sz w:val="24"/>
          <w:szCs w:val="24"/>
          <w:lang w:eastAsia="zh-CN"/>
        </w:rPr>
      </w:pPr>
      <w:r>
        <w:rPr>
          <w:rFonts w:hint="eastAsia"/>
          <w:bCs/>
          <w:sz w:val="24"/>
          <w:szCs w:val="24"/>
          <w:lang w:eastAsia="zh-CN"/>
        </w:rPr>
        <w:t>a）塔器在风、流等外部反复荷载作用下或强风荷载作用下结构水平位移在线实时监测；</w:t>
      </w:r>
    </w:p>
    <w:p>
      <w:pPr>
        <w:pStyle w:val="25"/>
        <w:spacing w:before="0"/>
        <w:ind w:left="9" w:leftChars="4" w:firstLine="240" w:firstLineChars="100"/>
        <w:rPr>
          <w:bCs/>
          <w:sz w:val="24"/>
          <w:szCs w:val="24"/>
          <w:lang w:eastAsia="zh-CN"/>
        </w:rPr>
      </w:pPr>
      <w:r>
        <w:rPr>
          <w:rFonts w:hint="eastAsia"/>
          <w:bCs/>
          <w:sz w:val="24"/>
          <w:szCs w:val="24"/>
          <w:lang w:eastAsia="zh-CN"/>
        </w:rPr>
        <w:t>b）塔器在外界周期荷载作用及自身运行下水平方向上的倾角变化在线实时监测。</w:t>
      </w:r>
    </w:p>
    <w:p>
      <w:pPr>
        <w:pStyle w:val="25"/>
        <w:spacing w:before="0"/>
        <w:ind w:left="9" w:leftChars="4" w:firstLine="360" w:firstLineChars="150"/>
        <w:rPr>
          <w:bCs/>
          <w:sz w:val="24"/>
          <w:szCs w:val="24"/>
          <w:lang w:eastAsia="zh-CN"/>
        </w:rPr>
      </w:pPr>
      <w:r>
        <w:rPr>
          <w:rFonts w:hint="eastAsia"/>
          <w:bCs/>
          <w:sz w:val="24"/>
          <w:szCs w:val="24"/>
          <w:lang w:eastAsia="zh-CN"/>
        </w:rPr>
        <w:t>2.2 塔器宏观检查内容</w:t>
      </w:r>
    </w:p>
    <w:p>
      <w:pPr>
        <w:ind w:firstLine="240" w:firstLineChars="100"/>
        <w:rPr>
          <w:bCs/>
          <w:sz w:val="24"/>
          <w:szCs w:val="24"/>
          <w:lang w:eastAsia="zh-CN"/>
        </w:rPr>
      </w:pPr>
      <w:r>
        <w:rPr>
          <w:rFonts w:hint="eastAsia"/>
          <w:bCs/>
          <w:sz w:val="24"/>
          <w:szCs w:val="24"/>
          <w:lang w:eastAsia="zh-CN"/>
        </w:rPr>
        <w:t>a) 定期对设备进行宏观检查，每30天对塔体基础、地脚螺栓防腐水泥层、附塔管线连接部位、平台、扶梯进行宏观检查，观察是否有开裂、破损、异常变形等现象，并做好相关记录。</w:t>
      </w:r>
    </w:p>
    <w:p>
      <w:pPr>
        <w:ind w:firstLine="240" w:firstLineChars="100"/>
        <w:rPr>
          <w:bCs/>
          <w:sz w:val="24"/>
          <w:szCs w:val="24"/>
          <w:lang w:eastAsia="zh-CN"/>
        </w:rPr>
      </w:pPr>
      <w:r>
        <w:rPr>
          <w:rFonts w:hint="eastAsia"/>
          <w:bCs/>
          <w:sz w:val="24"/>
          <w:szCs w:val="24"/>
          <w:lang w:eastAsia="zh-CN"/>
        </w:rPr>
        <w:t>b) 当发生台风或风速过大时，加强对设备运行状况的监测，台风过后对塔体基础、防腐水泥、附塔管线连接部位、平台、扶梯进行宏观检查，并做好相关记录。</w:t>
      </w:r>
    </w:p>
    <w:p>
      <w:pPr>
        <w:ind w:firstLine="360" w:firstLineChars="150"/>
        <w:rPr>
          <w:bCs/>
          <w:sz w:val="24"/>
          <w:szCs w:val="24"/>
          <w:lang w:eastAsia="zh-CN"/>
        </w:rPr>
      </w:pPr>
      <w:r>
        <w:rPr>
          <w:rFonts w:hint="eastAsia"/>
          <w:bCs/>
          <w:sz w:val="24"/>
          <w:szCs w:val="24"/>
          <w:lang w:eastAsia="zh-CN"/>
        </w:rPr>
        <w:t>2.3 新增监测仪器</w:t>
      </w:r>
    </w:p>
    <w:p>
      <w:pPr>
        <w:pStyle w:val="13"/>
        <w:pBdr>
          <w:bottom w:val="none" w:color="auto" w:sz="0" w:space="0"/>
        </w:pBdr>
        <w:ind w:firstLine="240" w:firstLineChars="100"/>
        <w:jc w:val="left"/>
        <w:outlineLvl w:val="0"/>
        <w:rPr>
          <w:bCs/>
          <w:sz w:val="24"/>
          <w:szCs w:val="24"/>
          <w:lang w:eastAsia="zh-CN"/>
        </w:rPr>
      </w:pPr>
      <w:r>
        <w:rPr>
          <w:rFonts w:hint="eastAsia"/>
          <w:bCs/>
          <w:sz w:val="24"/>
          <w:szCs w:val="24"/>
          <w:lang w:eastAsia="zh-CN"/>
        </w:rPr>
        <w:t xml:space="preserve">a）对17台塔结构监测系统增加一套风压测定仪，用于监测塔顶结构的风压，通过《塔式容器规范》（NB/T47041-2014）标准规定方法计算塔器结构的挠度；  </w:t>
      </w:r>
    </w:p>
    <w:p>
      <w:pPr>
        <w:ind w:firstLine="240" w:firstLineChars="100"/>
        <w:rPr>
          <w:bCs/>
          <w:sz w:val="24"/>
          <w:szCs w:val="24"/>
          <w:lang w:eastAsia="zh-CN"/>
        </w:rPr>
      </w:pPr>
      <w:r>
        <w:rPr>
          <w:rFonts w:hint="eastAsia"/>
          <w:bCs/>
          <w:sz w:val="24"/>
          <w:szCs w:val="24"/>
          <w:lang w:eastAsia="zh-CN"/>
        </w:rPr>
        <w:t>b) 在13-C-301、13-C-321、42-C-101、44-C-101、45-C-102监测系统上各补充2台微芯传感装置，在41-C-101、43-C-101监测系统上各补充4台微芯传感装置，用于监测塔体结构的倾角与振动特征监测。</w:t>
      </w:r>
    </w:p>
    <w:p>
      <w:pPr>
        <w:ind w:firstLine="240" w:firstLineChars="100"/>
        <w:rPr>
          <w:bCs/>
          <w:sz w:val="24"/>
          <w:szCs w:val="24"/>
          <w:lang w:eastAsia="zh-CN"/>
        </w:rPr>
      </w:pPr>
      <w:r>
        <w:rPr>
          <w:rFonts w:hint="eastAsia"/>
          <w:bCs/>
          <w:sz w:val="24"/>
          <w:szCs w:val="24"/>
          <w:lang w:eastAsia="zh-CN"/>
        </w:rPr>
        <w:t>c） 升级17台塔监测系统的微芯传感装置，包含更高的传感灵敏度装置和带温度传感装置。</w:t>
      </w:r>
    </w:p>
    <w:p>
      <w:pPr>
        <w:pStyle w:val="13"/>
        <w:pBdr>
          <w:bottom w:val="none" w:color="auto" w:sz="0" w:space="0"/>
        </w:pBdr>
        <w:ind w:firstLine="360" w:firstLineChars="150"/>
        <w:jc w:val="left"/>
        <w:outlineLvl w:val="0"/>
        <w:rPr>
          <w:bCs/>
          <w:color w:val="000000" w:themeColor="text1"/>
          <w:sz w:val="24"/>
          <w:szCs w:val="24"/>
          <w:lang w:eastAsia="zh-CN"/>
        </w:rPr>
      </w:pPr>
      <w:r>
        <w:rPr>
          <w:rFonts w:hint="eastAsia"/>
          <w:bCs/>
          <w:color w:val="000000" w:themeColor="text1"/>
          <w:sz w:val="24"/>
          <w:szCs w:val="24"/>
          <w:lang w:eastAsia="zh-CN"/>
        </w:rPr>
        <w:t>2.4塔体结构安全监测、宏观检查结果预期</w:t>
      </w:r>
    </w:p>
    <w:p>
      <w:pPr>
        <w:ind w:firstLine="240" w:firstLineChars="100"/>
        <w:rPr>
          <w:bCs/>
          <w:color w:val="000000" w:themeColor="text1"/>
          <w:sz w:val="24"/>
          <w:szCs w:val="24"/>
          <w:lang w:eastAsia="zh-CN"/>
        </w:rPr>
      </w:pPr>
      <w:r>
        <w:rPr>
          <w:rFonts w:hint="eastAsia"/>
          <w:bCs/>
          <w:color w:val="000000" w:themeColor="text1"/>
          <w:sz w:val="24"/>
          <w:szCs w:val="24"/>
          <w:lang w:eastAsia="zh-CN"/>
        </w:rPr>
        <w:t>2021年至2023年度对17台塔器进行塔体结构安全监测以及对48台塔体进行宏观检查，根据三年的监测数据结果经过相关计算分析，对塔器安全使用状况进行评估，以期减少塔器塔体结构安全监测、宏观检查的数量及频率。</w:t>
      </w:r>
    </w:p>
    <w:p>
      <w:pPr>
        <w:rPr>
          <w:b/>
          <w:sz w:val="28"/>
          <w:szCs w:val="28"/>
          <w:lang w:eastAsia="zh-CN"/>
        </w:rPr>
      </w:pPr>
      <w:r>
        <w:rPr>
          <w:rFonts w:hint="eastAsia"/>
          <w:b/>
          <w:bCs/>
          <w:sz w:val="28"/>
          <w:szCs w:val="28"/>
          <w:lang w:eastAsia="zh-CN"/>
        </w:rPr>
        <w:t>五</w:t>
      </w:r>
      <w:r>
        <w:rPr>
          <w:rFonts w:hint="eastAsia"/>
          <w:b/>
          <w:sz w:val="28"/>
          <w:szCs w:val="28"/>
          <w:lang w:eastAsia="zh-CN"/>
        </w:rPr>
        <w:t>、业主工作范围及义务</w:t>
      </w:r>
    </w:p>
    <w:p>
      <w:pPr>
        <w:ind w:firstLine="240" w:firstLineChars="100"/>
        <w:rPr>
          <w:bCs/>
          <w:sz w:val="24"/>
          <w:lang w:eastAsia="zh-CN"/>
        </w:rPr>
      </w:pPr>
      <w:r>
        <w:rPr>
          <w:rFonts w:hint="eastAsia"/>
          <w:bCs/>
          <w:sz w:val="24"/>
          <w:lang w:eastAsia="zh-CN"/>
        </w:rPr>
        <w:t>1、提供注册特种设备台账。</w:t>
      </w:r>
    </w:p>
    <w:p>
      <w:pPr>
        <w:ind w:firstLine="240" w:firstLineChars="100"/>
        <w:rPr>
          <w:bCs/>
          <w:sz w:val="24"/>
          <w:lang w:eastAsia="zh-CN"/>
        </w:rPr>
      </w:pPr>
      <w:r>
        <w:rPr>
          <w:rFonts w:hint="eastAsia"/>
          <w:bCs/>
          <w:sz w:val="24"/>
          <w:lang w:eastAsia="zh-CN"/>
        </w:rPr>
        <w:t>2、按时支付进度款。</w:t>
      </w:r>
    </w:p>
    <w:p>
      <w:pPr>
        <w:ind w:firstLine="240" w:firstLineChars="100"/>
        <w:rPr>
          <w:bCs/>
          <w:sz w:val="24"/>
          <w:lang w:eastAsia="zh-CN"/>
        </w:rPr>
      </w:pPr>
      <w:r>
        <w:rPr>
          <w:rFonts w:hint="eastAsia"/>
          <w:bCs/>
          <w:sz w:val="24"/>
          <w:lang w:eastAsia="zh-CN"/>
        </w:rPr>
        <w:t>3、提供相应的技术资料、数据、材料等。</w:t>
      </w:r>
    </w:p>
    <w:p>
      <w:pPr>
        <w:ind w:firstLine="240" w:firstLineChars="100"/>
        <w:rPr>
          <w:bCs/>
          <w:sz w:val="24"/>
          <w:lang w:eastAsia="zh-CN"/>
        </w:rPr>
      </w:pPr>
      <w:r>
        <w:rPr>
          <w:rFonts w:hint="eastAsia"/>
          <w:bCs/>
          <w:sz w:val="24"/>
          <w:lang w:eastAsia="zh-CN"/>
        </w:rPr>
        <w:t>4、根据合同要求对承包方进行考核。</w:t>
      </w:r>
    </w:p>
    <w:p>
      <w:pPr>
        <w:ind w:firstLine="240" w:firstLineChars="100"/>
        <w:rPr>
          <w:bCs/>
          <w:sz w:val="24"/>
          <w:lang w:eastAsia="zh-CN"/>
        </w:rPr>
      </w:pPr>
      <w:r>
        <w:rPr>
          <w:rFonts w:hint="eastAsia"/>
          <w:bCs/>
          <w:sz w:val="24"/>
          <w:lang w:eastAsia="zh-CN"/>
        </w:rPr>
        <w:t>5、无偿提供检验检测现场所需的水、电、气和必要的辅助工作配合。</w:t>
      </w:r>
    </w:p>
    <w:p>
      <w:pPr>
        <w:ind w:firstLine="240" w:firstLineChars="100"/>
        <w:rPr>
          <w:bCs/>
          <w:sz w:val="24"/>
          <w:lang w:eastAsia="zh-CN"/>
        </w:rPr>
      </w:pPr>
      <w:r>
        <w:rPr>
          <w:rFonts w:hint="eastAsia"/>
          <w:bCs/>
          <w:sz w:val="24"/>
          <w:lang w:eastAsia="zh-CN"/>
        </w:rPr>
        <w:t>6、负责平台护栏搭设等工作。</w:t>
      </w:r>
    </w:p>
    <w:p>
      <w:pPr>
        <w:tabs>
          <w:tab w:val="left" w:pos="720"/>
        </w:tabs>
        <w:adjustRightInd w:val="0"/>
        <w:snapToGrid w:val="0"/>
        <w:ind w:firstLine="138" w:firstLineChars="49"/>
        <w:outlineLvl w:val="0"/>
        <w:rPr>
          <w:b/>
          <w:bCs/>
          <w:sz w:val="28"/>
          <w:szCs w:val="28"/>
          <w:lang w:eastAsia="zh-CN"/>
        </w:rPr>
      </w:pPr>
      <w:r>
        <w:rPr>
          <w:rFonts w:hint="eastAsia"/>
          <w:b/>
          <w:bCs/>
          <w:sz w:val="28"/>
          <w:szCs w:val="28"/>
          <w:lang w:eastAsia="zh-CN"/>
        </w:rPr>
        <w:t>六．施工工期</w:t>
      </w:r>
    </w:p>
    <w:p>
      <w:pPr>
        <w:ind w:firstLine="235" w:firstLineChars="98"/>
        <w:outlineLvl w:val="0"/>
        <w:rPr>
          <w:bCs/>
          <w:sz w:val="24"/>
          <w:lang w:eastAsia="zh-CN"/>
        </w:rPr>
      </w:pPr>
      <w:r>
        <w:rPr>
          <w:rFonts w:hint="eastAsia"/>
          <w:bCs/>
          <w:sz w:val="24"/>
          <w:lang w:eastAsia="zh-CN"/>
        </w:rPr>
        <w:t xml:space="preserve">  48塔监测/宏观检查项目二期工期：合同签订日期起算满一年。</w:t>
      </w:r>
    </w:p>
    <w:p>
      <w:pPr>
        <w:ind w:firstLine="472" w:firstLineChars="197"/>
        <w:outlineLvl w:val="0"/>
        <w:rPr>
          <w:bCs/>
          <w:sz w:val="24"/>
          <w:lang w:eastAsia="zh-CN"/>
        </w:rPr>
      </w:pPr>
      <w:r>
        <w:rPr>
          <w:rFonts w:hint="eastAsia"/>
          <w:bCs/>
          <w:sz w:val="24"/>
          <w:lang w:eastAsia="zh-CN"/>
        </w:rPr>
        <w:t>48塔监测/宏观检查项目三期工期：二期项目结束日第二天起算满一年。</w:t>
      </w:r>
    </w:p>
    <w:p>
      <w:pPr>
        <w:ind w:firstLine="138" w:firstLineChars="49"/>
        <w:outlineLvl w:val="0"/>
        <w:rPr>
          <w:b/>
          <w:bCs/>
          <w:sz w:val="28"/>
          <w:szCs w:val="28"/>
          <w:lang w:eastAsia="zh-CN"/>
        </w:rPr>
      </w:pPr>
      <w:r>
        <w:rPr>
          <w:rFonts w:hint="eastAsia"/>
          <w:b/>
          <w:bCs/>
          <w:sz w:val="28"/>
          <w:szCs w:val="28"/>
          <w:lang w:eastAsia="zh-CN"/>
        </w:rPr>
        <w:t>七、交付文件：</w:t>
      </w:r>
    </w:p>
    <w:p>
      <w:pPr>
        <w:pStyle w:val="13"/>
        <w:pBdr>
          <w:bottom w:val="none" w:color="auto" w:sz="0" w:space="0"/>
        </w:pBdr>
        <w:ind w:firstLine="240" w:firstLineChars="100"/>
        <w:jc w:val="left"/>
        <w:outlineLvl w:val="0"/>
        <w:rPr>
          <w:bCs/>
          <w:sz w:val="24"/>
          <w:szCs w:val="24"/>
          <w:lang w:eastAsia="zh-CN"/>
        </w:rPr>
      </w:pPr>
      <w:r>
        <w:rPr>
          <w:rFonts w:hint="eastAsia"/>
          <w:bCs/>
          <w:sz w:val="24"/>
          <w:szCs w:val="24"/>
          <w:lang w:eastAsia="zh-CN"/>
        </w:rPr>
        <w:t>a) 每季度出具17台塔的监测报告，出具31台塔的宏观检查报告。</w:t>
      </w:r>
    </w:p>
    <w:p>
      <w:pPr>
        <w:pStyle w:val="13"/>
        <w:pBdr>
          <w:bottom w:val="none" w:color="auto" w:sz="0" w:space="0"/>
        </w:pBdr>
        <w:tabs>
          <w:tab w:val="right" w:pos="8789"/>
          <w:tab w:val="clear" w:pos="8306"/>
        </w:tabs>
        <w:ind w:right="-238" w:rightChars="-108" w:firstLine="240" w:firstLineChars="100"/>
        <w:jc w:val="left"/>
        <w:outlineLvl w:val="0"/>
        <w:rPr>
          <w:bCs/>
          <w:sz w:val="24"/>
          <w:szCs w:val="24"/>
          <w:lang w:eastAsia="zh-CN"/>
        </w:rPr>
      </w:pPr>
      <w:r>
        <w:rPr>
          <w:rFonts w:hint="eastAsia"/>
          <w:bCs/>
          <w:sz w:val="24"/>
          <w:szCs w:val="24"/>
          <w:lang w:eastAsia="zh-CN"/>
        </w:rPr>
        <w:t>b)监测满一年后出具17台塔的监测总结报告，出具31台塔的宏观检查总结报告。</w:t>
      </w:r>
    </w:p>
    <w:p>
      <w:pPr>
        <w:pStyle w:val="13"/>
        <w:pBdr>
          <w:bottom w:val="none" w:color="auto" w:sz="0" w:space="0"/>
        </w:pBdr>
        <w:ind w:right="-521" w:rightChars="-237" w:firstLine="240" w:firstLineChars="100"/>
        <w:jc w:val="left"/>
        <w:outlineLvl w:val="0"/>
        <w:rPr>
          <w:bCs/>
          <w:sz w:val="24"/>
          <w:szCs w:val="24"/>
          <w:lang w:eastAsia="zh-CN"/>
        </w:rPr>
      </w:pPr>
      <w:r>
        <w:rPr>
          <w:rFonts w:hint="eastAsia"/>
          <w:bCs/>
          <w:sz w:val="24"/>
          <w:szCs w:val="24"/>
          <w:lang w:eastAsia="zh-CN"/>
        </w:rPr>
        <w:t>c）项目三期监测完成后，半年内出具塔监测及宏观检查的最终评价报告。</w:t>
      </w:r>
    </w:p>
    <w:p>
      <w:pPr>
        <w:tabs>
          <w:tab w:val="left" w:pos="1080"/>
        </w:tabs>
        <w:ind w:firstLine="138" w:firstLineChars="49"/>
        <w:rPr>
          <w:b/>
          <w:sz w:val="28"/>
          <w:szCs w:val="28"/>
          <w:lang w:eastAsia="zh-CN"/>
        </w:rPr>
      </w:pPr>
      <w:r>
        <w:rPr>
          <w:rFonts w:hint="eastAsia"/>
          <w:b/>
          <w:sz w:val="28"/>
          <w:szCs w:val="28"/>
          <w:lang w:eastAsia="zh-CN"/>
        </w:rPr>
        <w:t>八、违约责任</w:t>
      </w:r>
    </w:p>
    <w:p>
      <w:pPr>
        <w:adjustRightInd w:val="0"/>
        <w:snapToGrid w:val="0"/>
        <w:ind w:left="357"/>
        <w:rPr>
          <w:bCs/>
          <w:sz w:val="24"/>
          <w:szCs w:val="24"/>
          <w:lang w:eastAsia="zh-CN"/>
        </w:rPr>
      </w:pPr>
      <w:r>
        <w:rPr>
          <w:rFonts w:hint="eastAsia"/>
          <w:color w:val="000000"/>
          <w:sz w:val="24"/>
          <w:szCs w:val="24"/>
          <w:lang w:eastAsia="zh-CN"/>
        </w:rPr>
        <w:t>1、</w:t>
      </w:r>
      <w:r>
        <w:rPr>
          <w:rFonts w:hint="eastAsia"/>
          <w:bCs/>
          <w:sz w:val="24"/>
          <w:szCs w:val="24"/>
          <w:lang w:eastAsia="zh-CN"/>
        </w:rPr>
        <w:t>承包方违违约责任如下：</w:t>
      </w:r>
    </w:p>
    <w:p>
      <w:pPr>
        <w:adjustRightInd w:val="0"/>
        <w:snapToGrid w:val="0"/>
        <w:ind w:left="357"/>
        <w:rPr>
          <w:bCs/>
          <w:sz w:val="24"/>
          <w:szCs w:val="24"/>
          <w:lang w:eastAsia="zh-CN"/>
        </w:rPr>
      </w:pPr>
      <w:r>
        <w:rPr>
          <w:rFonts w:hint="eastAsia"/>
          <w:bCs/>
          <w:sz w:val="24"/>
          <w:szCs w:val="24"/>
          <w:lang w:eastAsia="zh-CN"/>
        </w:rPr>
        <w:t>（a）</w:t>
      </w:r>
      <w:r>
        <w:rPr>
          <w:bCs/>
          <w:sz w:val="24"/>
          <w:szCs w:val="24"/>
          <w:lang w:eastAsia="zh-CN"/>
        </w:rPr>
        <w:t xml:space="preserve"> </w:t>
      </w:r>
      <w:r>
        <w:rPr>
          <w:rFonts w:hint="eastAsia"/>
          <w:bCs/>
          <w:sz w:val="24"/>
          <w:szCs w:val="24"/>
          <w:lang w:eastAsia="zh-CN"/>
        </w:rPr>
        <w:t>违反“交付文件”中的要求，每天违约金按合同执行。</w:t>
      </w:r>
    </w:p>
    <w:p>
      <w:pPr>
        <w:spacing w:line="312" w:lineRule="auto"/>
        <w:ind w:firstLine="138" w:firstLineChars="49"/>
        <w:rPr>
          <w:bCs/>
          <w:sz w:val="24"/>
          <w:lang w:eastAsia="zh-CN"/>
        </w:rPr>
      </w:pPr>
      <w:r>
        <w:rPr>
          <w:rFonts w:hint="eastAsia"/>
          <w:b/>
          <w:sz w:val="28"/>
          <w:szCs w:val="28"/>
          <w:lang w:eastAsia="zh-CN"/>
        </w:rPr>
        <w:t>九、评标标准及方法</w:t>
      </w:r>
    </w:p>
    <w:p>
      <w:pPr>
        <w:adjustRightInd w:val="0"/>
        <w:snapToGrid w:val="0"/>
        <w:spacing w:beforeLines="50" w:line="312" w:lineRule="auto"/>
        <w:ind w:left="376" w:leftChars="171" w:firstLine="240" w:firstLineChars="100"/>
        <w:rPr>
          <w:bCs/>
          <w:sz w:val="24"/>
          <w:lang w:eastAsia="zh-CN"/>
        </w:rPr>
      </w:pPr>
      <w:r>
        <w:rPr>
          <w:rFonts w:hint="eastAsia"/>
          <w:bCs/>
          <w:sz w:val="24"/>
          <w:lang w:eastAsia="zh-CN"/>
        </w:rPr>
        <w:t>综合得分最高中标。</w:t>
      </w:r>
    </w:p>
    <w:p>
      <w:pPr>
        <w:spacing w:line="312" w:lineRule="auto"/>
        <w:ind w:firstLine="138" w:firstLineChars="49"/>
        <w:rPr>
          <w:b/>
          <w:sz w:val="28"/>
          <w:szCs w:val="28"/>
          <w:lang w:eastAsia="zh-CN"/>
        </w:rPr>
      </w:pPr>
      <w:r>
        <w:rPr>
          <w:rFonts w:hint="eastAsia"/>
          <w:b/>
          <w:sz w:val="28"/>
          <w:szCs w:val="28"/>
          <w:lang w:eastAsia="zh-CN"/>
        </w:rPr>
        <w:t>十、结算方式</w:t>
      </w:r>
    </w:p>
    <w:p>
      <w:pPr>
        <w:ind w:firstLine="480" w:firstLineChars="200"/>
        <w:rPr>
          <w:bCs/>
          <w:sz w:val="24"/>
          <w:lang w:eastAsia="zh-CN"/>
        </w:rPr>
      </w:pPr>
      <w:r>
        <w:rPr>
          <w:rFonts w:hint="eastAsia"/>
          <w:bCs/>
          <w:sz w:val="24"/>
          <w:lang w:eastAsia="zh-CN"/>
        </w:rPr>
        <w:t>报告提供齐全并经业主验收通过，报支手续齐全后，3个月内支付结算款，即：结算款=已确认总价 -违约金。</w:t>
      </w:r>
    </w:p>
    <w:p>
      <w:pPr>
        <w:ind w:left="363" w:leftChars="165" w:firstLine="120" w:firstLineChars="50"/>
        <w:rPr>
          <w:bCs/>
          <w:sz w:val="24"/>
          <w:lang w:eastAsia="zh-CN"/>
        </w:rPr>
      </w:pPr>
      <w:r>
        <w:rPr>
          <w:rFonts w:hint="eastAsia"/>
          <w:bCs/>
          <w:sz w:val="24"/>
          <w:lang w:eastAsia="zh-CN"/>
        </w:rPr>
        <w:t>分期支付（项目分为项目二期、项目三期）。</w:t>
      </w:r>
    </w:p>
    <w:p>
      <w:pPr>
        <w:pStyle w:val="25"/>
        <w:spacing w:before="0"/>
        <w:ind w:left="357" w:firstLine="0"/>
        <w:rPr>
          <w:lang w:eastAsia="zh-CN"/>
        </w:rPr>
      </w:pPr>
    </w:p>
    <w:p>
      <w:pPr>
        <w:pStyle w:val="2"/>
        <w:rPr>
          <w:b/>
          <w:sz w:val="28"/>
          <w:szCs w:val="28"/>
        </w:rPr>
      </w:pPr>
    </w:p>
    <w:p>
      <w:pPr>
        <w:pStyle w:val="2"/>
        <w:rPr>
          <w:b/>
          <w:sz w:val="28"/>
          <w:szCs w:val="28"/>
        </w:rPr>
      </w:pPr>
    </w:p>
    <w:p>
      <w:pPr>
        <w:pStyle w:val="2"/>
        <w:rPr>
          <w:b/>
          <w:sz w:val="28"/>
          <w:szCs w:val="28"/>
        </w:rPr>
      </w:pPr>
      <w:r>
        <w:rPr>
          <w:rFonts w:hint="eastAsia"/>
          <w:b/>
          <w:sz w:val="28"/>
          <w:szCs w:val="28"/>
        </w:rPr>
        <w:t>附件2：</w:t>
      </w:r>
    </w:p>
    <w:p>
      <w:pPr>
        <w:pStyle w:val="2"/>
        <w:rPr>
          <w:b/>
          <w:sz w:val="28"/>
          <w:szCs w:val="28"/>
        </w:rPr>
      </w:pPr>
    </w:p>
    <w:p>
      <w:pPr>
        <w:pStyle w:val="2"/>
        <w:rPr>
          <w:b/>
          <w:sz w:val="28"/>
          <w:szCs w:val="28"/>
        </w:rPr>
      </w:pPr>
      <w:r>
        <w:rPr>
          <w:rFonts w:hint="eastAsia"/>
          <w:b/>
          <w:sz w:val="28"/>
          <w:szCs w:val="28"/>
        </w:rPr>
        <w:t xml:space="preserve">                 价格清单</w:t>
      </w:r>
    </w:p>
    <w:p>
      <w:pPr>
        <w:pStyle w:val="2"/>
      </w:pPr>
    </w:p>
    <w:p>
      <w:pPr>
        <w:pStyle w:val="2"/>
        <w:rPr>
          <w:b/>
          <w:sz w:val="28"/>
          <w:szCs w:val="28"/>
        </w:rPr>
      </w:pPr>
      <w:r>
        <w:rPr>
          <w:rFonts w:hint="eastAsia"/>
          <w:b/>
          <w:sz w:val="28"/>
          <w:szCs w:val="28"/>
        </w:rPr>
        <w:t>附件3：</w:t>
      </w:r>
    </w:p>
    <w:p>
      <w:pPr>
        <w:pStyle w:val="9"/>
        <w:spacing w:afterLines="150" w:line="276" w:lineRule="auto"/>
        <w:ind w:left="-424" w:leftChars="-339" w:hanging="322" w:hangingChars="89"/>
        <w:jc w:val="center"/>
        <w:rPr>
          <w:rFonts w:ascii="黑体" w:hAnsi="宋体" w:eastAsia="黑体"/>
          <w:b/>
          <w:sz w:val="36"/>
          <w:szCs w:val="36"/>
          <w:lang w:eastAsia="zh-CN"/>
        </w:rPr>
      </w:pPr>
      <w:r>
        <w:rPr>
          <w:rFonts w:hint="eastAsia" w:ascii="黑体" w:hAnsi="宋体" w:eastAsia="黑体"/>
          <w:b/>
          <w:sz w:val="36"/>
          <w:szCs w:val="36"/>
          <w:lang w:eastAsia="zh-CN"/>
        </w:rPr>
        <w:t>安全环保协议书</w:t>
      </w:r>
    </w:p>
    <w:p>
      <w:pPr>
        <w:rPr>
          <w:szCs w:val="21"/>
          <w:lang w:eastAsia="zh-CN"/>
        </w:rPr>
      </w:pPr>
      <w:r>
        <w:rPr>
          <w:rFonts w:hint="eastAsia"/>
          <w:szCs w:val="21"/>
          <w:lang w:eastAsia="zh-CN"/>
        </w:rPr>
        <w:t>发包单位（以下简称甲方）：</w:t>
      </w:r>
      <w:r>
        <w:rPr>
          <w:rFonts w:hint="eastAsia"/>
          <w:szCs w:val="21"/>
          <w:u w:val="single"/>
          <w:lang w:eastAsia="zh-CN"/>
        </w:rPr>
        <w:t xml:space="preserve"> 腾龙芳烃（漳州）有限公司、翔鹭石化（漳州）有限公司  </w:t>
      </w:r>
      <w:r>
        <w:rPr>
          <w:rFonts w:hint="eastAsia"/>
          <w:szCs w:val="21"/>
          <w:lang w:eastAsia="zh-CN"/>
        </w:rPr>
        <w:t xml:space="preserve">   </w:t>
      </w:r>
    </w:p>
    <w:p>
      <w:pPr>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p>
    <w:p>
      <w:pPr>
        <w:rPr>
          <w:rFonts w:asciiTheme="majorEastAsia" w:hAnsiTheme="majorEastAsia" w:eastAsiaTheme="majorEastAsia"/>
          <w:kern w:val="59"/>
          <w:sz w:val="24"/>
          <w:szCs w:val="24"/>
          <w:lang w:eastAsia="zh-CN"/>
        </w:rPr>
      </w:pPr>
      <w:r>
        <w:rPr>
          <w:rFonts w:hint="eastAsia"/>
          <w:szCs w:val="21"/>
          <w:lang w:eastAsia="zh-CN"/>
        </w:rPr>
        <w:t xml:space="preserve">    双方就</w:t>
      </w:r>
      <w:r>
        <w:rPr>
          <w:rFonts w:hint="eastAsia"/>
          <w:szCs w:val="21"/>
          <w:u w:val="single"/>
          <w:lang w:eastAsia="zh-CN"/>
        </w:rPr>
        <w:t xml:space="preserve"> </w:t>
      </w:r>
      <w:r>
        <w:rPr>
          <w:rFonts w:hint="eastAsia"/>
          <w:bCs/>
          <w:u w:val="single"/>
          <w:lang w:eastAsia="zh-CN"/>
        </w:rPr>
        <w:t>48台塔监测/宏观检查（二期/三期）</w:t>
      </w:r>
      <w:r>
        <w:rPr>
          <w:rFonts w:hint="eastAsia"/>
          <w:kern w:val="59"/>
          <w:u w:val="single"/>
          <w:lang w:eastAsia="zh-CN"/>
        </w:rPr>
        <w:t>项目</w:t>
      </w:r>
      <w:r>
        <w:rPr>
          <w:rFonts w:hint="eastAsia"/>
          <w:szCs w:val="21"/>
          <w:u w:val="single"/>
          <w:lang w:eastAsia="zh-CN"/>
        </w:rPr>
        <w:t xml:space="preserve"> </w:t>
      </w:r>
      <w:r>
        <w:rPr>
          <w:rFonts w:hint="eastAsia"/>
          <w:szCs w:val="21"/>
          <w:lang w:eastAsia="zh-CN"/>
        </w:rPr>
        <w:t>项目签订了</w:t>
      </w:r>
      <w:r>
        <w:rPr>
          <w:rFonts w:hint="eastAsia"/>
          <w:szCs w:val="21"/>
          <w:u w:val="single"/>
          <w:lang w:eastAsia="zh-CN"/>
        </w:rPr>
        <w:t xml:space="preserve">服务 </w:t>
      </w:r>
      <w:r>
        <w:rPr>
          <w:rFonts w:hint="eastAsia"/>
          <w:szCs w:val="21"/>
          <w:lang w:eastAsia="zh-CN"/>
        </w:rPr>
        <w:t>合同，为进一步明确甲乙双方在项目承包合同履行过程中的权利和义务及责任，保障人身安全和企业财产安全，依据《中华人民共和国安全生产法》、《中华人民共和国环境保护法》等相关法规及腾龙芳烃（漳州）有限公司HSE管理制度，经双方协商，双方自愿签订本安全环保协议，作为主合同的附件。</w:t>
      </w:r>
    </w:p>
    <w:p>
      <w:pPr>
        <w:ind w:left="1"/>
        <w:rPr>
          <w:szCs w:val="21"/>
          <w:lang w:eastAsia="zh-CN"/>
        </w:rPr>
      </w:pPr>
      <w:r>
        <w:rPr>
          <w:rFonts w:hint="eastAsia"/>
          <w:b/>
          <w:szCs w:val="21"/>
          <w:lang w:eastAsia="zh-CN"/>
        </w:rPr>
        <w:t>一、甲方的权利和义务：</w:t>
      </w:r>
    </w:p>
    <w:p>
      <w:pPr>
        <w:rPr>
          <w:szCs w:val="21"/>
          <w:lang w:eastAsia="zh-CN"/>
        </w:rPr>
      </w:pPr>
      <w:r>
        <w:rPr>
          <w:rFonts w:hint="eastAsia"/>
          <w:szCs w:val="21"/>
          <w:lang w:eastAsia="zh-CN"/>
        </w:rPr>
        <w:t>1、 甲方有权对乙方的资质进行审查，确认其符合且具备进厂条件，方可进厂施工。</w:t>
      </w:r>
    </w:p>
    <w:p>
      <w:pPr>
        <w:rPr>
          <w:szCs w:val="21"/>
          <w:lang w:eastAsia="zh-CN"/>
        </w:rPr>
      </w:pPr>
      <w:r>
        <w:rPr>
          <w:rFonts w:hint="eastAsia"/>
          <w:szCs w:val="21"/>
          <w:lang w:eastAsia="zh-CN"/>
        </w:rPr>
        <w:t>2、 甲方有权要求乙方维护好甲方相关的安全环保设施、设备和器材。</w:t>
      </w:r>
    </w:p>
    <w:p>
      <w:pPr>
        <w:tabs>
          <w:tab w:val="left" w:pos="360"/>
          <w:tab w:val="left" w:pos="840"/>
        </w:tabs>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rPr>
          <w:color w:val="FF0000"/>
          <w:szCs w:val="21"/>
          <w:lang w:eastAsia="zh-CN"/>
        </w:rPr>
      </w:pPr>
      <w:r>
        <w:rPr>
          <w:rFonts w:hint="eastAsia"/>
          <w:szCs w:val="21"/>
          <w:lang w:eastAsia="zh-CN"/>
        </w:rPr>
        <w:t>5、 甲方有权对乙方不服从管理和严重违章者，驱除施工现场。</w:t>
      </w:r>
    </w:p>
    <w:p>
      <w:pPr>
        <w:rPr>
          <w:b/>
          <w:szCs w:val="21"/>
          <w:lang w:eastAsia="zh-CN"/>
        </w:rPr>
      </w:pPr>
      <w:r>
        <w:rPr>
          <w:rFonts w:hint="eastAsia"/>
          <w:szCs w:val="21"/>
          <w:lang w:eastAsia="zh-CN"/>
        </w:rPr>
        <w:t>6、 甲方负责对乙方进行厂级和部门级安全培训教育考核，考核合格方可办理入厂手续。</w:t>
      </w:r>
    </w:p>
    <w:p>
      <w:pPr>
        <w:tabs>
          <w:tab w:val="left" w:pos="360"/>
          <w:tab w:val="left" w:pos="840"/>
        </w:tabs>
        <w:rPr>
          <w:szCs w:val="21"/>
          <w:lang w:eastAsia="zh-CN"/>
        </w:rPr>
      </w:pPr>
      <w:r>
        <w:rPr>
          <w:rFonts w:hint="eastAsia"/>
          <w:szCs w:val="21"/>
          <w:lang w:eastAsia="zh-CN"/>
        </w:rPr>
        <w:t>7、 甲方负责各装置的工艺处理、退料、置换、及吹扫隔离工作，为本项目提供安全的施工条件。</w:t>
      </w:r>
    </w:p>
    <w:p>
      <w:pPr>
        <w:tabs>
          <w:tab w:val="left" w:pos="360"/>
          <w:tab w:val="left" w:pos="840"/>
        </w:tabs>
        <w:rPr>
          <w:szCs w:val="21"/>
          <w:lang w:eastAsia="zh-CN"/>
        </w:rPr>
      </w:pPr>
      <w:r>
        <w:rPr>
          <w:rFonts w:hint="eastAsia"/>
          <w:szCs w:val="21"/>
          <w:lang w:eastAsia="zh-CN"/>
        </w:rPr>
        <w:t>8、 甲方应乙方要求，向乙方提供与乙方作业相关的甲方有毒有害、易燃易爆物品数据</w:t>
      </w:r>
      <w:r>
        <w:rPr>
          <w:rFonts w:hint="eastAsia"/>
          <w:sz w:val="32"/>
          <w:szCs w:val="32"/>
          <w:lang w:eastAsia="zh-CN"/>
        </w:rPr>
        <w:t>。</w:t>
      </w:r>
    </w:p>
    <w:p>
      <w:pPr>
        <w:tabs>
          <w:tab w:val="left" w:pos="360"/>
          <w:tab w:val="left" w:pos="840"/>
        </w:tabs>
        <w:rPr>
          <w:szCs w:val="21"/>
          <w:lang w:eastAsia="zh-CN"/>
        </w:rPr>
      </w:pPr>
      <w:r>
        <w:rPr>
          <w:rFonts w:hint="eastAsia"/>
          <w:szCs w:val="21"/>
          <w:lang w:eastAsia="zh-CN"/>
        </w:rPr>
        <w:t>9、 甲方在开工前必须对乙方进行全面的安全技术及文明施工交底。</w:t>
      </w:r>
    </w:p>
    <w:p>
      <w:pPr>
        <w:ind w:left="1"/>
        <w:rPr>
          <w:b/>
          <w:szCs w:val="21"/>
          <w:lang w:eastAsia="zh-CN"/>
        </w:rPr>
      </w:pPr>
      <w:r>
        <w:rPr>
          <w:rFonts w:hint="eastAsia"/>
          <w:b/>
          <w:szCs w:val="21"/>
          <w:lang w:eastAsia="zh-CN"/>
        </w:rPr>
        <w:t>二、乙方的权利和义务：</w:t>
      </w:r>
    </w:p>
    <w:p>
      <w:pPr>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rPr>
          <w:szCs w:val="21"/>
          <w:lang w:eastAsia="zh-CN"/>
        </w:rPr>
      </w:pPr>
      <w:r>
        <w:rPr>
          <w:rFonts w:hint="eastAsia"/>
          <w:szCs w:val="21"/>
          <w:lang w:eastAsia="zh-CN"/>
        </w:rPr>
        <w:t>2、  乙方有权对甲方安全管理工作提出合理化建议或改进措施。</w:t>
      </w:r>
    </w:p>
    <w:p>
      <w:pPr>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pPr>
        <w:rPr>
          <w:szCs w:val="21"/>
          <w:lang w:eastAsia="zh-CN"/>
        </w:rPr>
      </w:pPr>
      <w:r>
        <w:rPr>
          <w:rFonts w:hint="eastAsia"/>
          <w:szCs w:val="21"/>
          <w:lang w:eastAsia="zh-CN"/>
        </w:rPr>
        <w:t>4、 乙方对危及生命安全和身体健康的施工作业条件和环境，有权提出整改建议或拒绝施工作业。</w:t>
      </w:r>
    </w:p>
    <w:p>
      <w:pPr>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pPr>
        <w:rPr>
          <w:szCs w:val="21"/>
          <w:lang w:eastAsia="zh-CN"/>
        </w:rPr>
      </w:pPr>
      <w:r>
        <w:rPr>
          <w:rFonts w:hint="eastAsia"/>
          <w:szCs w:val="21"/>
          <w:lang w:eastAsia="zh-CN"/>
        </w:rPr>
        <w:t>6、 乙方有权要求甲方提供相关的安全资料。</w:t>
      </w:r>
    </w:p>
    <w:p>
      <w:pPr>
        <w:rPr>
          <w:b/>
          <w:szCs w:val="21"/>
          <w:lang w:eastAsia="zh-CN"/>
        </w:rPr>
      </w:pPr>
      <w:r>
        <w:rPr>
          <w:rFonts w:hint="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pPr>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rPr>
          <w:szCs w:val="21"/>
          <w:lang w:eastAsia="zh-CN"/>
        </w:rPr>
      </w:pPr>
      <w:r>
        <w:rPr>
          <w:rFonts w:hint="eastAsia"/>
          <w:szCs w:val="21"/>
          <w:lang w:eastAsia="zh-CN"/>
        </w:rPr>
        <w:t>13、 乙方建立安全检查制度，指定专人负责现场安全监督检查工作，认真开展安全检查，发现作业过程中不安全行为、隐患、重大险情，应采取有效措施及时处理并报告甲方。</w:t>
      </w:r>
    </w:p>
    <w:p>
      <w:pPr>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pPr>
        <w:rPr>
          <w:szCs w:val="21"/>
          <w:lang w:eastAsia="zh-CN"/>
        </w:rPr>
      </w:pPr>
      <w:r>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rPr>
          <w:szCs w:val="21"/>
          <w:lang w:eastAsia="zh-CN"/>
        </w:rPr>
      </w:pPr>
      <w:r>
        <w:rPr>
          <w:rFonts w:hint="eastAsia"/>
          <w:szCs w:val="21"/>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p>
    <w:p>
      <w:pPr>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ind w:left="1"/>
        <w:rPr>
          <w:b/>
          <w:szCs w:val="21"/>
        </w:rPr>
      </w:pPr>
      <w:r>
        <w:rPr>
          <w:rFonts w:hint="eastAsia"/>
          <w:b/>
          <w:szCs w:val="21"/>
        </w:rPr>
        <w:t>三、违约责任及处理</w:t>
      </w:r>
    </w:p>
    <w:p>
      <w:pPr>
        <w:pStyle w:val="25"/>
        <w:numPr>
          <w:ilvl w:val="0"/>
          <w:numId w:val="4"/>
        </w:numPr>
        <w:autoSpaceDE/>
        <w:autoSpaceDN/>
        <w:spacing w:before="0"/>
        <w:jc w:val="both"/>
        <w:rPr>
          <w:b/>
          <w:szCs w:val="21"/>
          <w:lang w:eastAsia="zh-CN"/>
        </w:rPr>
      </w:pPr>
      <w:r>
        <w:rPr>
          <w:rFonts w:hint="eastAsia"/>
          <w:szCs w:val="21"/>
          <w:lang w:eastAsia="zh-CN"/>
        </w:rPr>
        <w:t>乙方不得将工程违法转包、分包。</w:t>
      </w:r>
    </w:p>
    <w:p>
      <w:pPr>
        <w:rPr>
          <w:szCs w:val="21"/>
          <w:lang w:eastAsia="zh-CN"/>
        </w:rPr>
      </w:pPr>
      <w:r>
        <w:rPr>
          <w:rFonts w:hint="eastAsia"/>
          <w:szCs w:val="21"/>
          <w:lang w:eastAsia="zh-CN"/>
        </w:rPr>
        <w:t>2、发生安全事故时，甲乙双方均有抢险、救灾的义务，所发生的费用由责任方承担。</w:t>
      </w:r>
    </w:p>
    <w:p>
      <w:pPr>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rPr>
          <w:szCs w:val="21"/>
          <w:lang w:eastAsia="zh-CN"/>
        </w:rPr>
      </w:pPr>
      <w:r>
        <w:rPr>
          <w:rFonts w:hint="eastAsia"/>
          <w:szCs w:val="21"/>
          <w:lang w:eastAsia="zh-CN"/>
        </w:rPr>
        <w:t>4、甲方违约造成的事故，甲方承担全部责任，并按规定追究有关人员责任及上报。</w:t>
      </w:r>
    </w:p>
    <w:p>
      <w:pPr>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rPr>
          <w:color w:val="FF0000"/>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rPr>
          <w:color w:val="FF0000"/>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ind w:left="1"/>
        <w:rPr>
          <w:b/>
          <w:szCs w:val="21"/>
          <w:lang w:eastAsia="zh-CN"/>
        </w:rPr>
      </w:pPr>
      <w:r>
        <w:rPr>
          <w:rFonts w:hint="eastAsia"/>
          <w:b/>
          <w:szCs w:val="21"/>
          <w:lang w:eastAsia="zh-CN"/>
        </w:rPr>
        <w:t>四、 不可抗力：</w:t>
      </w:r>
    </w:p>
    <w:p>
      <w:pPr>
        <w:rPr>
          <w:szCs w:val="21"/>
          <w:lang w:eastAsia="zh-CN"/>
        </w:rPr>
      </w:pPr>
      <w:r>
        <w:rPr>
          <w:rFonts w:hint="eastAsia"/>
          <w:szCs w:val="21"/>
          <w:lang w:eastAsia="zh-CN"/>
        </w:rPr>
        <w:t xml:space="preserve"> 由于不可抗力造成合同项目施工作业事故及产生的损失，甲乙双方各自承担相应的损失。</w:t>
      </w:r>
    </w:p>
    <w:p>
      <w:pPr>
        <w:ind w:left="1"/>
        <w:rPr>
          <w:szCs w:val="21"/>
          <w:lang w:eastAsia="zh-CN"/>
        </w:rPr>
      </w:pPr>
      <w:r>
        <w:rPr>
          <w:rFonts w:hint="eastAsia"/>
          <w:b/>
          <w:szCs w:val="21"/>
          <w:lang w:eastAsia="zh-CN"/>
        </w:rPr>
        <w:t>五、</w:t>
      </w:r>
      <w:r>
        <w:rPr>
          <w:rFonts w:hint="eastAsia"/>
          <w:szCs w:val="21"/>
          <w:lang w:eastAsia="zh-CN"/>
        </w:rPr>
        <w:t>本协议书一式6份，甲方执4份，乙方执2份。</w:t>
      </w:r>
    </w:p>
    <w:p>
      <w:pPr>
        <w:ind w:left="1"/>
        <w:rPr>
          <w:szCs w:val="21"/>
          <w:lang w:eastAsia="zh-CN"/>
        </w:rPr>
      </w:pPr>
      <w:r>
        <w:rPr>
          <w:rFonts w:hint="eastAsia"/>
          <w:b/>
          <w:szCs w:val="21"/>
          <w:lang w:eastAsia="zh-CN"/>
        </w:rPr>
        <w:t>六、</w:t>
      </w:r>
      <w:r>
        <w:rPr>
          <w:rFonts w:hint="eastAsia"/>
          <w:szCs w:val="21"/>
          <w:lang w:eastAsia="zh-CN"/>
        </w:rPr>
        <w:t>本协议书经双方盖章后生效。</w:t>
      </w:r>
    </w:p>
    <w:p>
      <w:pPr>
        <w:ind w:left="1"/>
        <w:rPr>
          <w:b/>
          <w:szCs w:val="21"/>
          <w:lang w:eastAsia="zh-CN"/>
        </w:rPr>
      </w:pPr>
      <w:r>
        <w:rPr>
          <w:rFonts w:hint="eastAsia"/>
          <w:b/>
          <w:szCs w:val="21"/>
          <w:lang w:eastAsia="zh-CN"/>
        </w:rPr>
        <w:t>七、协议期限：</w:t>
      </w:r>
    </w:p>
    <w:p>
      <w:pPr>
        <w:rPr>
          <w:szCs w:val="21"/>
          <w:lang w:eastAsia="zh-CN"/>
        </w:rPr>
      </w:pPr>
      <w:r>
        <w:rPr>
          <w:rFonts w:hint="eastAsia"/>
          <w:szCs w:val="21"/>
          <w:lang w:eastAsia="zh-CN"/>
        </w:rPr>
        <w:t>本协议期限应与主合同期限一致。如果主合同因故需要变更期限，本合同应与主同变更至相同期限。</w:t>
      </w:r>
    </w:p>
    <w:p>
      <w:pPr>
        <w:ind w:left="-105"/>
        <w:rPr>
          <w:szCs w:val="21"/>
          <w:lang w:eastAsia="zh-CN"/>
        </w:rPr>
      </w:pPr>
      <w:r>
        <w:rPr>
          <w:rFonts w:hint="eastAsia"/>
          <w:szCs w:val="21"/>
          <w:lang w:eastAsia="zh-CN"/>
        </w:rPr>
        <w:t>（以下无正文）</w:t>
      </w:r>
    </w:p>
    <w:p>
      <w:pPr>
        <w:spacing w:line="276" w:lineRule="auto"/>
        <w:rPr>
          <w:szCs w:val="21"/>
          <w:lang w:eastAsia="zh-CN"/>
        </w:rPr>
      </w:pPr>
    </w:p>
    <w:p>
      <w:pPr>
        <w:spacing w:line="276" w:lineRule="auto"/>
        <w:rPr>
          <w:szCs w:val="21"/>
          <w:lang w:eastAsia="zh-CN"/>
        </w:rPr>
      </w:pPr>
      <w:r>
        <w:rPr>
          <w:rFonts w:hint="eastAsia"/>
          <w:szCs w:val="21"/>
          <w:lang w:eastAsia="zh-CN"/>
        </w:rPr>
        <w:t xml:space="preserve">甲方 (章)：                                  </w:t>
      </w:r>
    </w:p>
    <w:p>
      <w:pPr>
        <w:spacing w:line="276" w:lineRule="auto"/>
        <w:rPr>
          <w:szCs w:val="21"/>
          <w:lang w:eastAsia="zh-CN"/>
        </w:rPr>
      </w:pPr>
    </w:p>
    <w:p>
      <w:pPr>
        <w:spacing w:line="276" w:lineRule="auto"/>
        <w:rPr>
          <w:szCs w:val="21"/>
          <w:lang w:eastAsia="zh-CN"/>
        </w:rPr>
      </w:pPr>
      <w:r>
        <w:rPr>
          <w:rFonts w:hint="eastAsia"/>
          <w:szCs w:val="21"/>
          <w:lang w:eastAsia="zh-CN"/>
        </w:rPr>
        <w:t>腾龙芳烃（漳州）有限公司                   翔鹭石化（漳州）有限公司</w:t>
      </w:r>
    </w:p>
    <w:p>
      <w:pPr>
        <w:spacing w:line="276" w:lineRule="auto"/>
        <w:rPr>
          <w:szCs w:val="21"/>
          <w:lang w:eastAsia="zh-CN"/>
        </w:rPr>
      </w:pPr>
    </w:p>
    <w:p>
      <w:pPr>
        <w:spacing w:line="276" w:lineRule="auto"/>
        <w:rPr>
          <w:szCs w:val="21"/>
          <w:lang w:eastAsia="zh-CN"/>
        </w:rPr>
      </w:pPr>
      <w:r>
        <w:rPr>
          <w:rFonts w:hint="eastAsia"/>
          <w:szCs w:val="21"/>
          <w:lang w:eastAsia="zh-CN"/>
        </w:rPr>
        <w:t xml:space="preserve">签定日期：    年    月    日                   </w:t>
      </w:r>
    </w:p>
    <w:p>
      <w:pPr>
        <w:rPr>
          <w:rFonts w:ascii="Times New Roman" w:hAnsi="Times New Roman" w:cs="Times New Roman"/>
          <w:sz w:val="24"/>
          <w:szCs w:val="24"/>
          <w:lang w:eastAsia="zh-CN"/>
        </w:rPr>
      </w:pPr>
    </w:p>
    <w:p>
      <w:pPr>
        <w:spacing w:line="300" w:lineRule="exact"/>
        <w:rPr>
          <w:sz w:val="32"/>
          <w:szCs w:val="32"/>
          <w:lang w:eastAsia="zh-CN"/>
        </w:rPr>
      </w:pPr>
    </w:p>
    <w:p>
      <w:pPr>
        <w:pStyle w:val="2"/>
      </w:pPr>
      <w:r>
        <w:rPr>
          <w:rFonts w:hint="eastAsia"/>
          <w:szCs w:val="21"/>
        </w:rPr>
        <w:t>乙方(章)：</w:t>
      </w:r>
    </w:p>
    <w:p>
      <w:pPr>
        <w:pStyle w:val="2"/>
        <w:rPr>
          <w:sz w:val="22"/>
        </w:rPr>
      </w:pPr>
      <w:r>
        <w:rPr>
          <w:rFonts w:hint="eastAsia"/>
          <w:sz w:val="22"/>
        </w:rPr>
        <w:t>签定日期：    年    月    日</w:t>
      </w:r>
    </w:p>
    <w:p>
      <w:pPr>
        <w:pStyle w:val="2"/>
      </w:pPr>
    </w:p>
    <w:p>
      <w:pPr>
        <w:pStyle w:val="2"/>
      </w:pPr>
    </w:p>
    <w:p>
      <w:pPr>
        <w:pStyle w:val="2"/>
      </w:pPr>
    </w:p>
    <w:p>
      <w:pPr>
        <w:spacing w:line="300" w:lineRule="exact"/>
        <w:rPr>
          <w:b/>
          <w:sz w:val="28"/>
          <w:szCs w:val="28"/>
          <w:lang w:eastAsia="zh-CN"/>
        </w:rPr>
      </w:pPr>
      <w:r>
        <w:rPr>
          <w:rFonts w:hint="eastAsia"/>
          <w:b/>
          <w:sz w:val="28"/>
          <w:szCs w:val="28"/>
          <w:lang w:eastAsia="zh-CN"/>
        </w:rPr>
        <w:t>附件4：</w:t>
      </w:r>
    </w:p>
    <w:p>
      <w:pPr>
        <w:ind w:left="2891" w:right="11" w:hanging="2891" w:hangingChars="800"/>
        <w:jc w:val="center"/>
        <w:rPr>
          <w:snapToGrid w:val="0"/>
          <w:sz w:val="36"/>
          <w:szCs w:val="36"/>
          <w:lang w:eastAsia="zh-CN"/>
        </w:rPr>
      </w:pPr>
      <w:r>
        <w:rPr>
          <w:rFonts w:hint="eastAsia"/>
          <w:b/>
          <w:snapToGrid w:val="0"/>
          <w:sz w:val="36"/>
          <w:szCs w:val="36"/>
          <w:lang w:eastAsia="zh-CN"/>
        </w:rPr>
        <w:t>建设项目廉洁从业承诺书</w:t>
      </w:r>
    </w:p>
    <w:p>
      <w:pPr>
        <w:rPr>
          <w:color w:val="000000"/>
          <w:sz w:val="21"/>
          <w:szCs w:val="21"/>
          <w:lang w:eastAsia="zh-CN"/>
        </w:rPr>
      </w:pPr>
      <w:r>
        <w:rPr>
          <w:rFonts w:hint="eastAsia"/>
          <w:snapToGrid w:val="0"/>
          <w:sz w:val="21"/>
          <w:szCs w:val="21"/>
          <w:lang w:eastAsia="zh-CN"/>
        </w:rPr>
        <w:t>项目名称：</w:t>
      </w:r>
      <w:r>
        <w:rPr>
          <w:rFonts w:hint="eastAsia"/>
          <w:snapToGrid w:val="0"/>
          <w:sz w:val="21"/>
          <w:szCs w:val="21"/>
          <w:u w:val="single"/>
          <w:lang w:eastAsia="zh-CN"/>
        </w:rPr>
        <w:t>4</w:t>
      </w:r>
      <w:r>
        <w:rPr>
          <w:rFonts w:hint="eastAsia"/>
          <w:bCs/>
          <w:u w:val="single"/>
          <w:lang w:eastAsia="zh-CN"/>
        </w:rPr>
        <w:t>8台塔监测/宏观检查（二期/三期）</w:t>
      </w:r>
      <w:r>
        <w:rPr>
          <w:rFonts w:hint="eastAsia"/>
          <w:sz w:val="21"/>
          <w:szCs w:val="21"/>
          <w:lang w:eastAsia="zh-CN"/>
        </w:rPr>
        <w:t>项目</w:t>
      </w:r>
    </w:p>
    <w:p>
      <w:pPr>
        <w:rPr>
          <w:snapToGrid w:val="0"/>
          <w:sz w:val="21"/>
          <w:szCs w:val="21"/>
          <w:lang w:eastAsia="zh-CN"/>
        </w:rPr>
      </w:pPr>
      <w:r>
        <w:rPr>
          <w:rFonts w:hint="eastAsia"/>
          <w:snapToGrid w:val="0"/>
          <w:sz w:val="21"/>
          <w:szCs w:val="21"/>
          <w:lang w:eastAsia="zh-CN"/>
        </w:rPr>
        <w:t>项目地址：</w:t>
      </w:r>
      <w:r>
        <w:rPr>
          <w:rFonts w:hint="eastAsia"/>
          <w:sz w:val="21"/>
          <w:szCs w:val="21"/>
          <w:lang w:eastAsia="zh-CN"/>
        </w:rPr>
        <w:t>漳州市古雷经济开发区腾龙路84</w:t>
      </w:r>
      <w:r>
        <w:rPr>
          <w:sz w:val="21"/>
          <w:szCs w:val="21"/>
          <w:lang w:eastAsia="zh-CN"/>
        </w:rPr>
        <w:t>号</w:t>
      </w:r>
    </w:p>
    <w:p>
      <w:pPr>
        <w:ind w:left="1920" w:right="11" w:hanging="1920"/>
        <w:outlineLvl w:val="0"/>
        <w:rPr>
          <w:snapToGrid w:val="0"/>
          <w:sz w:val="21"/>
          <w:szCs w:val="21"/>
          <w:lang w:val="zh-CN" w:eastAsia="zh-CN"/>
        </w:rPr>
      </w:pPr>
      <w:r>
        <w:rPr>
          <w:rFonts w:hint="eastAsia"/>
          <w:snapToGrid w:val="0"/>
          <w:sz w:val="21"/>
          <w:szCs w:val="21"/>
          <w:lang w:val="zh-CN" w:eastAsia="zh-CN"/>
        </w:rPr>
        <w:t>甲方：</w:t>
      </w:r>
      <w:r>
        <w:rPr>
          <w:rFonts w:hint="eastAsia"/>
          <w:snapToGrid w:val="0"/>
          <w:sz w:val="21"/>
          <w:szCs w:val="21"/>
          <w:lang w:eastAsia="zh-CN"/>
        </w:rPr>
        <w:t>腾龙芳烃（漳州）有限公司  、翔鹭石化（漳州）有限公司</w:t>
      </w:r>
    </w:p>
    <w:p>
      <w:pPr>
        <w:ind w:left="1920" w:right="11" w:hanging="1920"/>
        <w:outlineLvl w:val="0"/>
        <w:rPr>
          <w:snapToGrid w:val="0"/>
          <w:sz w:val="21"/>
          <w:szCs w:val="21"/>
          <w:lang w:val="zh-CN" w:eastAsia="zh-CN"/>
        </w:rPr>
      </w:pPr>
      <w:r>
        <w:rPr>
          <w:rFonts w:hint="eastAsia"/>
          <w:snapToGrid w:val="0"/>
          <w:sz w:val="21"/>
          <w:szCs w:val="21"/>
          <w:lang w:val="zh-CN" w:eastAsia="zh-CN"/>
        </w:rPr>
        <w:t>乙方：</w:t>
      </w:r>
      <w:r>
        <w:rPr>
          <w:snapToGrid w:val="0"/>
          <w:sz w:val="21"/>
          <w:szCs w:val="21"/>
          <w:lang w:val="zh-CN" w:eastAsia="zh-CN"/>
        </w:rPr>
        <w:t xml:space="preserve"> </w:t>
      </w:r>
    </w:p>
    <w:p>
      <w:pPr>
        <w:ind w:firstLine="420" w:firstLineChars="200"/>
        <w:rPr>
          <w:snapToGrid w:val="0"/>
          <w:sz w:val="21"/>
          <w:szCs w:val="21"/>
          <w:lang w:eastAsia="zh-CN"/>
        </w:rPr>
      </w:pPr>
      <w:r>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合法权益，根据国家有关工程建设法律法规和廉政建设责任制规定，特订立本建设项目廉洁工程承诺书。</w:t>
      </w:r>
    </w:p>
    <w:p>
      <w:pPr>
        <w:pStyle w:val="8"/>
        <w:adjustRightInd w:val="0"/>
        <w:spacing w:after="0"/>
        <w:ind w:left="418" w:leftChars="190"/>
        <w:outlineLvl w:val="0"/>
        <w:rPr>
          <w:b/>
          <w:snapToGrid w:val="0"/>
          <w:sz w:val="21"/>
          <w:szCs w:val="21"/>
          <w:lang w:eastAsia="zh-CN"/>
        </w:rPr>
      </w:pPr>
      <w:r>
        <w:rPr>
          <w:b/>
          <w:bCs/>
          <w:snapToGrid w:val="0"/>
          <w:sz w:val="21"/>
          <w:szCs w:val="21"/>
          <w:lang w:eastAsia="zh-CN"/>
        </w:rPr>
        <w:t>第一条 甲乙</w:t>
      </w:r>
      <w:r>
        <w:rPr>
          <w:b/>
          <w:snapToGrid w:val="0"/>
          <w:sz w:val="21"/>
          <w:szCs w:val="21"/>
          <w:lang w:eastAsia="zh-CN"/>
        </w:rPr>
        <w:t>双方的责任和义务</w:t>
      </w:r>
    </w:p>
    <w:p>
      <w:pPr>
        <w:rPr>
          <w:snapToGrid w:val="0"/>
          <w:sz w:val="21"/>
          <w:szCs w:val="21"/>
          <w:lang w:eastAsia="zh-CN"/>
        </w:rPr>
      </w:pPr>
      <w:r>
        <w:rPr>
          <w:rFonts w:hint="eastAsia"/>
          <w:snapToGrid w:val="0"/>
          <w:sz w:val="21"/>
          <w:szCs w:val="21"/>
          <w:lang w:eastAsia="zh-CN"/>
        </w:rPr>
        <w:t>（一）严格遵守国家关于市场准入、项目招标投标、工程施工、工程验收、结算和市场活动等有关法律、法规、相关政策，以及廉政建设的各项约定。</w:t>
      </w:r>
    </w:p>
    <w:p>
      <w:pPr>
        <w:rPr>
          <w:snapToGrid w:val="0"/>
          <w:sz w:val="21"/>
          <w:szCs w:val="21"/>
          <w:lang w:eastAsia="zh-CN"/>
        </w:rPr>
      </w:pPr>
      <w:r>
        <w:rPr>
          <w:rFonts w:hint="eastAsia"/>
          <w:snapToGrid w:val="0"/>
          <w:sz w:val="21"/>
          <w:szCs w:val="21"/>
          <w:lang w:eastAsia="zh-CN"/>
        </w:rPr>
        <w:t>（二）严格执行建设工程项目承发包合同文件，自觉按合同办事。</w:t>
      </w:r>
    </w:p>
    <w:p>
      <w:pPr>
        <w:rPr>
          <w:snapToGrid w:val="0"/>
          <w:sz w:val="21"/>
          <w:szCs w:val="21"/>
          <w:lang w:eastAsia="zh-CN"/>
        </w:rPr>
      </w:pPr>
      <w:r>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pPr>
        <w:rPr>
          <w:snapToGrid w:val="0"/>
          <w:sz w:val="21"/>
          <w:szCs w:val="21"/>
          <w:lang w:eastAsia="zh-CN"/>
        </w:rPr>
      </w:pPr>
      <w:r>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pPr>
        <w:rPr>
          <w:snapToGrid w:val="0"/>
          <w:sz w:val="21"/>
          <w:szCs w:val="21"/>
          <w:lang w:eastAsia="zh-CN"/>
        </w:rPr>
      </w:pPr>
      <w:r>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pPr>
        <w:ind w:firstLine="422" w:firstLineChars="200"/>
        <w:outlineLvl w:val="0"/>
        <w:rPr>
          <w:b/>
          <w:snapToGrid w:val="0"/>
          <w:sz w:val="21"/>
          <w:szCs w:val="21"/>
          <w:lang w:eastAsia="zh-CN"/>
        </w:rPr>
      </w:pPr>
      <w:r>
        <w:rPr>
          <w:rFonts w:hint="eastAsia"/>
          <w:b/>
          <w:bCs/>
          <w:snapToGrid w:val="0"/>
          <w:sz w:val="21"/>
          <w:szCs w:val="21"/>
          <w:lang w:eastAsia="zh-CN"/>
        </w:rPr>
        <w:t xml:space="preserve">第二条 </w:t>
      </w:r>
      <w:r>
        <w:rPr>
          <w:rFonts w:hint="eastAsia"/>
          <w:b/>
          <w:snapToGrid w:val="0"/>
          <w:sz w:val="21"/>
          <w:szCs w:val="21"/>
          <w:lang w:eastAsia="zh-CN"/>
        </w:rPr>
        <w:t>甲方承诺</w:t>
      </w:r>
    </w:p>
    <w:p>
      <w:pPr>
        <w:ind w:firstLine="420" w:firstLineChars="200"/>
        <w:rPr>
          <w:snapToGrid w:val="0"/>
          <w:sz w:val="21"/>
          <w:szCs w:val="21"/>
          <w:lang w:eastAsia="zh-CN"/>
        </w:rPr>
      </w:pPr>
      <w:r>
        <w:rPr>
          <w:rFonts w:hint="eastAsia"/>
          <w:snapToGrid w:val="0"/>
          <w:sz w:val="21"/>
          <w:szCs w:val="21"/>
          <w:lang w:eastAsia="zh-CN"/>
        </w:rPr>
        <w:t>甲方领导干部和从事该工程建设的管理人员，在工程建设实施过程中遵守以下规定：</w:t>
      </w:r>
    </w:p>
    <w:p>
      <w:pPr>
        <w:rPr>
          <w:snapToGrid w:val="0"/>
          <w:sz w:val="21"/>
          <w:szCs w:val="21"/>
          <w:lang w:eastAsia="zh-CN"/>
        </w:rPr>
      </w:pPr>
      <w:r>
        <w:rPr>
          <w:rFonts w:hint="eastAsia"/>
          <w:snapToGrid w:val="0"/>
          <w:sz w:val="21"/>
          <w:szCs w:val="21"/>
          <w:lang w:eastAsia="zh-CN"/>
        </w:rPr>
        <w:t>（一）不准向乙方和相关单位或个人索取钱物或接受回扣、礼金、各种有价证券、信用卡和好处费、感谢费以及其它支付凭证等。</w:t>
      </w:r>
    </w:p>
    <w:p>
      <w:pPr>
        <w:rPr>
          <w:snapToGrid w:val="0"/>
          <w:sz w:val="21"/>
          <w:szCs w:val="21"/>
          <w:lang w:eastAsia="zh-CN"/>
        </w:rPr>
      </w:pPr>
      <w:r>
        <w:rPr>
          <w:rFonts w:hint="eastAsia"/>
          <w:snapToGrid w:val="0"/>
          <w:sz w:val="21"/>
          <w:szCs w:val="21"/>
          <w:lang w:eastAsia="zh-CN"/>
        </w:rPr>
        <w:t>（二）不准接受可能影响公正执行公务的乙方和相关单位或个人的礼物馈赠、宴请、各种形式俱乐部会员资格、高消费娱乐活动。</w:t>
      </w:r>
    </w:p>
    <w:p>
      <w:pPr>
        <w:rPr>
          <w:snapToGrid w:val="0"/>
          <w:sz w:val="21"/>
          <w:szCs w:val="21"/>
          <w:lang w:eastAsia="zh-CN"/>
        </w:rPr>
      </w:pPr>
      <w:r>
        <w:rPr>
          <w:rFonts w:hint="eastAsia"/>
          <w:snapToGrid w:val="0"/>
          <w:sz w:val="21"/>
          <w:szCs w:val="21"/>
          <w:lang w:eastAsia="zh-CN"/>
        </w:rPr>
        <w:t>（三）不准在乙方和相关单位报销任何应由甲方或个人负担的费用。</w:t>
      </w:r>
    </w:p>
    <w:p>
      <w:pPr>
        <w:rPr>
          <w:snapToGrid w:val="0"/>
          <w:sz w:val="21"/>
          <w:szCs w:val="21"/>
          <w:lang w:eastAsia="zh-CN"/>
        </w:rPr>
      </w:pPr>
      <w:r>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pPr>
        <w:rPr>
          <w:snapToGrid w:val="0"/>
          <w:sz w:val="21"/>
          <w:szCs w:val="21"/>
          <w:lang w:eastAsia="zh-CN"/>
        </w:rPr>
      </w:pPr>
      <w:r>
        <w:rPr>
          <w:rFonts w:hint="eastAsia"/>
          <w:snapToGrid w:val="0"/>
          <w:sz w:val="21"/>
          <w:szCs w:val="21"/>
          <w:lang w:eastAsia="zh-CN"/>
        </w:rPr>
        <w:t>（五）不准向乙方介绍或为配偶、子女、其他亲属朋友及身边工作人员参与同甲方项目工程合同有关的设备、材料、工程分包、劳务等经济活动。</w:t>
      </w:r>
    </w:p>
    <w:p>
      <w:pPr>
        <w:rPr>
          <w:snapToGrid w:val="0"/>
          <w:sz w:val="21"/>
          <w:szCs w:val="21"/>
          <w:lang w:eastAsia="zh-CN"/>
        </w:rPr>
      </w:pPr>
      <w:r>
        <w:rPr>
          <w:rFonts w:hint="eastAsia"/>
          <w:snapToGrid w:val="0"/>
          <w:sz w:val="21"/>
          <w:szCs w:val="21"/>
          <w:lang w:eastAsia="zh-CN"/>
        </w:rPr>
        <w:t>（六）不得以任何理由向乙方和相关单位推荐分包单位和要求或暗示乙方购买项目工程合同规定以外的材料、设备等。</w:t>
      </w:r>
    </w:p>
    <w:p>
      <w:pPr>
        <w:ind w:firstLine="422" w:firstLineChars="200"/>
        <w:outlineLvl w:val="0"/>
        <w:rPr>
          <w:b/>
          <w:snapToGrid w:val="0"/>
          <w:sz w:val="21"/>
          <w:szCs w:val="21"/>
          <w:lang w:eastAsia="zh-CN"/>
        </w:rPr>
      </w:pPr>
      <w:r>
        <w:rPr>
          <w:rFonts w:hint="eastAsia"/>
          <w:b/>
          <w:bCs/>
          <w:snapToGrid w:val="0"/>
          <w:sz w:val="21"/>
          <w:szCs w:val="21"/>
          <w:lang w:eastAsia="zh-CN"/>
        </w:rPr>
        <w:t xml:space="preserve">第三条 </w:t>
      </w:r>
      <w:r>
        <w:rPr>
          <w:rFonts w:hint="eastAsia"/>
          <w:b/>
          <w:snapToGrid w:val="0"/>
          <w:sz w:val="21"/>
          <w:szCs w:val="21"/>
          <w:lang w:eastAsia="zh-CN"/>
        </w:rPr>
        <w:t>乙方承诺</w:t>
      </w:r>
    </w:p>
    <w:p>
      <w:pPr>
        <w:ind w:firstLine="420" w:firstLineChars="200"/>
        <w:rPr>
          <w:snapToGrid w:val="0"/>
          <w:sz w:val="21"/>
          <w:szCs w:val="21"/>
          <w:lang w:eastAsia="zh-CN"/>
        </w:rPr>
      </w:pPr>
      <w:r>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pPr>
        <w:rPr>
          <w:snapToGrid w:val="0"/>
          <w:sz w:val="21"/>
          <w:szCs w:val="21"/>
          <w:lang w:eastAsia="zh-CN"/>
        </w:rPr>
      </w:pPr>
      <w:r>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pPr>
        <w:rPr>
          <w:snapToGrid w:val="0"/>
          <w:sz w:val="21"/>
          <w:szCs w:val="21"/>
          <w:lang w:eastAsia="zh-CN"/>
        </w:rPr>
      </w:pPr>
      <w:r>
        <w:rPr>
          <w:rFonts w:hint="eastAsia"/>
          <w:snapToGrid w:val="0"/>
          <w:sz w:val="21"/>
          <w:szCs w:val="21"/>
          <w:lang w:eastAsia="zh-CN"/>
        </w:rPr>
        <w:t>（二）不准以任何理由为甲方、相关单位或个人组织有可能影响公正执行公务的宴请、各种形式俱乐部及高消费娱乐等活动。</w:t>
      </w:r>
    </w:p>
    <w:p>
      <w:pPr>
        <w:rPr>
          <w:snapToGrid w:val="0"/>
          <w:sz w:val="21"/>
          <w:szCs w:val="21"/>
          <w:lang w:eastAsia="zh-CN"/>
        </w:rPr>
      </w:pPr>
      <w:r>
        <w:rPr>
          <w:rFonts w:hint="eastAsia"/>
          <w:snapToGrid w:val="0"/>
          <w:sz w:val="21"/>
          <w:szCs w:val="21"/>
          <w:lang w:eastAsia="zh-CN"/>
        </w:rPr>
        <w:t>（三）不准以任何理由为甲方和相关单位或个人报销应由对方或个人支付的费用。</w:t>
      </w:r>
    </w:p>
    <w:p>
      <w:pPr>
        <w:rPr>
          <w:snapToGrid w:val="0"/>
          <w:sz w:val="21"/>
          <w:szCs w:val="21"/>
          <w:lang w:eastAsia="zh-CN"/>
        </w:rPr>
      </w:pPr>
      <w:r>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pPr>
        <w:rPr>
          <w:snapToGrid w:val="0"/>
          <w:sz w:val="21"/>
          <w:szCs w:val="21"/>
          <w:lang w:eastAsia="zh-CN"/>
        </w:rPr>
      </w:pPr>
      <w:r>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pPr>
        <w:ind w:firstLine="422" w:firstLineChars="200"/>
        <w:outlineLvl w:val="0"/>
        <w:rPr>
          <w:b/>
          <w:snapToGrid w:val="0"/>
          <w:sz w:val="21"/>
          <w:szCs w:val="21"/>
          <w:lang w:eastAsia="zh-CN"/>
        </w:rPr>
      </w:pPr>
      <w:r>
        <w:rPr>
          <w:rFonts w:hint="eastAsia"/>
          <w:b/>
          <w:bCs/>
          <w:snapToGrid w:val="0"/>
          <w:sz w:val="21"/>
          <w:szCs w:val="21"/>
          <w:lang w:eastAsia="zh-CN"/>
        </w:rPr>
        <w:t xml:space="preserve">第四条 </w:t>
      </w:r>
      <w:r>
        <w:rPr>
          <w:rFonts w:hint="eastAsia"/>
          <w:b/>
          <w:snapToGrid w:val="0"/>
          <w:sz w:val="21"/>
          <w:szCs w:val="21"/>
          <w:lang w:eastAsia="zh-CN"/>
        </w:rPr>
        <w:t>违约责任</w:t>
      </w:r>
    </w:p>
    <w:p>
      <w:pPr>
        <w:rPr>
          <w:snapToGrid w:val="0"/>
          <w:sz w:val="21"/>
          <w:szCs w:val="21"/>
          <w:lang w:eastAsia="zh-CN"/>
        </w:rPr>
      </w:pPr>
      <w:r>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pPr>
        <w:rPr>
          <w:snapToGrid w:val="0"/>
          <w:sz w:val="21"/>
          <w:szCs w:val="21"/>
          <w:lang w:eastAsia="zh-CN"/>
        </w:rPr>
      </w:pPr>
      <w:r>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pPr>
        <w:outlineLvl w:val="0"/>
        <w:rPr>
          <w:snapToGrid w:val="0"/>
          <w:sz w:val="21"/>
          <w:szCs w:val="21"/>
          <w:lang w:eastAsia="zh-CN"/>
        </w:rPr>
      </w:pPr>
      <w:r>
        <w:rPr>
          <w:rFonts w:hint="eastAsia"/>
          <w:b/>
          <w:bCs/>
          <w:snapToGrid w:val="0"/>
          <w:sz w:val="21"/>
          <w:szCs w:val="21"/>
          <w:lang w:eastAsia="zh-CN"/>
        </w:rPr>
        <w:t>第五条 直接责任人、监督部门及举报电话</w:t>
      </w:r>
    </w:p>
    <w:p>
      <w:pPr>
        <w:rPr>
          <w:snapToGrid w:val="0"/>
          <w:sz w:val="21"/>
          <w:szCs w:val="21"/>
          <w:lang w:eastAsia="zh-CN"/>
        </w:rPr>
      </w:pPr>
      <w:r>
        <w:rPr>
          <w:rFonts w:hint="eastAsia"/>
          <w:snapToGrid w:val="0"/>
          <w:sz w:val="21"/>
          <w:szCs w:val="21"/>
          <w:lang w:eastAsia="zh-CN"/>
        </w:rPr>
        <w:t>（一）甲方本合同工程廉洁工程直接责任人：</w:t>
      </w:r>
      <w:r>
        <w:rPr>
          <w:rFonts w:hint="eastAsia"/>
          <w:snapToGrid w:val="0"/>
          <w:sz w:val="21"/>
          <w:szCs w:val="21"/>
          <w:u w:val="single"/>
          <w:lang w:eastAsia="zh-CN"/>
        </w:rPr>
        <w:t xml:space="preserve">_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_；监督部门：纪检监察室，举报电话/电子邮箱：</w:t>
      </w:r>
      <w:r>
        <w:rPr>
          <w:rFonts w:hint="eastAsia"/>
          <w:snapToGrid w:val="0"/>
          <w:sz w:val="21"/>
          <w:szCs w:val="21"/>
          <w:u w:val="single"/>
          <w:lang w:eastAsia="zh-CN"/>
        </w:rPr>
        <w:t xml:space="preserve"> </w:t>
      </w:r>
      <w:r>
        <w:rPr>
          <w:rFonts w:hint="eastAsia" w:cs="Helvetica"/>
          <w:color w:val="333333"/>
          <w:sz w:val="21"/>
          <w:szCs w:val="21"/>
          <w:u w:val="single"/>
          <w:lang w:eastAsia="zh-CN"/>
        </w:rPr>
        <w:t>0596-6311774</w:t>
      </w:r>
      <w:r>
        <w:rPr>
          <w:rFonts w:hint="eastAsia"/>
          <w:snapToGrid w:val="0"/>
          <w:sz w:val="21"/>
          <w:szCs w:val="21"/>
          <w:u w:val="single"/>
          <w:lang w:eastAsia="zh-CN"/>
        </w:rPr>
        <w:t xml:space="preserve"> </w:t>
      </w:r>
      <w:r>
        <w:rPr>
          <w:rFonts w:hint="eastAsia"/>
          <w:snapToGrid w:val="0"/>
          <w:sz w:val="21"/>
          <w:szCs w:val="21"/>
          <w:lang w:eastAsia="zh-CN"/>
        </w:rPr>
        <w:t xml:space="preserve">/ </w:t>
      </w:r>
      <w:r>
        <w:fldChar w:fldCharType="begin"/>
      </w:r>
      <w:r>
        <w:instrText xml:space="preserve"> HYPERLINK "http://www.gcpo.com.cn" </w:instrText>
      </w:r>
      <w:r>
        <w:fldChar w:fldCharType="separate"/>
      </w:r>
      <w:r>
        <w:fldChar w:fldCharType="end"/>
      </w:r>
      <w:r>
        <w:rPr>
          <w:rFonts w:hint="eastAsia"/>
          <w:snapToGrid w:val="0"/>
          <w:sz w:val="21"/>
          <w:szCs w:val="21"/>
          <w:u w:val="single"/>
          <w:lang w:eastAsia="zh-CN"/>
        </w:rPr>
        <w:t xml:space="preserve"> fhcjc@fhcpec.com.cn </w:t>
      </w:r>
      <w:r>
        <w:rPr>
          <w:rFonts w:hint="eastAsia"/>
          <w:snapToGrid w:val="0"/>
          <w:sz w:val="21"/>
          <w:szCs w:val="21"/>
          <w:lang w:eastAsia="zh-CN"/>
        </w:rPr>
        <w:t>（纪委书记信箱）。</w:t>
      </w:r>
    </w:p>
    <w:p>
      <w:pPr>
        <w:rPr>
          <w:snapToGrid w:val="0"/>
          <w:sz w:val="21"/>
          <w:szCs w:val="21"/>
          <w:lang w:eastAsia="zh-CN"/>
        </w:rPr>
      </w:pPr>
      <w:r>
        <w:rPr>
          <w:rFonts w:hint="eastAsia"/>
          <w:snapToGrid w:val="0"/>
          <w:sz w:val="21"/>
          <w:szCs w:val="21"/>
          <w:lang w:eastAsia="zh-CN"/>
        </w:rPr>
        <w:t>（二）乙方本合同工程廉洁工程直接责任人：_</w:t>
      </w:r>
      <w:r>
        <w:rPr>
          <w:rFonts w:hint="eastAsia"/>
          <w:snapToGrid w:val="0"/>
          <w:sz w:val="21"/>
          <w:szCs w:val="21"/>
          <w:u w:val="single"/>
          <w:lang w:eastAsia="zh-CN"/>
        </w:rPr>
        <w:t xml:space="preserve">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__，职称：________；主管/监督部门：________，举报电话：________。</w:t>
      </w:r>
    </w:p>
    <w:p>
      <w:pPr>
        <w:ind w:firstLine="422" w:firstLineChars="200"/>
        <w:outlineLvl w:val="0"/>
        <w:rPr>
          <w:snapToGrid w:val="0"/>
          <w:sz w:val="21"/>
          <w:szCs w:val="21"/>
          <w:lang w:eastAsia="zh-CN"/>
        </w:rPr>
      </w:pPr>
      <w:r>
        <w:rPr>
          <w:rFonts w:hint="eastAsia"/>
          <w:b/>
          <w:bCs/>
          <w:snapToGrid w:val="0"/>
          <w:sz w:val="21"/>
          <w:szCs w:val="21"/>
          <w:lang w:eastAsia="zh-CN"/>
        </w:rPr>
        <w:t xml:space="preserve">第六条  </w:t>
      </w:r>
      <w:r>
        <w:rPr>
          <w:rFonts w:hint="eastAsia"/>
          <w:snapToGrid w:val="0"/>
          <w:sz w:val="21"/>
          <w:szCs w:val="21"/>
          <w:lang w:eastAsia="zh-CN"/>
        </w:rPr>
        <w:t>本承诺书作为工程合同的附件，与工程合同具有同等法律效力。经双方签署后立即生效。</w:t>
      </w:r>
    </w:p>
    <w:p>
      <w:pPr>
        <w:ind w:firstLine="422" w:firstLineChars="200"/>
        <w:outlineLvl w:val="0"/>
        <w:rPr>
          <w:snapToGrid w:val="0"/>
          <w:sz w:val="21"/>
          <w:szCs w:val="21"/>
          <w:lang w:eastAsia="zh-CN"/>
        </w:rPr>
      </w:pPr>
      <w:r>
        <w:rPr>
          <w:rFonts w:hint="eastAsia"/>
          <w:b/>
          <w:bCs/>
          <w:snapToGrid w:val="0"/>
          <w:sz w:val="21"/>
          <w:szCs w:val="21"/>
          <w:lang w:eastAsia="zh-CN"/>
        </w:rPr>
        <w:t xml:space="preserve">第七条 </w:t>
      </w:r>
      <w:r>
        <w:rPr>
          <w:rFonts w:hint="eastAsia"/>
          <w:snapToGrid w:val="0"/>
          <w:sz w:val="21"/>
          <w:szCs w:val="21"/>
          <w:lang w:eastAsia="zh-CN"/>
        </w:rPr>
        <w:t>本承诺书一式_</w:t>
      </w:r>
      <w:r>
        <w:rPr>
          <w:snapToGrid w:val="0"/>
          <w:sz w:val="21"/>
          <w:szCs w:val="21"/>
          <w:lang w:eastAsia="zh-CN"/>
        </w:rPr>
        <w:t>6</w:t>
      </w:r>
      <w:r>
        <w:rPr>
          <w:rFonts w:hint="eastAsia"/>
          <w:snapToGrid w:val="0"/>
          <w:sz w:val="21"/>
          <w:szCs w:val="21"/>
          <w:lang w:eastAsia="zh-CN"/>
        </w:rPr>
        <w:t>_份，甲方执_</w:t>
      </w:r>
      <w:r>
        <w:rPr>
          <w:snapToGrid w:val="0"/>
          <w:sz w:val="21"/>
          <w:szCs w:val="21"/>
          <w:lang w:eastAsia="zh-CN"/>
        </w:rPr>
        <w:t>4</w:t>
      </w:r>
      <w:r>
        <w:rPr>
          <w:rFonts w:hint="eastAsia"/>
          <w:snapToGrid w:val="0"/>
          <w:sz w:val="21"/>
          <w:szCs w:val="21"/>
          <w:lang w:eastAsia="zh-CN"/>
        </w:rPr>
        <w:t>__份，乙方执__</w:t>
      </w:r>
      <w:r>
        <w:rPr>
          <w:snapToGrid w:val="0"/>
          <w:sz w:val="21"/>
          <w:szCs w:val="21"/>
          <w:lang w:eastAsia="zh-CN"/>
        </w:rPr>
        <w:t>2</w:t>
      </w:r>
      <w:r>
        <w:rPr>
          <w:rFonts w:hint="eastAsia"/>
          <w:snapToGrid w:val="0"/>
          <w:sz w:val="21"/>
          <w:szCs w:val="21"/>
          <w:lang w:eastAsia="zh-CN"/>
        </w:rPr>
        <w:t>_份，有效期为双方签署之日起至所属工程项目竣工结算完毕时止。</w:t>
      </w:r>
    </w:p>
    <w:p>
      <w:pPr>
        <w:rPr>
          <w:sz w:val="21"/>
          <w:szCs w:val="21"/>
          <w:lang w:eastAsia="zh-CN"/>
        </w:rPr>
      </w:pPr>
      <w:r>
        <w:rPr>
          <w:rFonts w:hint="eastAsia"/>
          <w:sz w:val="21"/>
          <w:szCs w:val="21"/>
          <w:lang w:eastAsia="zh-CN"/>
        </w:rPr>
        <w:t>甲方（名称）：</w:t>
      </w:r>
      <w:r>
        <w:rPr>
          <w:sz w:val="21"/>
          <w:szCs w:val="21"/>
          <w:lang w:eastAsia="zh-CN"/>
        </w:rPr>
        <w:tab/>
      </w:r>
      <w:r>
        <w:rPr>
          <w:rFonts w:hint="eastAsia"/>
          <w:sz w:val="21"/>
          <w:szCs w:val="21"/>
          <w:lang w:eastAsia="zh-CN"/>
        </w:rPr>
        <w:t xml:space="preserve">                     </w:t>
      </w:r>
    </w:p>
    <w:p>
      <w:pPr>
        <w:rPr>
          <w:sz w:val="21"/>
          <w:szCs w:val="21"/>
          <w:lang w:eastAsia="zh-CN"/>
        </w:rPr>
      </w:pPr>
      <w:r>
        <w:rPr>
          <w:rFonts w:hint="eastAsia"/>
          <w:spacing w:val="-2"/>
          <w:sz w:val="21"/>
          <w:szCs w:val="21"/>
          <w:lang w:eastAsia="zh-CN"/>
        </w:rPr>
        <w:t>腾龙芳烃（漳州）有限公司</w:t>
      </w:r>
      <w:r>
        <w:rPr>
          <w:rFonts w:hint="eastAsia"/>
          <w:sz w:val="21"/>
          <w:szCs w:val="21"/>
          <w:lang w:eastAsia="zh-CN"/>
        </w:rPr>
        <w:t xml:space="preserve">   </w:t>
      </w:r>
      <w:r>
        <w:rPr>
          <w:sz w:val="21"/>
          <w:szCs w:val="21"/>
          <w:lang w:eastAsia="zh-CN"/>
        </w:rPr>
        <w:t xml:space="preserve">    </w:t>
      </w:r>
      <w:r>
        <w:rPr>
          <w:rFonts w:hint="eastAsia"/>
          <w:sz w:val="21"/>
          <w:szCs w:val="21"/>
          <w:lang w:eastAsia="zh-CN"/>
        </w:rPr>
        <w:t xml:space="preserve">       翔鹭石化（漳州）有限公司 </w:t>
      </w:r>
    </w:p>
    <w:p>
      <w:pPr>
        <w:ind w:left="4200" w:hanging="4200" w:hangingChars="2000"/>
        <w:rPr>
          <w:sz w:val="21"/>
          <w:szCs w:val="21"/>
          <w:lang w:eastAsia="zh-CN"/>
        </w:rPr>
      </w:pPr>
      <w:r>
        <w:rPr>
          <w:rFonts w:hint="eastAsia"/>
          <w:sz w:val="21"/>
          <w:szCs w:val="21"/>
          <w:lang w:eastAsia="zh-CN"/>
        </w:rPr>
        <w:t>地址：漳州</w:t>
      </w:r>
      <w:r>
        <w:rPr>
          <w:sz w:val="21"/>
          <w:szCs w:val="21"/>
          <w:lang w:eastAsia="zh-CN"/>
        </w:rPr>
        <w:t>市古雷经济开发区腾龙路</w:t>
      </w:r>
      <w:r>
        <w:rPr>
          <w:rFonts w:hint="eastAsia"/>
          <w:sz w:val="21"/>
          <w:szCs w:val="21"/>
          <w:lang w:eastAsia="zh-CN"/>
        </w:rPr>
        <w:t>84</w:t>
      </w:r>
      <w:r>
        <w:rPr>
          <w:sz w:val="21"/>
          <w:szCs w:val="21"/>
          <w:lang w:eastAsia="zh-CN"/>
        </w:rPr>
        <w:t xml:space="preserve">号 </w:t>
      </w:r>
      <w:r>
        <w:rPr>
          <w:rFonts w:hint="eastAsia"/>
          <w:sz w:val="21"/>
          <w:szCs w:val="21"/>
          <w:lang w:eastAsia="zh-CN"/>
        </w:rPr>
        <w:t xml:space="preserve"> 地址：漳州</w:t>
      </w:r>
      <w:r>
        <w:rPr>
          <w:sz w:val="21"/>
          <w:szCs w:val="21"/>
          <w:lang w:eastAsia="zh-CN"/>
        </w:rPr>
        <w:t>市古雷经济开发区腾龙路</w:t>
      </w:r>
      <w:r>
        <w:rPr>
          <w:rFonts w:hint="eastAsia"/>
          <w:sz w:val="21"/>
          <w:szCs w:val="21"/>
          <w:lang w:eastAsia="zh-CN"/>
        </w:rPr>
        <w:t>86</w:t>
      </w:r>
      <w:r>
        <w:rPr>
          <w:sz w:val="21"/>
          <w:szCs w:val="21"/>
          <w:lang w:eastAsia="zh-CN"/>
        </w:rPr>
        <w:t>号</w:t>
      </w:r>
    </w:p>
    <w:p>
      <w:pPr>
        <w:rPr>
          <w:sz w:val="21"/>
          <w:szCs w:val="21"/>
          <w:lang w:eastAsia="zh-CN"/>
        </w:rPr>
      </w:pPr>
      <w:r>
        <w:rPr>
          <w:rFonts w:hint="eastAsia"/>
          <w:sz w:val="21"/>
          <w:szCs w:val="21"/>
          <w:lang w:eastAsia="zh-CN"/>
        </w:rPr>
        <w:t>日期：</w:t>
      </w:r>
      <w:r>
        <w:rPr>
          <w:sz w:val="21"/>
          <w:szCs w:val="21"/>
          <w:lang w:eastAsia="zh-CN"/>
        </w:rPr>
        <w:t xml:space="preserve"> </w:t>
      </w:r>
      <w:r>
        <w:rPr>
          <w:sz w:val="21"/>
          <w:szCs w:val="21"/>
          <w:u w:val="single"/>
          <w:lang w:eastAsia="zh-CN"/>
        </w:rPr>
        <w:t xml:space="preserve"> 202</w:t>
      </w:r>
      <w:r>
        <w:rPr>
          <w:rFonts w:hint="eastAsia"/>
          <w:sz w:val="21"/>
          <w:szCs w:val="21"/>
          <w:u w:val="single"/>
          <w:lang w:eastAsia="zh-CN"/>
        </w:rPr>
        <w:t>1</w:t>
      </w:r>
      <w:r>
        <w:rPr>
          <w:sz w:val="21"/>
          <w:szCs w:val="21"/>
          <w:u w:val="single"/>
          <w:lang w:eastAsia="zh-CN"/>
        </w:rPr>
        <w:t xml:space="preserve"> </w:t>
      </w:r>
      <w:r>
        <w:rPr>
          <w:rFonts w:hint="eastAsia"/>
          <w:sz w:val="21"/>
          <w:szCs w:val="21"/>
          <w:lang w:eastAsia="zh-CN"/>
        </w:rPr>
        <w:t>年</w:t>
      </w:r>
      <w:r>
        <w:rPr>
          <w:sz w:val="21"/>
          <w:szCs w:val="21"/>
          <w:u w:val="single"/>
          <w:lang w:eastAsia="zh-CN"/>
        </w:rPr>
        <w:t xml:space="preserve"> </w:t>
      </w:r>
      <w:r>
        <w:rPr>
          <w:rFonts w:hint="eastAsia"/>
          <w:sz w:val="21"/>
          <w:szCs w:val="21"/>
          <w:u w:val="single"/>
          <w:lang w:eastAsia="zh-CN"/>
        </w:rPr>
        <w:t xml:space="preserve">  </w:t>
      </w:r>
      <w:r>
        <w:rPr>
          <w:rFonts w:hint="eastAsia"/>
          <w:sz w:val="21"/>
          <w:szCs w:val="21"/>
          <w:lang w:eastAsia="zh-CN"/>
        </w:rPr>
        <w:t>月</w:t>
      </w:r>
      <w:r>
        <w:rPr>
          <w:sz w:val="21"/>
          <w:szCs w:val="21"/>
          <w:u w:val="single"/>
          <w:lang w:eastAsia="zh-CN"/>
        </w:rPr>
        <w:t xml:space="preserve">   </w:t>
      </w:r>
      <w:r>
        <w:rPr>
          <w:rFonts w:hint="eastAsia"/>
          <w:sz w:val="21"/>
          <w:szCs w:val="21"/>
          <w:lang w:eastAsia="zh-CN"/>
        </w:rPr>
        <w:t>日</w:t>
      </w:r>
      <w:r>
        <w:rPr>
          <w:sz w:val="21"/>
          <w:szCs w:val="21"/>
          <w:lang w:eastAsia="zh-CN"/>
        </w:rPr>
        <w:tab/>
      </w:r>
      <w:r>
        <w:rPr>
          <w:rFonts w:hint="eastAsia"/>
          <w:sz w:val="21"/>
          <w:szCs w:val="21"/>
          <w:lang w:eastAsia="zh-CN"/>
        </w:rPr>
        <w:t xml:space="preserve">          </w:t>
      </w:r>
    </w:p>
    <w:p>
      <w:pPr>
        <w:rPr>
          <w:sz w:val="21"/>
          <w:szCs w:val="21"/>
          <w:u w:val="single"/>
          <w:lang w:eastAsia="zh-CN"/>
        </w:rPr>
      </w:pPr>
      <w:r>
        <w:rPr>
          <w:rFonts w:hint="eastAsia"/>
          <w:sz w:val="21"/>
          <w:szCs w:val="21"/>
          <w:lang w:eastAsia="zh-CN"/>
        </w:rPr>
        <w:t>盖章（单位公章）：</w:t>
      </w:r>
      <w:r>
        <w:rPr>
          <w:sz w:val="21"/>
          <w:szCs w:val="21"/>
          <w:u w:val="single"/>
          <w:lang w:eastAsia="zh-CN"/>
        </w:rPr>
        <w:t xml:space="preserve">        </w:t>
      </w:r>
      <w:r>
        <w:rPr>
          <w:sz w:val="21"/>
          <w:szCs w:val="21"/>
          <w:lang w:eastAsia="zh-CN"/>
        </w:rPr>
        <w:t xml:space="preserve">        </w:t>
      </w:r>
      <w:r>
        <w:rPr>
          <w:rFonts w:hint="eastAsia"/>
          <w:sz w:val="21"/>
          <w:szCs w:val="21"/>
          <w:lang w:eastAsia="zh-CN"/>
        </w:rPr>
        <w:t xml:space="preserve">     </w:t>
      </w:r>
      <w:r>
        <w:rPr>
          <w:sz w:val="21"/>
          <w:szCs w:val="21"/>
          <w:lang w:eastAsia="zh-CN"/>
        </w:rPr>
        <w:t xml:space="preserve"> </w:t>
      </w:r>
    </w:p>
    <w:p>
      <w:pPr>
        <w:pStyle w:val="2"/>
        <w:rPr>
          <w:sz w:val="21"/>
          <w:szCs w:val="21"/>
        </w:rPr>
      </w:pPr>
    </w:p>
    <w:p>
      <w:pPr>
        <w:pStyle w:val="2"/>
        <w:rPr>
          <w:sz w:val="21"/>
          <w:szCs w:val="21"/>
        </w:rPr>
      </w:pPr>
    </w:p>
    <w:p>
      <w:pPr>
        <w:pStyle w:val="2"/>
        <w:rPr>
          <w:sz w:val="21"/>
          <w:szCs w:val="21"/>
        </w:rPr>
      </w:pPr>
      <w:r>
        <w:rPr>
          <w:rFonts w:hint="eastAsia"/>
          <w:sz w:val="21"/>
          <w:szCs w:val="21"/>
        </w:rPr>
        <w:t>乙方（名称）：</w:t>
      </w:r>
    </w:p>
    <w:p>
      <w:pPr>
        <w:pStyle w:val="2"/>
        <w:rPr>
          <w:sz w:val="21"/>
          <w:szCs w:val="21"/>
        </w:rPr>
      </w:pPr>
    </w:p>
    <w:p>
      <w:pPr>
        <w:ind w:left="4200" w:hanging="4200" w:hangingChars="2000"/>
        <w:rPr>
          <w:sz w:val="21"/>
          <w:szCs w:val="21"/>
          <w:lang w:eastAsia="zh-CN"/>
        </w:rPr>
      </w:pPr>
      <w:r>
        <w:rPr>
          <w:rFonts w:hint="eastAsia"/>
          <w:sz w:val="21"/>
          <w:szCs w:val="21"/>
          <w:lang w:eastAsia="zh-CN"/>
        </w:rPr>
        <w:t>地址：</w:t>
      </w:r>
      <w:r>
        <w:rPr>
          <w:sz w:val="21"/>
          <w:szCs w:val="21"/>
          <w:lang w:eastAsia="zh-CN"/>
        </w:rPr>
        <w:t xml:space="preserve"> </w:t>
      </w:r>
    </w:p>
    <w:p>
      <w:pPr>
        <w:rPr>
          <w:sz w:val="21"/>
          <w:szCs w:val="21"/>
          <w:lang w:eastAsia="zh-CN"/>
        </w:rPr>
      </w:pPr>
      <w:r>
        <w:rPr>
          <w:rFonts w:hint="eastAsia"/>
          <w:sz w:val="21"/>
          <w:szCs w:val="21"/>
          <w:lang w:eastAsia="zh-CN"/>
        </w:rPr>
        <w:t>日期：</w:t>
      </w:r>
      <w:r>
        <w:rPr>
          <w:sz w:val="21"/>
          <w:szCs w:val="21"/>
          <w:lang w:eastAsia="zh-CN"/>
        </w:rPr>
        <w:t xml:space="preserve"> </w:t>
      </w:r>
      <w:r>
        <w:rPr>
          <w:sz w:val="21"/>
          <w:szCs w:val="21"/>
          <w:u w:val="single"/>
          <w:lang w:eastAsia="zh-CN"/>
        </w:rPr>
        <w:t xml:space="preserve"> 202</w:t>
      </w:r>
      <w:r>
        <w:rPr>
          <w:rFonts w:hint="eastAsia"/>
          <w:sz w:val="21"/>
          <w:szCs w:val="21"/>
          <w:u w:val="single"/>
          <w:lang w:eastAsia="zh-CN"/>
        </w:rPr>
        <w:t>1</w:t>
      </w:r>
      <w:r>
        <w:rPr>
          <w:sz w:val="21"/>
          <w:szCs w:val="21"/>
          <w:u w:val="single"/>
          <w:lang w:eastAsia="zh-CN"/>
        </w:rPr>
        <w:t xml:space="preserve"> </w:t>
      </w:r>
      <w:r>
        <w:rPr>
          <w:rFonts w:hint="eastAsia"/>
          <w:sz w:val="21"/>
          <w:szCs w:val="21"/>
          <w:lang w:eastAsia="zh-CN"/>
        </w:rPr>
        <w:t>年</w:t>
      </w:r>
      <w:r>
        <w:rPr>
          <w:sz w:val="21"/>
          <w:szCs w:val="21"/>
          <w:u w:val="single"/>
          <w:lang w:eastAsia="zh-CN"/>
        </w:rPr>
        <w:t xml:space="preserve"> </w:t>
      </w:r>
      <w:r>
        <w:rPr>
          <w:rFonts w:hint="eastAsia"/>
          <w:sz w:val="21"/>
          <w:szCs w:val="21"/>
          <w:u w:val="single"/>
          <w:lang w:eastAsia="zh-CN"/>
        </w:rPr>
        <w:t xml:space="preserve">  </w:t>
      </w:r>
      <w:r>
        <w:rPr>
          <w:rFonts w:hint="eastAsia"/>
          <w:sz w:val="21"/>
          <w:szCs w:val="21"/>
          <w:lang w:eastAsia="zh-CN"/>
        </w:rPr>
        <w:t>月</w:t>
      </w:r>
      <w:r>
        <w:rPr>
          <w:sz w:val="21"/>
          <w:szCs w:val="21"/>
          <w:u w:val="single"/>
          <w:lang w:eastAsia="zh-CN"/>
        </w:rPr>
        <w:t xml:space="preserve">   </w:t>
      </w:r>
      <w:r>
        <w:rPr>
          <w:rFonts w:hint="eastAsia"/>
          <w:sz w:val="21"/>
          <w:szCs w:val="21"/>
          <w:lang w:eastAsia="zh-CN"/>
        </w:rPr>
        <w:t>日</w:t>
      </w:r>
      <w:r>
        <w:rPr>
          <w:sz w:val="21"/>
          <w:szCs w:val="21"/>
          <w:lang w:eastAsia="zh-CN"/>
        </w:rPr>
        <w:tab/>
      </w:r>
      <w:r>
        <w:rPr>
          <w:rFonts w:hint="eastAsia"/>
          <w:sz w:val="21"/>
          <w:szCs w:val="21"/>
          <w:lang w:eastAsia="zh-CN"/>
        </w:rPr>
        <w:t xml:space="preserve">        </w:t>
      </w:r>
    </w:p>
    <w:p>
      <w:pPr>
        <w:pStyle w:val="2"/>
      </w:pPr>
      <w:r>
        <w:rPr>
          <w:rFonts w:hint="eastAsia"/>
          <w:sz w:val="21"/>
          <w:szCs w:val="21"/>
        </w:rPr>
        <w:t>盖章（单位公章）：</w:t>
      </w:r>
      <w:r>
        <w:rPr>
          <w:sz w:val="21"/>
          <w:szCs w:val="21"/>
          <w:u w:val="single"/>
        </w:rPr>
        <w:t xml:space="preserve">        </w:t>
      </w:r>
      <w:r>
        <w:rPr>
          <w:sz w:val="21"/>
          <w:szCs w:val="21"/>
        </w:rPr>
        <w:t xml:space="preserve">   </w:t>
      </w:r>
    </w:p>
    <w:p>
      <w:pPr>
        <w:pStyle w:val="2"/>
        <w:rPr>
          <w:b/>
          <w:bCs/>
          <w:sz w:val="28"/>
          <w:szCs w:val="28"/>
        </w:rPr>
      </w:pPr>
      <w:r>
        <w:br w:type="column"/>
      </w:r>
      <w:r>
        <w:rPr>
          <w:rFonts w:hint="eastAsia"/>
          <w:b/>
          <w:bCs/>
          <w:sz w:val="28"/>
          <w:szCs w:val="28"/>
        </w:rPr>
        <w:t>附件二参选文件范本</w:t>
      </w:r>
    </w:p>
    <w:p>
      <w:pPr>
        <w:pStyle w:val="9"/>
        <w:jc w:val="center"/>
        <w:rPr>
          <w:rFonts w:ascii="Times New Roman" w:hAnsi="Times New Roman"/>
          <w:b/>
          <w:sz w:val="52"/>
          <w:szCs w:val="52"/>
          <w:lang w:eastAsia="zh-CN"/>
        </w:rPr>
      </w:pPr>
    </w:p>
    <w:p>
      <w:pPr>
        <w:pStyle w:val="9"/>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spacing w:before="38"/>
        <w:ind w:left="172"/>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 xml:space="preserve"> </w:t>
      </w:r>
      <w:r>
        <w:rPr>
          <w:rFonts w:ascii="方正小标宋简体" w:hAnsi="方正小标宋简体" w:eastAsia="方正小标宋简体" w:cs="方正小标宋简体"/>
          <w:b/>
          <w:sz w:val="44"/>
          <w:szCs w:val="44"/>
          <w:lang w:eastAsia="zh-CN"/>
        </w:rPr>
        <w:t xml:space="preserve"> </w:t>
      </w:r>
      <w:r>
        <w:rPr>
          <w:rFonts w:hint="eastAsia" w:ascii="方正小标宋简体" w:hAnsi="方正小标宋简体" w:eastAsia="方正小标宋简体" w:cs="方正小标宋简体"/>
          <w:b/>
          <w:sz w:val="44"/>
          <w:szCs w:val="44"/>
          <w:lang w:eastAsia="zh-CN"/>
        </w:rPr>
        <w:t>48台塔监测/宏观检查（二期/三期）项目</w:t>
      </w:r>
    </w:p>
    <w:p>
      <w:pPr>
        <w:spacing w:before="38"/>
        <w:ind w:left="172"/>
        <w:jc w:val="center"/>
        <w:rPr>
          <w:rFonts w:ascii="微软雅黑" w:eastAsia="微软雅黑"/>
          <w:b/>
          <w:sz w:val="52"/>
          <w:lang w:eastAsia="zh-CN"/>
        </w:rPr>
      </w:pP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9"/>
        <w:rPr>
          <w:rFonts w:ascii="Times New Roman" w:hAnsi="Times New Roman"/>
          <w:lang w:eastAsia="zh-CN"/>
        </w:rPr>
      </w:pPr>
    </w:p>
    <w:p>
      <w:pPr>
        <w:pStyle w:val="9"/>
        <w:rPr>
          <w:rFonts w:ascii="Times New Roman" w:hAnsi="Times New Roman"/>
          <w:lang w:eastAsia="zh-CN"/>
        </w:rPr>
      </w:pPr>
    </w:p>
    <w:p>
      <w:pPr>
        <w:pStyle w:val="9"/>
        <w:rPr>
          <w:rFonts w:ascii="Times New Roman" w:hAnsi="Times New Roman"/>
          <w:b/>
          <w:bCs/>
          <w:sz w:val="32"/>
          <w:szCs w:val="32"/>
          <w:lang w:eastAsia="zh-CN"/>
        </w:rPr>
      </w:pPr>
    </w:p>
    <w:p>
      <w:pPr>
        <w:pStyle w:val="9"/>
        <w:rPr>
          <w:rFonts w:ascii="Times New Roman" w:hAnsi="Times New Roman"/>
          <w:b/>
          <w:bCs/>
          <w:sz w:val="32"/>
          <w:szCs w:val="32"/>
          <w:lang w:eastAsia="zh-CN"/>
        </w:rPr>
      </w:pPr>
    </w:p>
    <w:p>
      <w:pPr>
        <w:pStyle w:val="9"/>
        <w:rPr>
          <w:rFonts w:ascii="Times New Roman" w:hAnsi="Times New Roman"/>
          <w:b/>
          <w:bCs/>
          <w:sz w:val="32"/>
          <w:szCs w:val="32"/>
          <w:lang w:eastAsia="zh-CN"/>
        </w:rPr>
      </w:pPr>
    </w:p>
    <w:p>
      <w:pPr>
        <w:pStyle w:val="9"/>
        <w:rPr>
          <w:rFonts w:ascii="Times New Roman" w:hAnsi="Times New Roman"/>
          <w:b/>
          <w:bCs/>
          <w:sz w:val="32"/>
          <w:szCs w:val="36"/>
          <w:lang w:eastAsia="zh-CN"/>
        </w:rPr>
      </w:pPr>
    </w:p>
    <w:p>
      <w:pPr>
        <w:pStyle w:val="9"/>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p>
    <w:p>
      <w:pPr>
        <w:pStyle w:val="9"/>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2021 </w:t>
      </w:r>
      <w:r>
        <w:rPr>
          <w:rFonts w:ascii="Times New Roman" w:hAnsi="Times New Roman"/>
          <w:b/>
          <w:bCs/>
          <w:w w:val="95"/>
          <w:sz w:val="32"/>
          <w:lang w:eastAsia="zh-CN"/>
        </w:rPr>
        <w:t>年</w:t>
      </w:r>
      <w:r>
        <w:rPr>
          <w:rFonts w:hint="eastAsia" w:ascii="Times New Roman" w:hAnsi="Times New Roman"/>
          <w:b/>
          <w:bCs/>
          <w:w w:val="95"/>
          <w:sz w:val="32"/>
          <w:lang w:eastAsia="zh-CN"/>
        </w:rPr>
        <w:t>06</w:t>
      </w:r>
      <w:r>
        <w:rPr>
          <w:rFonts w:ascii="Times New Roman" w:hAnsi="Times New Roman"/>
          <w:b/>
          <w:bCs/>
          <w:w w:val="95"/>
          <w:sz w:val="32"/>
          <w:lang w:eastAsia="zh-CN"/>
        </w:rPr>
        <w:t>月</w:t>
      </w:r>
    </w:p>
    <w:p>
      <w:pPr>
        <w:rPr>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pPr>
    </w:p>
    <w:p>
      <w:pPr>
        <w:pStyle w:val="2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1．参选人应按规定，向比选人递交参选文件，正本一份、副本一份，当正本与副本有不一致时，以正本为准。</w:t>
      </w:r>
    </w:p>
    <w:p>
      <w:pPr>
        <w:pStyle w:val="2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pPr>
        <w:pStyle w:val="2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3.提交参选文件时提供两个包装，商务参选文件（报价单）一个包装、技术参选文件一个包装</w:t>
      </w:r>
      <w:r>
        <w:rPr>
          <w:rFonts w:cs="Times New Roman"/>
          <w:bCs w:val="0"/>
          <w:color w:val="C00000"/>
          <w:sz w:val="24"/>
          <w:szCs w:val="24"/>
          <w:lang w:eastAsia="zh-CN"/>
        </w:rPr>
        <w:t>,</w:t>
      </w:r>
      <w:r>
        <w:rPr>
          <w:rFonts w:hint="eastAsia" w:cs="Times New Roman"/>
          <w:bCs w:val="0"/>
          <w:color w:val="C00000"/>
          <w:sz w:val="24"/>
          <w:szCs w:val="24"/>
          <w:lang w:eastAsia="zh-CN"/>
        </w:rPr>
        <w:t>封口处均需加盖骑缝章。</w:t>
      </w:r>
    </w:p>
    <w:p>
      <w:pPr>
        <w:pStyle w:val="2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2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2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 w:val="24"/>
          <w:szCs w:val="24"/>
          <w:lang w:eastAsia="zh-CN"/>
        </w:rPr>
      </w:pPr>
      <w:r>
        <w:rPr>
          <w:rFonts w:ascii="Calibri"/>
          <w:sz w:val="24"/>
          <w:szCs w:val="24"/>
        </w:rPr>
        <w:pict>
          <v:shape id="_x0000_s1026" o:spid="_x0000_s1026" o:spt="202" type="#_x0000_t202" style="position:absolute;left:0pt;margin-left:5.25pt;margin-top:0.5pt;height:119.1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pStyle w:val="27"/>
        <w:spacing w:beforeLines="0" w:afterLines="0" w:line="240" w:lineRule="auto"/>
        <w:ind w:firstLine="530" w:firstLineChars="221"/>
        <w:rPr>
          <w:rFonts w:cs="Times New Roman"/>
          <w:bCs w:val="0"/>
          <w:color w:val="C00000"/>
          <w:sz w:val="24"/>
          <w:szCs w:val="24"/>
          <w:lang w:eastAsia="zh-CN"/>
        </w:rPr>
      </w:pPr>
    </w:p>
    <w:p>
      <w:pPr>
        <w:pStyle w:val="27"/>
        <w:spacing w:beforeLines="0" w:afterLines="0" w:line="240" w:lineRule="auto"/>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27"/>
        <w:spacing w:beforeLines="0" w:afterLines="0" w:line="240" w:lineRule="auto"/>
        <w:ind w:firstLine="530" w:firstLineChars="221"/>
        <w:rPr>
          <w:rFonts w:cs="Times New Roman"/>
          <w:b/>
          <w:color w:val="C00000"/>
          <w:lang w:eastAsia="zh-CN"/>
        </w:rPr>
      </w:pPr>
      <w:r>
        <w:rPr>
          <w:rFonts w:hint="eastAsia" w:cs="Times New Roman"/>
          <w:color w:val="C00000"/>
          <w:sz w:val="24"/>
          <w:szCs w:val="24"/>
          <w:lang w:eastAsia="zh-CN"/>
        </w:rPr>
        <w:t>8、以下文件中红色字体部分，打印时请删除。</w:t>
      </w:r>
    </w:p>
    <w:p>
      <w:pPr>
        <w:spacing w:line="1000" w:lineRule="exact"/>
        <w:jc w:val="center"/>
        <w:rPr>
          <w:b/>
          <w:sz w:val="44"/>
          <w:szCs w:val="44"/>
          <w:lang w:eastAsia="zh-CN"/>
        </w:rPr>
      </w:pPr>
    </w:p>
    <w:p>
      <w:pPr>
        <w:widowControl/>
        <w:autoSpaceDE/>
        <w:autoSpaceDN/>
        <w:rPr>
          <w:b/>
          <w:sz w:val="44"/>
          <w:szCs w:val="44"/>
          <w:lang w:eastAsia="zh-CN"/>
        </w:rPr>
      </w:pPr>
      <w:r>
        <w:rPr>
          <w:b/>
          <w:sz w:val="44"/>
          <w:szCs w:val="44"/>
          <w:lang w:eastAsia="zh-CN"/>
        </w:rPr>
        <w:br w:type="page"/>
      </w:r>
    </w:p>
    <w:p>
      <w:pPr>
        <w:pStyle w:val="2"/>
        <w:rPr>
          <w:sz w:val="24"/>
          <w:szCs w:val="24"/>
        </w:rPr>
      </w:pPr>
      <w:r>
        <w:rPr>
          <w:rFonts w:hint="eastAsia"/>
          <w:sz w:val="24"/>
          <w:szCs w:val="24"/>
        </w:rPr>
        <w:t>附件1、</w:t>
      </w:r>
    </w:p>
    <w:p>
      <w:pPr>
        <w:pStyle w:val="9"/>
        <w:jc w:val="center"/>
        <w:rPr>
          <w:rFonts w:ascii="Times New Roman" w:hAnsi="Times New Roman"/>
          <w:b/>
          <w:sz w:val="52"/>
          <w:szCs w:val="52"/>
          <w:lang w:eastAsia="zh-CN"/>
        </w:rPr>
      </w:pPr>
    </w:p>
    <w:p>
      <w:pPr>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资质证书、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2、参选单位针对本项目提出的检查方案书（根据技术规范书中产品目标、内容及技术性能要求编制）。</w:t>
      </w:r>
    </w:p>
    <w:p>
      <w:pPr>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napToGrid w:val="0"/>
          <w:sz w:val="24"/>
          <w:szCs w:val="24"/>
          <w:u w:val="single"/>
          <w:lang w:eastAsia="zh-CN"/>
        </w:rPr>
        <w:t>4</w:t>
      </w:r>
      <w:r>
        <w:rPr>
          <w:rFonts w:hint="eastAsia"/>
          <w:bCs/>
          <w:sz w:val="24"/>
          <w:szCs w:val="24"/>
          <w:u w:val="single"/>
          <w:lang w:eastAsia="zh-CN"/>
        </w:rPr>
        <w:t>8台塔监测/宏观检查（二期/三期）</w:t>
      </w:r>
      <w:r>
        <w:rPr>
          <w:rFonts w:hint="eastAsia"/>
          <w:sz w:val="24"/>
          <w:lang w:eastAsia="zh-CN"/>
        </w:rPr>
        <w:t>项目公开自主比选，以本公司名义参与报价、合同执行并处理与之有关的其他事务，相关责任及后果由本公司承担。</w:t>
      </w:r>
    </w:p>
    <w:p>
      <w:pPr>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ind w:firstLine="480" w:firstLineChars="200"/>
        <w:rPr>
          <w:sz w:val="24"/>
          <w:szCs w:val="24"/>
          <w:lang w:eastAsia="zh-CN"/>
        </w:rPr>
      </w:pPr>
      <w:r>
        <w:rPr>
          <w:rFonts w:hint="eastAsia"/>
          <w:sz w:val="24"/>
          <w:szCs w:val="24"/>
          <w:lang w:eastAsia="zh-CN"/>
        </w:rPr>
        <w:t>代理人无转委托权，特此委托。</w:t>
      </w:r>
    </w:p>
    <w:p>
      <w:pPr>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rPr>
                <w:color w:val="000000"/>
                <w:szCs w:val="21"/>
                <w:lang w:eastAsia="zh-CN"/>
              </w:rPr>
            </w:pPr>
          </w:p>
          <w:p>
            <w:pPr>
              <w:jc w:val="center"/>
              <w:rPr>
                <w:color w:val="000000"/>
                <w:szCs w:val="21"/>
              </w:rPr>
            </w:pPr>
            <w:r>
              <w:rPr>
                <w:rFonts w:hint="eastAsia"/>
                <w:color w:val="000000"/>
                <w:szCs w:val="21"/>
              </w:rPr>
              <w:t>（正面）</w:t>
            </w:r>
          </w:p>
          <w:p>
            <w:pPr>
              <w:rPr>
                <w:color w:val="000000"/>
                <w:szCs w:val="21"/>
                <w:lang w:eastAsia="zh-CN"/>
              </w:rPr>
            </w:pPr>
          </w:p>
        </w:tc>
        <w:tc>
          <w:tcPr>
            <w:tcW w:w="4643" w:type="dxa"/>
          </w:tcPr>
          <w:p>
            <w:pPr>
              <w:rPr>
                <w:color w:val="000000"/>
                <w:szCs w:val="21"/>
                <w:lang w:eastAsia="zh-CN"/>
              </w:rPr>
            </w:pPr>
          </w:p>
          <w:p>
            <w:pPr>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ind w:firstLine="480" w:firstLineChars="200"/>
        <w:rPr>
          <w:color w:val="000000"/>
          <w:sz w:val="24"/>
          <w:szCs w:val="24"/>
          <w:lang w:eastAsia="zh-CN"/>
        </w:rPr>
      </w:pPr>
    </w:p>
    <w:p>
      <w:pPr>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ind w:firstLine="480" w:firstLineChars="200"/>
        <w:rPr>
          <w:color w:val="000000"/>
          <w:sz w:val="24"/>
          <w:szCs w:val="24"/>
          <w:lang w:eastAsia="zh-CN"/>
        </w:rPr>
      </w:pPr>
      <w:r>
        <w:rPr>
          <w:rFonts w:hint="eastAsia"/>
          <w:color w:val="000000"/>
          <w:sz w:val="24"/>
          <w:szCs w:val="24"/>
          <w:lang w:eastAsia="zh-CN"/>
        </w:rPr>
        <w:t>附：代理人身份证明</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rPr>
                <w:color w:val="000000"/>
                <w:szCs w:val="21"/>
                <w:lang w:eastAsia="zh-CN"/>
              </w:rPr>
            </w:pPr>
          </w:p>
          <w:p>
            <w:pPr>
              <w:jc w:val="center"/>
              <w:rPr>
                <w:color w:val="000000"/>
                <w:szCs w:val="21"/>
              </w:rPr>
            </w:pPr>
            <w:r>
              <w:rPr>
                <w:rFonts w:hint="eastAsia"/>
                <w:color w:val="000000"/>
                <w:szCs w:val="21"/>
              </w:rPr>
              <w:t>（正面）</w:t>
            </w:r>
          </w:p>
          <w:p>
            <w:pPr>
              <w:rPr>
                <w:color w:val="000000"/>
                <w:szCs w:val="21"/>
                <w:lang w:eastAsia="zh-CN"/>
              </w:rPr>
            </w:pPr>
          </w:p>
        </w:tc>
        <w:tc>
          <w:tcPr>
            <w:tcW w:w="4643" w:type="dxa"/>
          </w:tcPr>
          <w:p>
            <w:pPr>
              <w:rPr>
                <w:color w:val="000000"/>
                <w:szCs w:val="21"/>
                <w:lang w:eastAsia="zh-CN"/>
              </w:rPr>
            </w:pPr>
          </w:p>
          <w:p>
            <w:pPr>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2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snapToGrid w:val="0"/>
          <w:sz w:val="24"/>
          <w:szCs w:val="24"/>
          <w:u w:val="single"/>
          <w:lang w:eastAsia="zh-CN"/>
        </w:rPr>
        <w:t>4</w:t>
      </w:r>
      <w:r>
        <w:rPr>
          <w:rFonts w:hint="eastAsia"/>
          <w:bCs/>
          <w:sz w:val="24"/>
          <w:szCs w:val="24"/>
          <w:u w:val="single"/>
          <w:lang w:eastAsia="zh-CN"/>
        </w:rPr>
        <w:t>8台塔监测/宏观检查（二期/三期）</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7"/>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27"/>
        <w:spacing w:beforeLines="0" w:afterLines="0" w:line="240" w:lineRule="auto"/>
        <w:ind w:firstLine="413" w:firstLineChars="147"/>
        <w:rPr>
          <w:rFonts w:ascii="Times New Roman" w:hAnsi="Times New Roman" w:cs="Times New Roman"/>
          <w:b/>
          <w:lang w:eastAsia="zh-CN"/>
        </w:rPr>
      </w:pPr>
      <w:r>
        <w:rPr>
          <w:rFonts w:hint="eastAsia" w:ascii="Times New Roman" w:hAnsi="Times New Roman" w:cs="Times New Roman"/>
          <w:b/>
          <w:color w:val="FF0000"/>
          <w:lang w:eastAsia="zh-CN"/>
        </w:rPr>
        <w:t>（注：本报价单和附表需单独密封）</w:t>
      </w:r>
    </w:p>
    <w:p>
      <w:pPr>
        <w:ind w:firstLine="1970" w:firstLineChars="545"/>
        <w:rPr>
          <w:b/>
          <w:bCs/>
          <w:sz w:val="36"/>
          <w:lang w:eastAsia="zh-CN"/>
        </w:rPr>
      </w:pPr>
      <w:r>
        <w:rPr>
          <w:rFonts w:hint="eastAsia"/>
          <w:b/>
          <w:bCs/>
          <w:sz w:val="36"/>
          <w:lang w:eastAsia="zh-CN"/>
        </w:rPr>
        <w:t xml:space="preserve">   报  价  单</w:t>
      </w:r>
    </w:p>
    <w:p>
      <w:pPr>
        <w:ind w:firstLine="480" w:firstLineChars="200"/>
        <w:rPr>
          <w:sz w:val="24"/>
          <w:szCs w:val="24"/>
          <w:u w:val="single"/>
          <w:lang w:eastAsia="zh-CN"/>
        </w:rPr>
      </w:pPr>
      <w:r>
        <w:rPr>
          <w:rFonts w:hint="eastAsia"/>
          <w:sz w:val="24"/>
          <w:szCs w:val="24"/>
          <w:lang w:eastAsia="zh-CN"/>
        </w:rPr>
        <w:t>参选单位：</w:t>
      </w:r>
      <w:r>
        <w:rPr>
          <w:sz w:val="24"/>
          <w:szCs w:val="24"/>
          <w:lang w:eastAsia="zh-CN"/>
        </w:rPr>
        <w:t xml:space="preserve"> ____________________</w:t>
      </w:r>
    </w:p>
    <w:p>
      <w:pPr>
        <w:ind w:firstLine="480" w:firstLineChars="200"/>
        <w:rPr>
          <w:sz w:val="24"/>
          <w:szCs w:val="24"/>
          <w:u w:val="single"/>
          <w:lang w:eastAsia="zh-CN"/>
        </w:rPr>
      </w:pPr>
      <w:r>
        <w:rPr>
          <w:rFonts w:hint="eastAsia"/>
          <w:sz w:val="24"/>
          <w:szCs w:val="24"/>
          <w:lang w:eastAsia="zh-CN"/>
        </w:rPr>
        <w:t>项目名称：</w:t>
      </w:r>
      <w:r>
        <w:rPr>
          <w:rFonts w:hint="eastAsia"/>
          <w:snapToGrid w:val="0"/>
          <w:sz w:val="24"/>
          <w:szCs w:val="24"/>
          <w:u w:val="single"/>
          <w:lang w:eastAsia="zh-CN"/>
        </w:rPr>
        <w:t>4</w:t>
      </w:r>
      <w:r>
        <w:rPr>
          <w:rFonts w:hint="eastAsia"/>
          <w:bCs/>
          <w:sz w:val="24"/>
          <w:szCs w:val="24"/>
          <w:u w:val="single"/>
          <w:lang w:eastAsia="zh-CN"/>
        </w:rPr>
        <w:t>8台塔监测/宏观检查（二期/三期）</w:t>
      </w:r>
      <w:r>
        <w:rPr>
          <w:rFonts w:hint="eastAsia" w:asciiTheme="majorEastAsia" w:hAnsiTheme="majorEastAsia" w:eastAsiaTheme="majorEastAsia"/>
          <w:sz w:val="24"/>
          <w:szCs w:val="24"/>
          <w:u w:val="single"/>
          <w:lang w:eastAsia="zh-CN"/>
        </w:rPr>
        <w:t>项目</w:t>
      </w:r>
    </w:p>
    <w:p>
      <w:pPr>
        <w:ind w:firstLine="480" w:firstLineChars="200"/>
        <w:rPr>
          <w:sz w:val="24"/>
          <w:szCs w:val="24"/>
          <w:lang w:eastAsia="zh-CN"/>
        </w:rPr>
      </w:pPr>
      <w:r>
        <w:rPr>
          <w:rFonts w:hint="eastAsia"/>
          <w:sz w:val="24"/>
          <w:szCs w:val="24"/>
          <w:lang w:eastAsia="zh-CN"/>
        </w:rPr>
        <w:t>参选报价：</w:t>
      </w:r>
    </w:p>
    <w:p>
      <w:pPr>
        <w:ind w:firstLine="1320" w:firstLineChars="550"/>
        <w:rPr>
          <w:b/>
          <w:color w:val="00B050"/>
          <w:sz w:val="24"/>
          <w:szCs w:val="24"/>
          <w:u w:val="single"/>
          <w:lang w:eastAsia="zh-CN"/>
        </w:rPr>
      </w:pPr>
      <w:r>
        <w:rPr>
          <w:rFonts w:hint="eastAsia"/>
          <w:sz w:val="24"/>
          <w:szCs w:val="24"/>
          <w:lang w:eastAsia="zh-CN"/>
        </w:rPr>
        <w:t xml:space="preserve">报价: </w:t>
      </w:r>
      <w:r>
        <w:rPr>
          <w:rFonts w:hint="eastAsia"/>
          <w:sz w:val="24"/>
          <w:szCs w:val="24"/>
          <w:u w:val="single"/>
          <w:lang w:eastAsia="zh-CN"/>
        </w:rPr>
        <w:t xml:space="preserve">         </w:t>
      </w:r>
      <w:r>
        <w:rPr>
          <w:rFonts w:hint="eastAsia"/>
          <w:sz w:val="24"/>
          <w:szCs w:val="24"/>
          <w:lang w:eastAsia="zh-CN"/>
        </w:rPr>
        <w:t>元 （见附表）</w:t>
      </w:r>
    </w:p>
    <w:p>
      <w:pPr>
        <w:pStyle w:val="2"/>
        <w:spacing w:line="360" w:lineRule="auto"/>
        <w:rPr>
          <w:sz w:val="24"/>
          <w:szCs w:val="24"/>
        </w:rPr>
      </w:pPr>
      <w:r>
        <w:rPr>
          <w:rFonts w:hint="eastAsia"/>
          <w:sz w:val="24"/>
          <w:szCs w:val="24"/>
        </w:rPr>
        <w:t xml:space="preserve">      注： 1、价格为含税价，税率：</w:t>
      </w:r>
      <w:r>
        <w:rPr>
          <w:rFonts w:hint="eastAsia"/>
          <w:sz w:val="24"/>
          <w:szCs w:val="24"/>
          <w:u w:val="single"/>
        </w:rPr>
        <w:t xml:space="preserve">  6  %  </w:t>
      </w:r>
      <w:r>
        <w:rPr>
          <w:rFonts w:hint="eastAsia"/>
          <w:sz w:val="24"/>
          <w:szCs w:val="24"/>
        </w:rPr>
        <w:t xml:space="preserve"> ；</w:t>
      </w:r>
    </w:p>
    <w:p>
      <w:pPr>
        <w:pStyle w:val="9"/>
        <w:rPr>
          <w:sz w:val="24"/>
          <w:szCs w:val="24"/>
          <w:lang w:eastAsia="zh-CN"/>
        </w:rPr>
      </w:pPr>
      <w:r>
        <w:rPr>
          <w:rFonts w:hint="eastAsia"/>
          <w:sz w:val="24"/>
          <w:szCs w:val="24"/>
          <w:lang w:eastAsia="zh-CN"/>
        </w:rPr>
        <w:t xml:space="preserve">           2、付款方式：按照比选文件中要求执行</w:t>
      </w:r>
    </w:p>
    <w:p>
      <w:pPr>
        <w:pStyle w:val="2"/>
        <w:spacing w:line="360" w:lineRule="auto"/>
        <w:rPr>
          <w:sz w:val="24"/>
          <w:szCs w:val="24"/>
          <w:u w:val="single"/>
        </w:rPr>
      </w:pPr>
      <w:r>
        <w:rPr>
          <w:rFonts w:hint="eastAsia"/>
          <w:sz w:val="24"/>
          <w:szCs w:val="24"/>
        </w:rPr>
        <w:t xml:space="preserve">           3、服务期限：按照比选文件中要求执行</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spacing w:line="360" w:lineRule="auto"/>
        <w:ind w:firstLine="451" w:firstLineChars="188"/>
        <w:jc w:val="center"/>
        <w:rPr>
          <w:rFonts w:hAnsi="宋体" w:cs="宋体"/>
          <w:kern w:val="2"/>
          <w:sz w:val="24"/>
          <w:szCs w:val="24"/>
        </w:rPr>
      </w:pPr>
      <w:r>
        <w:rPr>
          <w:rFonts w:hint="eastAsia" w:hAnsi="宋体" w:cs="宋体"/>
          <w:kern w:val="2"/>
          <w:sz w:val="24"/>
          <w:szCs w:val="24"/>
        </w:rPr>
        <w:t>参选人：</w:t>
      </w:r>
      <w:r>
        <w:rPr>
          <w:rFonts w:hint="eastAsia" w:hAnsi="宋体" w:cs="宋体"/>
          <w:color w:val="00B050"/>
          <w:kern w:val="2"/>
          <w:sz w:val="24"/>
          <w:szCs w:val="24"/>
        </w:rPr>
        <w:t>（盖单位公章）</w:t>
      </w:r>
    </w:p>
    <w:p>
      <w:pPr>
        <w:pStyle w:val="2"/>
        <w:spacing w:line="360" w:lineRule="auto"/>
        <w:ind w:firstLine="451" w:firstLineChars="188"/>
        <w:jc w:val="center"/>
        <w:rPr>
          <w:rFonts w:hAnsi="宋体" w:cs="宋体"/>
          <w:kern w:val="2"/>
          <w:sz w:val="28"/>
          <w:szCs w:val="28"/>
        </w:rPr>
      </w:pPr>
      <w:r>
        <w:rPr>
          <w:rFonts w:hint="eastAsia" w:hAnsi="宋体" w:cs="宋体"/>
          <w:kern w:val="2"/>
          <w:sz w:val="24"/>
          <w:szCs w:val="24"/>
        </w:rPr>
        <w:t>年  月  日</w:t>
      </w:r>
    </w:p>
    <w:bookmarkEnd w:id="9"/>
    <w:p>
      <w:pPr>
        <w:pStyle w:val="7"/>
        <w:spacing w:line="360" w:lineRule="atLeast"/>
        <w:ind w:left="218"/>
        <w:rPr>
          <w:sz w:val="28"/>
          <w:szCs w:val="28"/>
          <w:lang w:eastAsia="zh-CN"/>
        </w:rPr>
      </w:pPr>
      <w:r>
        <w:rPr>
          <w:rFonts w:hint="eastAsia"/>
          <w:sz w:val="28"/>
          <w:szCs w:val="28"/>
          <w:lang w:eastAsia="zh-CN"/>
        </w:rPr>
        <w:t>附表：</w:t>
      </w:r>
    </w:p>
    <w:tbl>
      <w:tblPr>
        <w:tblStyle w:val="18"/>
        <w:tblW w:w="0" w:type="auto"/>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3260"/>
        <w:gridCol w:w="1128"/>
        <w:gridCol w:w="1424"/>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pStyle w:val="7"/>
              <w:spacing w:line="360" w:lineRule="atLeast"/>
              <w:jc w:val="center"/>
              <w:rPr>
                <w:lang w:eastAsia="zh-CN"/>
              </w:rPr>
            </w:pPr>
            <w:r>
              <w:rPr>
                <w:rFonts w:hint="eastAsia"/>
                <w:lang w:eastAsia="zh-CN"/>
              </w:rPr>
              <w:t>序号</w:t>
            </w:r>
          </w:p>
        </w:tc>
        <w:tc>
          <w:tcPr>
            <w:tcW w:w="3260" w:type="dxa"/>
            <w:vAlign w:val="center"/>
          </w:tcPr>
          <w:p>
            <w:pPr>
              <w:pStyle w:val="7"/>
              <w:spacing w:line="360" w:lineRule="atLeast"/>
              <w:jc w:val="center"/>
              <w:rPr>
                <w:lang w:eastAsia="zh-CN"/>
              </w:rPr>
            </w:pPr>
            <w:r>
              <w:rPr>
                <w:rFonts w:hint="eastAsia"/>
                <w:lang w:eastAsia="zh-CN"/>
              </w:rPr>
              <w:t>名称</w:t>
            </w:r>
          </w:p>
        </w:tc>
        <w:tc>
          <w:tcPr>
            <w:tcW w:w="1128" w:type="dxa"/>
            <w:vAlign w:val="center"/>
          </w:tcPr>
          <w:p>
            <w:pPr>
              <w:pStyle w:val="7"/>
              <w:spacing w:line="360" w:lineRule="atLeast"/>
              <w:jc w:val="center"/>
              <w:rPr>
                <w:lang w:eastAsia="zh-CN"/>
              </w:rPr>
            </w:pPr>
            <w:r>
              <w:rPr>
                <w:rFonts w:hint="eastAsia"/>
                <w:lang w:eastAsia="zh-CN"/>
              </w:rPr>
              <w:t>数量</w:t>
            </w:r>
          </w:p>
        </w:tc>
        <w:tc>
          <w:tcPr>
            <w:tcW w:w="1424" w:type="dxa"/>
            <w:vAlign w:val="center"/>
          </w:tcPr>
          <w:p>
            <w:pPr>
              <w:pStyle w:val="7"/>
              <w:spacing w:line="360" w:lineRule="atLeast"/>
              <w:jc w:val="center"/>
              <w:rPr>
                <w:lang w:eastAsia="zh-CN"/>
              </w:rPr>
            </w:pPr>
            <w:r>
              <w:rPr>
                <w:rFonts w:hint="eastAsia"/>
                <w:lang w:eastAsia="zh-CN"/>
              </w:rPr>
              <w:t>价格（元）</w:t>
            </w:r>
          </w:p>
        </w:tc>
        <w:tc>
          <w:tcPr>
            <w:tcW w:w="1995" w:type="dxa"/>
            <w:vAlign w:val="center"/>
          </w:tcPr>
          <w:p>
            <w:pPr>
              <w:pStyle w:val="7"/>
              <w:spacing w:line="360" w:lineRule="atLeast"/>
              <w:jc w:val="center"/>
              <w:rPr>
                <w:lang w:eastAsia="zh-CN"/>
              </w:rPr>
            </w:pPr>
            <w:r>
              <w:rPr>
                <w:rFonts w:hint="eastAsia"/>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vAlign w:val="center"/>
          </w:tcPr>
          <w:p>
            <w:pPr>
              <w:pStyle w:val="7"/>
              <w:spacing w:line="360" w:lineRule="atLeast"/>
              <w:jc w:val="center"/>
              <w:rPr>
                <w:lang w:eastAsia="zh-CN"/>
              </w:rPr>
            </w:pPr>
            <w:r>
              <w:rPr>
                <w:rFonts w:hint="eastAsia"/>
                <w:lang w:eastAsia="zh-CN"/>
              </w:rPr>
              <w:t>1</w:t>
            </w:r>
          </w:p>
        </w:tc>
        <w:tc>
          <w:tcPr>
            <w:tcW w:w="3260" w:type="dxa"/>
            <w:vAlign w:val="center"/>
          </w:tcPr>
          <w:p>
            <w:pPr>
              <w:pStyle w:val="7"/>
              <w:spacing w:line="360" w:lineRule="atLeast"/>
              <w:jc w:val="center"/>
              <w:rPr>
                <w:rFonts w:asciiTheme="majorEastAsia" w:hAnsiTheme="majorEastAsia" w:eastAsiaTheme="majorEastAsia"/>
                <w:lang w:eastAsia="zh-CN"/>
              </w:rPr>
            </w:pPr>
            <w:r>
              <w:rPr>
                <w:rFonts w:hint="eastAsia" w:asciiTheme="majorEastAsia" w:hAnsiTheme="majorEastAsia" w:eastAsiaTheme="majorEastAsia"/>
                <w:shd w:val="clear" w:color="auto" w:fill="FFFFFF"/>
                <w:lang w:eastAsia="zh-CN"/>
              </w:rPr>
              <w:t>项目二期</w:t>
            </w:r>
          </w:p>
        </w:tc>
        <w:tc>
          <w:tcPr>
            <w:tcW w:w="1128" w:type="dxa"/>
            <w:vAlign w:val="center"/>
          </w:tcPr>
          <w:p>
            <w:pPr>
              <w:pStyle w:val="7"/>
              <w:spacing w:line="360" w:lineRule="atLeast"/>
              <w:jc w:val="center"/>
              <w:rPr>
                <w:lang w:eastAsia="zh-CN"/>
              </w:rPr>
            </w:pPr>
            <w:r>
              <w:rPr>
                <w:rFonts w:hint="eastAsia"/>
                <w:lang w:eastAsia="zh-CN"/>
              </w:rPr>
              <w:t>1</w:t>
            </w:r>
          </w:p>
        </w:tc>
        <w:tc>
          <w:tcPr>
            <w:tcW w:w="1424" w:type="dxa"/>
            <w:vAlign w:val="center"/>
          </w:tcPr>
          <w:p>
            <w:pPr>
              <w:pStyle w:val="7"/>
              <w:spacing w:line="360" w:lineRule="atLeast"/>
              <w:jc w:val="center"/>
              <w:rPr>
                <w:lang w:eastAsia="zh-CN"/>
              </w:rPr>
            </w:pPr>
          </w:p>
        </w:tc>
        <w:tc>
          <w:tcPr>
            <w:tcW w:w="1995" w:type="dxa"/>
            <w:vAlign w:val="center"/>
          </w:tcPr>
          <w:p>
            <w:pPr>
              <w:pStyle w:val="7"/>
              <w:spacing w:line="360" w:lineRule="atLeast"/>
              <w:jc w:val="center"/>
              <w:rPr>
                <w:lang w:eastAsia="zh-CN"/>
              </w:rPr>
            </w:pPr>
            <w:r>
              <w:rPr>
                <w:rFonts w:hint="eastAsia"/>
                <w:lang w:eastAsia="zh-CN"/>
              </w:rPr>
              <w:t>见各项收费明细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1" w:type="dxa"/>
            <w:vAlign w:val="center"/>
          </w:tcPr>
          <w:p>
            <w:pPr>
              <w:pStyle w:val="7"/>
              <w:spacing w:line="360" w:lineRule="atLeast"/>
              <w:jc w:val="center"/>
              <w:rPr>
                <w:lang w:eastAsia="zh-CN"/>
              </w:rPr>
            </w:pPr>
            <w:r>
              <w:rPr>
                <w:rFonts w:hint="eastAsia"/>
                <w:lang w:eastAsia="zh-CN"/>
              </w:rPr>
              <w:t>2</w:t>
            </w:r>
          </w:p>
        </w:tc>
        <w:tc>
          <w:tcPr>
            <w:tcW w:w="3260" w:type="dxa"/>
            <w:vAlign w:val="center"/>
          </w:tcPr>
          <w:p>
            <w:pPr>
              <w:pStyle w:val="7"/>
              <w:spacing w:line="360" w:lineRule="atLeast"/>
              <w:jc w:val="center"/>
              <w:rPr>
                <w:rFonts w:asciiTheme="majorEastAsia" w:hAnsiTheme="majorEastAsia" w:eastAsiaTheme="majorEastAsia"/>
                <w:lang w:eastAsia="zh-CN"/>
              </w:rPr>
            </w:pPr>
            <w:r>
              <w:rPr>
                <w:rFonts w:hint="eastAsia" w:asciiTheme="majorEastAsia" w:hAnsiTheme="majorEastAsia" w:eastAsiaTheme="majorEastAsia"/>
                <w:shd w:val="clear" w:color="auto" w:fill="FFFFFF"/>
                <w:lang w:eastAsia="zh-CN"/>
              </w:rPr>
              <w:t>项目三期</w:t>
            </w:r>
          </w:p>
        </w:tc>
        <w:tc>
          <w:tcPr>
            <w:tcW w:w="1128" w:type="dxa"/>
            <w:vAlign w:val="center"/>
          </w:tcPr>
          <w:p>
            <w:pPr>
              <w:pStyle w:val="7"/>
              <w:spacing w:line="360" w:lineRule="atLeast"/>
              <w:jc w:val="center"/>
              <w:rPr>
                <w:lang w:eastAsia="zh-CN"/>
              </w:rPr>
            </w:pPr>
            <w:r>
              <w:rPr>
                <w:rFonts w:hint="eastAsia"/>
                <w:lang w:eastAsia="zh-CN"/>
              </w:rPr>
              <w:t>1</w:t>
            </w:r>
          </w:p>
        </w:tc>
        <w:tc>
          <w:tcPr>
            <w:tcW w:w="1424" w:type="dxa"/>
            <w:vAlign w:val="center"/>
          </w:tcPr>
          <w:p>
            <w:pPr>
              <w:pStyle w:val="7"/>
              <w:spacing w:line="360" w:lineRule="atLeast"/>
              <w:jc w:val="center"/>
              <w:rPr>
                <w:lang w:eastAsia="zh-CN"/>
              </w:rPr>
            </w:pPr>
          </w:p>
        </w:tc>
        <w:tc>
          <w:tcPr>
            <w:tcW w:w="1995" w:type="dxa"/>
            <w:vAlign w:val="center"/>
          </w:tcPr>
          <w:p>
            <w:pPr>
              <w:pStyle w:val="7"/>
              <w:spacing w:line="360" w:lineRule="atLeast"/>
              <w:jc w:val="center"/>
              <w:rPr>
                <w:lang w:eastAsia="zh-CN"/>
              </w:rPr>
            </w:pPr>
            <w:r>
              <w:rPr>
                <w:rFonts w:hint="eastAsia"/>
                <w:lang w:eastAsia="zh-CN"/>
              </w:rPr>
              <w:t>见各项收费明细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41" w:type="dxa"/>
            <w:vAlign w:val="center"/>
          </w:tcPr>
          <w:p>
            <w:pPr>
              <w:pStyle w:val="7"/>
              <w:spacing w:line="360" w:lineRule="atLeast"/>
              <w:jc w:val="center"/>
              <w:rPr>
                <w:lang w:eastAsia="zh-CN"/>
              </w:rPr>
            </w:pPr>
          </w:p>
        </w:tc>
        <w:tc>
          <w:tcPr>
            <w:tcW w:w="3260" w:type="dxa"/>
            <w:vAlign w:val="center"/>
          </w:tcPr>
          <w:p>
            <w:pPr>
              <w:pStyle w:val="7"/>
              <w:spacing w:line="360" w:lineRule="atLeast"/>
              <w:jc w:val="center"/>
              <w:rPr>
                <w:lang w:eastAsia="zh-CN"/>
              </w:rPr>
            </w:pPr>
            <w:r>
              <w:rPr>
                <w:rFonts w:hint="eastAsia"/>
                <w:lang w:eastAsia="zh-CN"/>
              </w:rPr>
              <w:t>合计：</w:t>
            </w:r>
          </w:p>
        </w:tc>
        <w:tc>
          <w:tcPr>
            <w:tcW w:w="4547" w:type="dxa"/>
            <w:gridSpan w:val="3"/>
            <w:vAlign w:val="center"/>
          </w:tcPr>
          <w:p>
            <w:pPr>
              <w:pStyle w:val="7"/>
              <w:spacing w:line="360" w:lineRule="atLeast"/>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548" w:type="dxa"/>
            <w:gridSpan w:val="5"/>
            <w:vAlign w:val="center"/>
          </w:tcPr>
          <w:p>
            <w:pPr>
              <w:pStyle w:val="7"/>
              <w:spacing w:line="360" w:lineRule="atLeast"/>
              <w:rPr>
                <w:lang w:eastAsia="zh-CN"/>
              </w:rPr>
            </w:pPr>
            <w:r>
              <w:rPr>
                <w:rFonts w:hint="eastAsia"/>
                <w:b/>
                <w:color w:val="000000"/>
                <w:sz w:val="28"/>
                <w:szCs w:val="28"/>
              </w:rPr>
              <w:t>各项收费明细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41" w:type="dxa"/>
            <w:vAlign w:val="center"/>
          </w:tcPr>
          <w:p>
            <w:pPr>
              <w:pStyle w:val="7"/>
              <w:spacing w:line="360" w:lineRule="atLeast"/>
              <w:jc w:val="center"/>
              <w:rPr>
                <w:lang w:eastAsia="zh-CN"/>
              </w:rPr>
            </w:pPr>
            <w:r>
              <w:rPr>
                <w:rFonts w:hint="eastAsia"/>
                <w:lang w:eastAsia="zh-CN"/>
              </w:rPr>
              <w:t>1</w:t>
            </w:r>
          </w:p>
        </w:tc>
        <w:tc>
          <w:tcPr>
            <w:tcW w:w="3260" w:type="dxa"/>
            <w:vAlign w:val="center"/>
          </w:tcPr>
          <w:p>
            <w:pPr>
              <w:pStyle w:val="7"/>
              <w:spacing w:line="360" w:lineRule="atLeast"/>
              <w:jc w:val="center"/>
              <w:rPr>
                <w:lang w:eastAsia="zh-CN"/>
              </w:rPr>
            </w:pPr>
          </w:p>
        </w:tc>
        <w:tc>
          <w:tcPr>
            <w:tcW w:w="4547" w:type="dxa"/>
            <w:gridSpan w:val="3"/>
            <w:vAlign w:val="center"/>
          </w:tcPr>
          <w:p>
            <w:pPr>
              <w:pStyle w:val="7"/>
              <w:spacing w:line="360" w:lineRule="atLeast"/>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41" w:type="dxa"/>
            <w:vAlign w:val="center"/>
          </w:tcPr>
          <w:p>
            <w:pPr>
              <w:pStyle w:val="7"/>
              <w:spacing w:line="360" w:lineRule="atLeast"/>
              <w:jc w:val="center"/>
              <w:rPr>
                <w:lang w:eastAsia="zh-CN"/>
              </w:rPr>
            </w:pPr>
            <w:r>
              <w:rPr>
                <w:rFonts w:hint="eastAsia"/>
                <w:lang w:eastAsia="zh-CN"/>
              </w:rPr>
              <w:t>2</w:t>
            </w:r>
          </w:p>
        </w:tc>
        <w:tc>
          <w:tcPr>
            <w:tcW w:w="3260" w:type="dxa"/>
            <w:vAlign w:val="center"/>
          </w:tcPr>
          <w:p>
            <w:pPr>
              <w:pStyle w:val="7"/>
              <w:spacing w:line="360" w:lineRule="atLeast"/>
              <w:jc w:val="center"/>
              <w:rPr>
                <w:lang w:eastAsia="zh-CN"/>
              </w:rPr>
            </w:pPr>
          </w:p>
        </w:tc>
        <w:tc>
          <w:tcPr>
            <w:tcW w:w="4547" w:type="dxa"/>
            <w:gridSpan w:val="3"/>
            <w:vAlign w:val="center"/>
          </w:tcPr>
          <w:p>
            <w:pPr>
              <w:pStyle w:val="7"/>
              <w:spacing w:line="360" w:lineRule="atLeast"/>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41" w:type="dxa"/>
            <w:vAlign w:val="center"/>
          </w:tcPr>
          <w:p>
            <w:pPr>
              <w:pStyle w:val="7"/>
              <w:spacing w:line="360" w:lineRule="atLeast"/>
              <w:jc w:val="center"/>
              <w:rPr>
                <w:lang w:eastAsia="zh-CN"/>
              </w:rPr>
            </w:pPr>
            <w:r>
              <w:rPr>
                <w:rFonts w:hint="eastAsia"/>
                <w:lang w:eastAsia="zh-CN"/>
              </w:rPr>
              <w:t>3</w:t>
            </w:r>
          </w:p>
        </w:tc>
        <w:tc>
          <w:tcPr>
            <w:tcW w:w="3260" w:type="dxa"/>
            <w:vAlign w:val="center"/>
          </w:tcPr>
          <w:p>
            <w:pPr>
              <w:pStyle w:val="7"/>
              <w:spacing w:line="360" w:lineRule="atLeast"/>
              <w:jc w:val="center"/>
              <w:rPr>
                <w:lang w:eastAsia="zh-CN"/>
              </w:rPr>
            </w:pPr>
          </w:p>
        </w:tc>
        <w:tc>
          <w:tcPr>
            <w:tcW w:w="4547" w:type="dxa"/>
            <w:gridSpan w:val="3"/>
            <w:vAlign w:val="center"/>
          </w:tcPr>
          <w:p>
            <w:pPr>
              <w:pStyle w:val="7"/>
              <w:spacing w:line="360" w:lineRule="atLeast"/>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41" w:type="dxa"/>
            <w:vAlign w:val="center"/>
          </w:tcPr>
          <w:p>
            <w:pPr>
              <w:pStyle w:val="7"/>
              <w:spacing w:line="360" w:lineRule="atLeast"/>
              <w:jc w:val="center"/>
              <w:rPr>
                <w:lang w:eastAsia="zh-CN"/>
              </w:rPr>
            </w:pPr>
            <w:r>
              <w:rPr>
                <w:rFonts w:hint="eastAsia"/>
                <w:lang w:eastAsia="zh-CN"/>
              </w:rPr>
              <w:t>4</w:t>
            </w:r>
          </w:p>
        </w:tc>
        <w:tc>
          <w:tcPr>
            <w:tcW w:w="3260" w:type="dxa"/>
            <w:vAlign w:val="center"/>
          </w:tcPr>
          <w:p>
            <w:pPr>
              <w:pStyle w:val="7"/>
              <w:spacing w:line="360" w:lineRule="atLeast"/>
              <w:jc w:val="center"/>
              <w:rPr>
                <w:lang w:eastAsia="zh-CN"/>
              </w:rPr>
            </w:pPr>
          </w:p>
        </w:tc>
        <w:tc>
          <w:tcPr>
            <w:tcW w:w="4547" w:type="dxa"/>
            <w:gridSpan w:val="3"/>
            <w:vAlign w:val="center"/>
          </w:tcPr>
          <w:p>
            <w:pPr>
              <w:pStyle w:val="7"/>
              <w:spacing w:line="360" w:lineRule="atLeast"/>
              <w:jc w:val="center"/>
              <w:rPr>
                <w:lang w:eastAsia="zh-CN"/>
              </w:rPr>
            </w:pPr>
          </w:p>
        </w:tc>
      </w:tr>
    </w:tbl>
    <w:p>
      <w:pPr>
        <w:pStyle w:val="7"/>
        <w:spacing w:line="360" w:lineRule="atLeast"/>
        <w:ind w:left="218"/>
        <w:rPr>
          <w:sz w:val="28"/>
          <w:szCs w:val="28"/>
          <w:lang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89266"/>
      <w:docPartObj>
        <w:docPartGallery w:val="AutoText"/>
      </w:docPartObj>
    </w:sdtPr>
    <w:sdtContent>
      <w:sdt>
        <w:sdtPr>
          <w:id w:val="98381352"/>
          <w:docPartObj>
            <w:docPartGallery w:val="AutoText"/>
          </w:docPartObj>
        </w:sdtPr>
        <w:sdtContent>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39</w:t>
            </w:r>
            <w:r>
              <w:rPr>
                <w:b/>
                <w:sz w:val="24"/>
                <w:szCs w:val="24"/>
              </w:rPr>
              <w:fldChar w:fldCharType="end"/>
            </w:r>
          </w:p>
        </w:sdtContent>
      </w:sdt>
    </w:sdtContent>
  </w:sdt>
  <w:p>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84711"/>
      <w:docPartObj>
        <w:docPartGallery w:val="AutoText"/>
      </w:docPartObj>
    </w:sdtPr>
    <w:sdtContent>
      <w:sdt>
        <w:sdtPr>
          <w:id w:val="10784710"/>
          <w:docPartObj>
            <w:docPartGallery w:val="AutoText"/>
          </w:docPartObj>
        </w:sdtPr>
        <w:sdtContent>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39</w:t>
            </w:r>
            <w:r>
              <w:rPr>
                <w:b/>
                <w:sz w:val="24"/>
                <w:szCs w:val="24"/>
              </w:rPr>
              <w:fldChar w:fldCharType="end"/>
            </w:r>
          </w:p>
        </w:sdtContent>
      </w:sdt>
    </w:sdtContent>
  </w:sdt>
  <w:p>
    <w:pPr>
      <w:pStyle w:val="7"/>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B5EDF"/>
    <w:multiLevelType w:val="multilevel"/>
    <w:tmpl w:val="07FB5EDF"/>
    <w:lvl w:ilvl="0" w:tentative="0">
      <w:start w:val="1"/>
      <w:numFmt w:val="decimal"/>
      <w:lvlText w:val="%1，"/>
      <w:lvlJc w:val="left"/>
      <w:pPr>
        <w:tabs>
          <w:tab w:val="left" w:pos="720"/>
        </w:tabs>
        <w:ind w:left="720" w:hanging="720"/>
      </w:pPr>
      <w:rPr>
        <w:rFonts w:ascii="宋体" w:hAnsi="Times New Roman" w:eastAsia="宋体" w:cs="宋体"/>
      </w:rPr>
    </w:lvl>
    <w:lvl w:ilvl="1" w:tentative="0">
      <w:start w:val="1"/>
      <w:numFmt w:val="decimal"/>
      <w:suff w:val="nothing"/>
      <w:lvlText w:val="（%2）"/>
      <w:lvlJc w:val="left"/>
      <w:pPr>
        <w:ind w:left="420"/>
      </w:pPr>
      <w:rPr>
        <w:rFonts w:hint="eastAsia" w:ascii="Times New Roman" w:hAnsi="Times New Roman" w:eastAsia="宋体" w:cs="Times New Roman"/>
      </w:rPr>
    </w:lvl>
    <w:lvl w:ilvl="2" w:tentative="0">
      <w:start w:val="10"/>
      <w:numFmt w:val="japaneseCounting"/>
      <w:lvlText w:val="%3．"/>
      <w:lvlJc w:val="left"/>
      <w:pPr>
        <w:tabs>
          <w:tab w:val="left" w:pos="1560"/>
        </w:tabs>
        <w:ind w:left="1560" w:hanging="72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282A0B62"/>
    <w:multiLevelType w:val="multilevel"/>
    <w:tmpl w:val="282A0B62"/>
    <w:lvl w:ilvl="0" w:tentative="0">
      <w:start w:val="4"/>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2">
    <w:nsid w:val="2B033FA2"/>
    <w:multiLevelType w:val="multilevel"/>
    <w:tmpl w:val="2B033FA2"/>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D7D4E6B"/>
    <w:multiLevelType w:val="multilevel"/>
    <w:tmpl w:val="5D7D4E6B"/>
    <w:lvl w:ilvl="0" w:tentative="0">
      <w:start w:val="1"/>
      <w:numFmt w:val="decimal"/>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2"/>
  </w:compat>
  <w:rsids>
    <w:rsidRoot w:val="00967702"/>
    <w:rsid w:val="00000DD4"/>
    <w:rsid w:val="00011057"/>
    <w:rsid w:val="00011407"/>
    <w:rsid w:val="0001646D"/>
    <w:rsid w:val="000328F3"/>
    <w:rsid w:val="00036F9A"/>
    <w:rsid w:val="0005617A"/>
    <w:rsid w:val="00056334"/>
    <w:rsid w:val="000568CF"/>
    <w:rsid w:val="000674F9"/>
    <w:rsid w:val="000679D6"/>
    <w:rsid w:val="00071B25"/>
    <w:rsid w:val="00072774"/>
    <w:rsid w:val="00080812"/>
    <w:rsid w:val="000914CE"/>
    <w:rsid w:val="00096304"/>
    <w:rsid w:val="00096FA0"/>
    <w:rsid w:val="00097881"/>
    <w:rsid w:val="000A0820"/>
    <w:rsid w:val="000A0B41"/>
    <w:rsid w:val="000A208E"/>
    <w:rsid w:val="000A49FD"/>
    <w:rsid w:val="000B0660"/>
    <w:rsid w:val="0015691F"/>
    <w:rsid w:val="0015730E"/>
    <w:rsid w:val="00193817"/>
    <w:rsid w:val="001A3E35"/>
    <w:rsid w:val="001A4283"/>
    <w:rsid w:val="001B0034"/>
    <w:rsid w:val="001B698B"/>
    <w:rsid w:val="001D3581"/>
    <w:rsid w:val="001F0CEE"/>
    <w:rsid w:val="001F35BB"/>
    <w:rsid w:val="0020750C"/>
    <w:rsid w:val="00214E06"/>
    <w:rsid w:val="00217FB9"/>
    <w:rsid w:val="00220E3C"/>
    <w:rsid w:val="00221D70"/>
    <w:rsid w:val="00226656"/>
    <w:rsid w:val="00227556"/>
    <w:rsid w:val="002323C2"/>
    <w:rsid w:val="0025561A"/>
    <w:rsid w:val="00260CCA"/>
    <w:rsid w:val="00274096"/>
    <w:rsid w:val="00275301"/>
    <w:rsid w:val="002814C9"/>
    <w:rsid w:val="0028464C"/>
    <w:rsid w:val="0028648A"/>
    <w:rsid w:val="00292A4F"/>
    <w:rsid w:val="002B14D8"/>
    <w:rsid w:val="002B21E2"/>
    <w:rsid w:val="002C2335"/>
    <w:rsid w:val="002C4D01"/>
    <w:rsid w:val="002C50B1"/>
    <w:rsid w:val="002D31F1"/>
    <w:rsid w:val="002E4DA5"/>
    <w:rsid w:val="002E787B"/>
    <w:rsid w:val="002F23FF"/>
    <w:rsid w:val="002F5451"/>
    <w:rsid w:val="002F781F"/>
    <w:rsid w:val="00315A3D"/>
    <w:rsid w:val="00322549"/>
    <w:rsid w:val="0032782E"/>
    <w:rsid w:val="00344A4E"/>
    <w:rsid w:val="00354A2A"/>
    <w:rsid w:val="003569D4"/>
    <w:rsid w:val="00361FCC"/>
    <w:rsid w:val="00365EBB"/>
    <w:rsid w:val="00372D30"/>
    <w:rsid w:val="00383BF7"/>
    <w:rsid w:val="003850AC"/>
    <w:rsid w:val="00385255"/>
    <w:rsid w:val="00391B4E"/>
    <w:rsid w:val="003921AC"/>
    <w:rsid w:val="003B2198"/>
    <w:rsid w:val="003B4EC5"/>
    <w:rsid w:val="003C21C9"/>
    <w:rsid w:val="003D0571"/>
    <w:rsid w:val="003D678E"/>
    <w:rsid w:val="003F0053"/>
    <w:rsid w:val="003F43B1"/>
    <w:rsid w:val="0040417A"/>
    <w:rsid w:val="004102A6"/>
    <w:rsid w:val="004109C6"/>
    <w:rsid w:val="004220C1"/>
    <w:rsid w:val="00427728"/>
    <w:rsid w:val="004442E7"/>
    <w:rsid w:val="00447C71"/>
    <w:rsid w:val="00451042"/>
    <w:rsid w:val="00457500"/>
    <w:rsid w:val="00460D79"/>
    <w:rsid w:val="0047282D"/>
    <w:rsid w:val="0047773A"/>
    <w:rsid w:val="004826C0"/>
    <w:rsid w:val="004835AF"/>
    <w:rsid w:val="004849FD"/>
    <w:rsid w:val="00492047"/>
    <w:rsid w:val="004B1066"/>
    <w:rsid w:val="004B144F"/>
    <w:rsid w:val="004B1DD8"/>
    <w:rsid w:val="004C3AF4"/>
    <w:rsid w:val="004C6BF7"/>
    <w:rsid w:val="004D34F3"/>
    <w:rsid w:val="004D3571"/>
    <w:rsid w:val="004D5630"/>
    <w:rsid w:val="004E1FBD"/>
    <w:rsid w:val="004F3B24"/>
    <w:rsid w:val="00500FC0"/>
    <w:rsid w:val="00505A38"/>
    <w:rsid w:val="00514188"/>
    <w:rsid w:val="00515FEE"/>
    <w:rsid w:val="00527BB2"/>
    <w:rsid w:val="00535736"/>
    <w:rsid w:val="00552A74"/>
    <w:rsid w:val="00553A22"/>
    <w:rsid w:val="00557069"/>
    <w:rsid w:val="005608D2"/>
    <w:rsid w:val="005709F6"/>
    <w:rsid w:val="005742D0"/>
    <w:rsid w:val="00585A33"/>
    <w:rsid w:val="00586FE6"/>
    <w:rsid w:val="00587FE3"/>
    <w:rsid w:val="00595F8F"/>
    <w:rsid w:val="00596C39"/>
    <w:rsid w:val="005A5310"/>
    <w:rsid w:val="005B2F69"/>
    <w:rsid w:val="005B4BA0"/>
    <w:rsid w:val="005B50B3"/>
    <w:rsid w:val="005D0B52"/>
    <w:rsid w:val="005D1B67"/>
    <w:rsid w:val="005D47FB"/>
    <w:rsid w:val="005D58C4"/>
    <w:rsid w:val="005E5C97"/>
    <w:rsid w:val="005F0A00"/>
    <w:rsid w:val="005F141D"/>
    <w:rsid w:val="005F261C"/>
    <w:rsid w:val="0060424B"/>
    <w:rsid w:val="006046FB"/>
    <w:rsid w:val="0061544E"/>
    <w:rsid w:val="00633387"/>
    <w:rsid w:val="00636649"/>
    <w:rsid w:val="00646EC8"/>
    <w:rsid w:val="00653120"/>
    <w:rsid w:val="0066438C"/>
    <w:rsid w:val="00667F1D"/>
    <w:rsid w:val="0067550B"/>
    <w:rsid w:val="006773E6"/>
    <w:rsid w:val="00684DAC"/>
    <w:rsid w:val="006937BE"/>
    <w:rsid w:val="006A2CC5"/>
    <w:rsid w:val="006A36AF"/>
    <w:rsid w:val="006B2672"/>
    <w:rsid w:val="006B2863"/>
    <w:rsid w:val="006B28E9"/>
    <w:rsid w:val="006C4ED8"/>
    <w:rsid w:val="006E07D8"/>
    <w:rsid w:val="006E5F75"/>
    <w:rsid w:val="006E72DD"/>
    <w:rsid w:val="007108B9"/>
    <w:rsid w:val="007212E4"/>
    <w:rsid w:val="00723977"/>
    <w:rsid w:val="00735199"/>
    <w:rsid w:val="007531B8"/>
    <w:rsid w:val="0076017A"/>
    <w:rsid w:val="00764FA8"/>
    <w:rsid w:val="00766668"/>
    <w:rsid w:val="007815E0"/>
    <w:rsid w:val="00785D1B"/>
    <w:rsid w:val="007947F9"/>
    <w:rsid w:val="007A235C"/>
    <w:rsid w:val="007A5D50"/>
    <w:rsid w:val="007B6101"/>
    <w:rsid w:val="007B6F0A"/>
    <w:rsid w:val="007C1B01"/>
    <w:rsid w:val="007C79EE"/>
    <w:rsid w:val="007D398A"/>
    <w:rsid w:val="00804E85"/>
    <w:rsid w:val="00811AAB"/>
    <w:rsid w:val="00824119"/>
    <w:rsid w:val="00835E9C"/>
    <w:rsid w:val="00855BA1"/>
    <w:rsid w:val="00861D75"/>
    <w:rsid w:val="008671DE"/>
    <w:rsid w:val="008702B4"/>
    <w:rsid w:val="00870D46"/>
    <w:rsid w:val="00872EC2"/>
    <w:rsid w:val="00874213"/>
    <w:rsid w:val="00875AF4"/>
    <w:rsid w:val="00876BD4"/>
    <w:rsid w:val="008A191D"/>
    <w:rsid w:val="008B3F8D"/>
    <w:rsid w:val="008B7944"/>
    <w:rsid w:val="008C50FF"/>
    <w:rsid w:val="008D126B"/>
    <w:rsid w:val="008D6ACC"/>
    <w:rsid w:val="008E107A"/>
    <w:rsid w:val="008E111D"/>
    <w:rsid w:val="008E17CD"/>
    <w:rsid w:val="008F0413"/>
    <w:rsid w:val="008F5317"/>
    <w:rsid w:val="008F7AE5"/>
    <w:rsid w:val="009013B6"/>
    <w:rsid w:val="0090206D"/>
    <w:rsid w:val="009158CD"/>
    <w:rsid w:val="00925FBF"/>
    <w:rsid w:val="009312CA"/>
    <w:rsid w:val="00932015"/>
    <w:rsid w:val="0093437B"/>
    <w:rsid w:val="009421B0"/>
    <w:rsid w:val="009428FE"/>
    <w:rsid w:val="00951102"/>
    <w:rsid w:val="0095556D"/>
    <w:rsid w:val="00955B5E"/>
    <w:rsid w:val="00956747"/>
    <w:rsid w:val="00967702"/>
    <w:rsid w:val="00980F1C"/>
    <w:rsid w:val="00981E93"/>
    <w:rsid w:val="00983954"/>
    <w:rsid w:val="009947C4"/>
    <w:rsid w:val="009A2119"/>
    <w:rsid w:val="009A29E1"/>
    <w:rsid w:val="009B6212"/>
    <w:rsid w:val="009C0F2F"/>
    <w:rsid w:val="009C2DD0"/>
    <w:rsid w:val="009C5294"/>
    <w:rsid w:val="009D51FB"/>
    <w:rsid w:val="009F25C2"/>
    <w:rsid w:val="009F5B1F"/>
    <w:rsid w:val="00A016A8"/>
    <w:rsid w:val="00A0663A"/>
    <w:rsid w:val="00A13BCC"/>
    <w:rsid w:val="00A13C33"/>
    <w:rsid w:val="00A13E67"/>
    <w:rsid w:val="00A26F27"/>
    <w:rsid w:val="00A3071D"/>
    <w:rsid w:val="00A372FD"/>
    <w:rsid w:val="00A42218"/>
    <w:rsid w:val="00A4425C"/>
    <w:rsid w:val="00A51DBD"/>
    <w:rsid w:val="00A72525"/>
    <w:rsid w:val="00A927D8"/>
    <w:rsid w:val="00A9677B"/>
    <w:rsid w:val="00AA0ED3"/>
    <w:rsid w:val="00AA7284"/>
    <w:rsid w:val="00AB7A1A"/>
    <w:rsid w:val="00AC16B9"/>
    <w:rsid w:val="00AD23CF"/>
    <w:rsid w:val="00AD246B"/>
    <w:rsid w:val="00AD7833"/>
    <w:rsid w:val="00AE3D6C"/>
    <w:rsid w:val="00AF1527"/>
    <w:rsid w:val="00AF1AA4"/>
    <w:rsid w:val="00B016E6"/>
    <w:rsid w:val="00B169F6"/>
    <w:rsid w:val="00B21CB6"/>
    <w:rsid w:val="00B26F91"/>
    <w:rsid w:val="00B35AE9"/>
    <w:rsid w:val="00B40916"/>
    <w:rsid w:val="00B42F6B"/>
    <w:rsid w:val="00B44FC3"/>
    <w:rsid w:val="00B54AC6"/>
    <w:rsid w:val="00B63148"/>
    <w:rsid w:val="00B7354F"/>
    <w:rsid w:val="00B740DE"/>
    <w:rsid w:val="00B82B94"/>
    <w:rsid w:val="00B914C4"/>
    <w:rsid w:val="00B95390"/>
    <w:rsid w:val="00BA6F1C"/>
    <w:rsid w:val="00BB0BE1"/>
    <w:rsid w:val="00BC74FB"/>
    <w:rsid w:val="00BD05C2"/>
    <w:rsid w:val="00BE1FCE"/>
    <w:rsid w:val="00BF21AF"/>
    <w:rsid w:val="00C00630"/>
    <w:rsid w:val="00C10D4E"/>
    <w:rsid w:val="00C31868"/>
    <w:rsid w:val="00C344E2"/>
    <w:rsid w:val="00C40813"/>
    <w:rsid w:val="00C47989"/>
    <w:rsid w:val="00C52299"/>
    <w:rsid w:val="00C67700"/>
    <w:rsid w:val="00C67890"/>
    <w:rsid w:val="00C67897"/>
    <w:rsid w:val="00C721A6"/>
    <w:rsid w:val="00C74B28"/>
    <w:rsid w:val="00C95FDD"/>
    <w:rsid w:val="00CA4F31"/>
    <w:rsid w:val="00CB2773"/>
    <w:rsid w:val="00CB2E01"/>
    <w:rsid w:val="00CB3337"/>
    <w:rsid w:val="00CB5AC9"/>
    <w:rsid w:val="00CC034A"/>
    <w:rsid w:val="00CC0DB2"/>
    <w:rsid w:val="00CC5C3D"/>
    <w:rsid w:val="00CE08FB"/>
    <w:rsid w:val="00CF78A1"/>
    <w:rsid w:val="00D03EEA"/>
    <w:rsid w:val="00D11B76"/>
    <w:rsid w:val="00D16B99"/>
    <w:rsid w:val="00D17D6F"/>
    <w:rsid w:val="00D201C8"/>
    <w:rsid w:val="00D22A6E"/>
    <w:rsid w:val="00D2565F"/>
    <w:rsid w:val="00D418CF"/>
    <w:rsid w:val="00D506A2"/>
    <w:rsid w:val="00D52B1C"/>
    <w:rsid w:val="00D62EAC"/>
    <w:rsid w:val="00D65FBC"/>
    <w:rsid w:val="00D749CB"/>
    <w:rsid w:val="00D87A95"/>
    <w:rsid w:val="00D947D8"/>
    <w:rsid w:val="00DA20C9"/>
    <w:rsid w:val="00DA3CA7"/>
    <w:rsid w:val="00DA6512"/>
    <w:rsid w:val="00DB061F"/>
    <w:rsid w:val="00DC4B21"/>
    <w:rsid w:val="00DC4EE8"/>
    <w:rsid w:val="00DD0909"/>
    <w:rsid w:val="00DD56C2"/>
    <w:rsid w:val="00DF062C"/>
    <w:rsid w:val="00DF1BFD"/>
    <w:rsid w:val="00DF2ABA"/>
    <w:rsid w:val="00DF7A10"/>
    <w:rsid w:val="00E12FA3"/>
    <w:rsid w:val="00E15F12"/>
    <w:rsid w:val="00E165C7"/>
    <w:rsid w:val="00E3279B"/>
    <w:rsid w:val="00E36DAF"/>
    <w:rsid w:val="00E47EF8"/>
    <w:rsid w:val="00E5138B"/>
    <w:rsid w:val="00E57297"/>
    <w:rsid w:val="00E607BF"/>
    <w:rsid w:val="00E61853"/>
    <w:rsid w:val="00E62C5E"/>
    <w:rsid w:val="00E70394"/>
    <w:rsid w:val="00E77813"/>
    <w:rsid w:val="00E92DDC"/>
    <w:rsid w:val="00ED1BF8"/>
    <w:rsid w:val="00EE6090"/>
    <w:rsid w:val="00EF2696"/>
    <w:rsid w:val="00EF6CB0"/>
    <w:rsid w:val="00F0678C"/>
    <w:rsid w:val="00F22509"/>
    <w:rsid w:val="00F322B9"/>
    <w:rsid w:val="00F40AD6"/>
    <w:rsid w:val="00F54418"/>
    <w:rsid w:val="00F6409E"/>
    <w:rsid w:val="00F67994"/>
    <w:rsid w:val="00F701B4"/>
    <w:rsid w:val="00F74A7A"/>
    <w:rsid w:val="00F8634D"/>
    <w:rsid w:val="00F963AF"/>
    <w:rsid w:val="00F96FF0"/>
    <w:rsid w:val="00F976D3"/>
    <w:rsid w:val="00FA36C5"/>
    <w:rsid w:val="00FA7916"/>
    <w:rsid w:val="00FB0A0B"/>
    <w:rsid w:val="00FB45D7"/>
    <w:rsid w:val="00FC18DD"/>
    <w:rsid w:val="00FC37B1"/>
    <w:rsid w:val="00FD4B68"/>
    <w:rsid w:val="00FD7AB3"/>
    <w:rsid w:val="00FF396F"/>
    <w:rsid w:val="00FF797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2F9E7026"/>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360" w:lineRule="auto"/>
    </w:pPr>
    <w:rPr>
      <w:rFonts w:ascii="宋体" w:hAnsi="宋体" w:eastAsia="宋体" w:cs="宋体"/>
      <w:sz w:val="22"/>
      <w:szCs w:val="22"/>
      <w:lang w:val="en-US" w:eastAsia="en-US" w:bidi="ar-SA"/>
    </w:rPr>
  </w:style>
  <w:style w:type="paragraph" w:styleId="3">
    <w:name w:val="heading 1"/>
    <w:basedOn w:val="1"/>
    <w:next w:val="1"/>
    <w:link w:val="35"/>
    <w:qFormat/>
    <w:uiPriority w:val="0"/>
    <w:pPr>
      <w:ind w:left="538"/>
      <w:outlineLvl w:val="0"/>
    </w:pPr>
    <w:rPr>
      <w:b/>
      <w:bCs/>
      <w:sz w:val="28"/>
      <w:szCs w:val="28"/>
    </w:rPr>
  </w:style>
  <w:style w:type="paragraph" w:styleId="4">
    <w:name w:val="heading 2"/>
    <w:basedOn w:val="1"/>
    <w:next w:val="1"/>
    <w:link w:val="58"/>
    <w:qFormat/>
    <w:uiPriority w:val="0"/>
    <w:pPr>
      <w:ind w:left="629"/>
      <w:outlineLvl w:val="1"/>
    </w:pPr>
    <w:rPr>
      <w:b/>
      <w:bCs/>
      <w:sz w:val="24"/>
      <w:szCs w:val="24"/>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59"/>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Normal Indent"/>
    <w:basedOn w:val="1"/>
    <w:link w:val="31"/>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6">
    <w:name w:val="annotation text"/>
    <w:basedOn w:val="1"/>
    <w:link w:val="33"/>
    <w:unhideWhenUsed/>
    <w:uiPriority w:val="99"/>
    <w:pPr>
      <w:autoSpaceDE/>
      <w:autoSpaceDN/>
    </w:pPr>
    <w:rPr>
      <w:rFonts w:ascii="Times New Roman" w:hAnsi="Times New Roman" w:cs="Times New Roman"/>
      <w:kern w:val="2"/>
      <w:sz w:val="21"/>
      <w:szCs w:val="24"/>
      <w:lang w:eastAsia="zh-CN"/>
    </w:rPr>
  </w:style>
  <w:style w:type="paragraph" w:styleId="7">
    <w:name w:val="Body Text"/>
    <w:basedOn w:val="1"/>
    <w:link w:val="36"/>
    <w:qFormat/>
    <w:uiPriority w:val="1"/>
    <w:rPr>
      <w:sz w:val="24"/>
      <w:szCs w:val="24"/>
    </w:rPr>
  </w:style>
  <w:style w:type="paragraph" w:styleId="8">
    <w:name w:val="Body Text Indent"/>
    <w:basedOn w:val="1"/>
    <w:link w:val="57"/>
    <w:uiPriority w:val="0"/>
    <w:pPr>
      <w:spacing w:after="120"/>
      <w:ind w:left="420" w:leftChars="200"/>
    </w:pPr>
  </w:style>
  <w:style w:type="paragraph" w:styleId="9">
    <w:name w:val="Plain Text"/>
    <w:basedOn w:val="1"/>
    <w:link w:val="29"/>
    <w:qFormat/>
    <w:uiPriority w:val="0"/>
    <w:rPr>
      <w:rFonts w:hAnsi="Courier New" w:cs="Courier New"/>
      <w:szCs w:val="21"/>
    </w:rPr>
  </w:style>
  <w:style w:type="paragraph" w:styleId="10">
    <w:name w:val="Date"/>
    <w:basedOn w:val="1"/>
    <w:next w:val="1"/>
    <w:link w:val="62"/>
    <w:uiPriority w:val="0"/>
    <w:pPr>
      <w:ind w:left="100" w:leftChars="2500"/>
    </w:pPr>
  </w:style>
  <w:style w:type="paragraph" w:styleId="11">
    <w:name w:val="Balloon Text"/>
    <w:basedOn w:val="1"/>
    <w:link w:val="30"/>
    <w:qFormat/>
    <w:uiPriority w:val="99"/>
    <w:rPr>
      <w:sz w:val="18"/>
      <w:szCs w:val="18"/>
    </w:rPr>
  </w:style>
  <w:style w:type="paragraph" w:styleId="12">
    <w:name w:val="footer"/>
    <w:basedOn w:val="1"/>
    <w:link w:val="28"/>
    <w:qFormat/>
    <w:uiPriority w:val="99"/>
    <w:pPr>
      <w:tabs>
        <w:tab w:val="center" w:pos="4153"/>
        <w:tab w:val="right" w:pos="8306"/>
      </w:tabs>
      <w:snapToGrid w:val="0"/>
    </w:pPr>
    <w:rPr>
      <w:sz w:val="18"/>
      <w:szCs w:val="18"/>
    </w:rPr>
  </w:style>
  <w:style w:type="paragraph" w:styleId="13">
    <w:name w:val="header"/>
    <w:basedOn w:val="1"/>
    <w:link w:val="3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Normal (Web)"/>
    <w:basedOn w:val="1"/>
    <w:unhideWhenUsed/>
    <w:uiPriority w:val="99"/>
    <w:pPr>
      <w:widowControl/>
      <w:autoSpaceDE/>
      <w:autoSpaceDN/>
      <w:spacing w:before="100" w:beforeAutospacing="1" w:after="100" w:afterAutospacing="1"/>
    </w:pPr>
    <w:rPr>
      <w:sz w:val="24"/>
      <w:szCs w:val="24"/>
      <w:lang w:eastAsia="zh-CN"/>
    </w:rPr>
  </w:style>
  <w:style w:type="paragraph" w:styleId="15">
    <w:name w:val="Title"/>
    <w:basedOn w:val="1"/>
    <w:next w:val="1"/>
    <w:link w:val="55"/>
    <w:qFormat/>
    <w:uiPriority w:val="10"/>
    <w:pPr>
      <w:autoSpaceDE/>
      <w:autoSpaceDN/>
      <w:spacing w:before="240" w:after="60"/>
      <w:jc w:val="center"/>
      <w:outlineLvl w:val="0"/>
    </w:pPr>
    <w:rPr>
      <w:rFonts w:ascii="Cambria" w:hAnsi="Cambria" w:cs="Times New Roman"/>
      <w:b/>
      <w:bCs/>
      <w:kern w:val="2"/>
      <w:sz w:val="32"/>
      <w:szCs w:val="32"/>
      <w:lang w:eastAsia="zh-CN"/>
    </w:rPr>
  </w:style>
  <w:style w:type="paragraph" w:styleId="16">
    <w:name w:val="annotation subject"/>
    <w:basedOn w:val="6"/>
    <w:next w:val="6"/>
    <w:link w:val="34"/>
    <w:unhideWhenUsed/>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FollowedHyperlink"/>
    <w:uiPriority w:val="99"/>
    <w:rPr>
      <w:color w:val="800080"/>
      <w:u w:val="single"/>
    </w:rPr>
  </w:style>
  <w:style w:type="character" w:styleId="22">
    <w:name w:val="Hyperlink"/>
    <w:basedOn w:val="19"/>
    <w:qFormat/>
    <w:uiPriority w:val="99"/>
    <w:rPr>
      <w:color w:val="0000FF"/>
      <w:u w:val="single"/>
    </w:rPr>
  </w:style>
  <w:style w:type="character" w:styleId="23">
    <w:name w:val="annotation reference"/>
    <w:basedOn w:val="19"/>
    <w:unhideWhenUsed/>
    <w:uiPriority w:val="99"/>
    <w:rPr>
      <w:sz w:val="21"/>
      <w:szCs w:val="21"/>
    </w:rPr>
  </w:style>
  <w:style w:type="table" w:customStyle="1" w:styleId="24">
    <w:name w:val="Table Normal"/>
    <w:semiHidden/>
    <w:unhideWhenUsed/>
    <w:qFormat/>
    <w:uiPriority w:val="2"/>
    <w:tblPr>
      <w:tblCellMar>
        <w:top w:w="0" w:type="dxa"/>
        <w:left w:w="0" w:type="dxa"/>
        <w:bottom w:w="0" w:type="dxa"/>
        <w:right w:w="0" w:type="dxa"/>
      </w:tblCellMar>
    </w:tblPr>
  </w:style>
  <w:style w:type="paragraph" w:styleId="25">
    <w:name w:val="List Paragraph"/>
    <w:basedOn w:val="1"/>
    <w:qFormat/>
    <w:uiPriority w:val="99"/>
    <w:pPr>
      <w:spacing w:before="206"/>
      <w:ind w:left="959" w:hanging="361"/>
    </w:pPr>
  </w:style>
  <w:style w:type="paragraph" w:customStyle="1" w:styleId="26">
    <w:name w:val="Table Paragraph"/>
    <w:basedOn w:val="1"/>
    <w:qFormat/>
    <w:uiPriority w:val="1"/>
  </w:style>
  <w:style w:type="paragraph" w:customStyle="1" w:styleId="27">
    <w:name w:val="文档正文"/>
    <w:basedOn w:val="1"/>
    <w:qFormat/>
    <w:uiPriority w:val="0"/>
    <w:pPr>
      <w:spacing w:beforeLines="50" w:afterLines="50"/>
      <w:ind w:firstLine="560" w:firstLineChars="200"/>
    </w:pPr>
    <w:rPr>
      <w:rFonts w:cs="Arial"/>
      <w:bCs/>
      <w:sz w:val="28"/>
      <w:szCs w:val="28"/>
    </w:rPr>
  </w:style>
  <w:style w:type="character" w:customStyle="1" w:styleId="28">
    <w:name w:val="页脚 Char"/>
    <w:basedOn w:val="19"/>
    <w:link w:val="12"/>
    <w:qFormat/>
    <w:uiPriority w:val="99"/>
    <w:rPr>
      <w:rFonts w:ascii="宋体" w:hAnsi="宋体" w:cs="宋体"/>
      <w:sz w:val="18"/>
      <w:szCs w:val="18"/>
      <w:lang w:eastAsia="en-US"/>
    </w:rPr>
  </w:style>
  <w:style w:type="character" w:customStyle="1" w:styleId="29">
    <w:name w:val="纯文本 Char"/>
    <w:basedOn w:val="19"/>
    <w:link w:val="9"/>
    <w:uiPriority w:val="0"/>
    <w:rPr>
      <w:rFonts w:ascii="宋体" w:hAnsi="Courier New" w:cs="Courier New"/>
      <w:sz w:val="22"/>
      <w:szCs w:val="21"/>
      <w:lang w:eastAsia="en-US"/>
    </w:rPr>
  </w:style>
  <w:style w:type="character" w:customStyle="1" w:styleId="30">
    <w:name w:val="批注框文本 Char"/>
    <w:basedOn w:val="19"/>
    <w:link w:val="11"/>
    <w:uiPriority w:val="99"/>
    <w:rPr>
      <w:rFonts w:ascii="宋体" w:hAnsi="宋体" w:cs="宋体"/>
      <w:sz w:val="18"/>
      <w:szCs w:val="18"/>
      <w:lang w:eastAsia="en-US"/>
    </w:rPr>
  </w:style>
  <w:style w:type="character" w:customStyle="1" w:styleId="31">
    <w:name w:val="正文缩进 Char"/>
    <w:link w:val="5"/>
    <w:qFormat/>
    <w:uiPriority w:val="0"/>
    <w:rPr>
      <w:kern w:val="2"/>
      <w:sz w:val="21"/>
    </w:rPr>
  </w:style>
  <w:style w:type="character" w:customStyle="1" w:styleId="32">
    <w:name w:val="页眉 Char"/>
    <w:basedOn w:val="19"/>
    <w:link w:val="13"/>
    <w:qFormat/>
    <w:uiPriority w:val="99"/>
    <w:rPr>
      <w:rFonts w:ascii="宋体" w:hAnsi="宋体" w:cs="宋体"/>
      <w:sz w:val="18"/>
      <w:szCs w:val="22"/>
      <w:lang w:eastAsia="en-US"/>
    </w:rPr>
  </w:style>
  <w:style w:type="character" w:customStyle="1" w:styleId="33">
    <w:name w:val="批注文字 Char"/>
    <w:basedOn w:val="19"/>
    <w:link w:val="6"/>
    <w:uiPriority w:val="99"/>
    <w:rPr>
      <w:kern w:val="2"/>
      <w:sz w:val="21"/>
      <w:szCs w:val="24"/>
    </w:rPr>
  </w:style>
  <w:style w:type="character" w:customStyle="1" w:styleId="34">
    <w:name w:val="批注主题 Char"/>
    <w:basedOn w:val="33"/>
    <w:link w:val="16"/>
    <w:uiPriority w:val="99"/>
    <w:rPr>
      <w:b/>
      <w:bCs/>
    </w:rPr>
  </w:style>
  <w:style w:type="character" w:customStyle="1" w:styleId="35">
    <w:name w:val="标题 1 Char"/>
    <w:basedOn w:val="19"/>
    <w:link w:val="3"/>
    <w:qFormat/>
    <w:uiPriority w:val="0"/>
    <w:rPr>
      <w:rFonts w:ascii="宋体" w:hAnsi="宋体" w:cs="宋体"/>
      <w:b/>
      <w:bCs/>
      <w:sz w:val="28"/>
      <w:szCs w:val="28"/>
      <w:lang w:eastAsia="en-US"/>
    </w:rPr>
  </w:style>
  <w:style w:type="character" w:customStyle="1" w:styleId="36">
    <w:name w:val="正文文本 Char"/>
    <w:basedOn w:val="19"/>
    <w:link w:val="7"/>
    <w:qFormat/>
    <w:uiPriority w:val="0"/>
    <w:rPr>
      <w:rFonts w:ascii="宋体" w:hAnsi="宋体" w:cs="宋体"/>
      <w:sz w:val="24"/>
      <w:szCs w:val="24"/>
      <w:lang w:eastAsia="en-US"/>
    </w:rPr>
  </w:style>
  <w:style w:type="character" w:customStyle="1" w:styleId="37">
    <w:name w:val="xdrichtextbox2"/>
    <w:basedOn w:val="19"/>
    <w:uiPriority w:val="0"/>
    <w:rPr>
      <w:color w:val="0000FF"/>
      <w:sz w:val="18"/>
      <w:szCs w:val="18"/>
      <w:u w:val="none"/>
      <w:bdr w:val="single" w:color="DCDCDC" w:sz="8" w:space="0"/>
      <w:shd w:val="clear" w:color="auto" w:fill="FFFFFF"/>
    </w:rPr>
  </w:style>
  <w:style w:type="paragraph" w:customStyle="1" w:styleId="38">
    <w:name w:val="font0"/>
    <w:basedOn w:val="1"/>
    <w:uiPriority w:val="0"/>
    <w:pPr>
      <w:widowControl/>
      <w:autoSpaceDE/>
      <w:autoSpaceDN/>
      <w:spacing w:before="100" w:beforeAutospacing="1" w:after="100" w:afterAutospacing="1"/>
    </w:pPr>
    <w:rPr>
      <w:color w:val="000000"/>
      <w:lang w:eastAsia="zh-CN"/>
    </w:rPr>
  </w:style>
  <w:style w:type="paragraph" w:customStyle="1" w:styleId="39">
    <w:name w:val="font5"/>
    <w:basedOn w:val="1"/>
    <w:uiPriority w:val="0"/>
    <w:pPr>
      <w:widowControl/>
      <w:autoSpaceDE/>
      <w:autoSpaceDN/>
      <w:spacing w:before="100" w:beforeAutospacing="1" w:after="100" w:afterAutospacing="1"/>
    </w:pPr>
    <w:rPr>
      <w:color w:val="000000"/>
      <w:sz w:val="24"/>
      <w:szCs w:val="24"/>
      <w:lang w:eastAsia="zh-CN"/>
    </w:rPr>
  </w:style>
  <w:style w:type="paragraph" w:customStyle="1" w:styleId="40">
    <w:name w:val="xl67"/>
    <w:basedOn w:val="1"/>
    <w:qFormat/>
    <w:uiPriority w:val="0"/>
    <w:pPr>
      <w:widowControl/>
      <w:autoSpaceDE/>
      <w:autoSpaceDN/>
      <w:spacing w:before="100" w:beforeAutospacing="1" w:after="100" w:afterAutospacing="1"/>
    </w:pPr>
    <w:rPr>
      <w:sz w:val="24"/>
      <w:szCs w:val="24"/>
      <w:lang w:eastAsia="zh-CN"/>
    </w:rPr>
  </w:style>
  <w:style w:type="paragraph" w:customStyle="1" w:styleId="41">
    <w:name w:val="xl68"/>
    <w:basedOn w:val="1"/>
    <w:uiPriority w:val="0"/>
    <w:pPr>
      <w:widowControl/>
      <w:autoSpaceDE/>
      <w:autoSpaceDN/>
      <w:spacing w:before="100" w:beforeAutospacing="1" w:after="100" w:afterAutospacing="1"/>
    </w:pPr>
    <w:rPr>
      <w:b/>
      <w:bCs/>
      <w:sz w:val="24"/>
      <w:szCs w:val="24"/>
      <w:lang w:eastAsia="zh-CN"/>
    </w:rPr>
  </w:style>
  <w:style w:type="paragraph" w:customStyle="1" w:styleId="42">
    <w:name w:val="xl69"/>
    <w:basedOn w:val="1"/>
    <w:uiPriority w:val="0"/>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43">
    <w:name w:val="xl70"/>
    <w:basedOn w:val="1"/>
    <w:uiPriority w:val="0"/>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44">
    <w:name w:val="xl71"/>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b/>
      <w:bCs/>
      <w:sz w:val="24"/>
      <w:szCs w:val="24"/>
      <w:lang w:eastAsia="zh-CN"/>
    </w:rPr>
  </w:style>
  <w:style w:type="paragraph" w:customStyle="1" w:styleId="45">
    <w:name w:val="xl72"/>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b/>
      <w:bCs/>
      <w:sz w:val="24"/>
      <w:szCs w:val="24"/>
      <w:lang w:eastAsia="zh-CN"/>
    </w:rPr>
  </w:style>
  <w:style w:type="paragraph" w:customStyle="1" w:styleId="46">
    <w:name w:val="xl73"/>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47">
    <w:name w:val="xl74"/>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sz w:val="24"/>
      <w:szCs w:val="24"/>
      <w:lang w:eastAsia="zh-CN"/>
    </w:rPr>
  </w:style>
  <w:style w:type="paragraph" w:customStyle="1" w:styleId="48">
    <w:name w:val="xl75"/>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sz w:val="24"/>
      <w:szCs w:val="24"/>
      <w:lang w:eastAsia="zh-CN"/>
    </w:rPr>
  </w:style>
  <w:style w:type="paragraph" w:customStyle="1" w:styleId="49">
    <w:name w:val="xl7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eastAsia="zh-CN"/>
    </w:rPr>
  </w:style>
  <w:style w:type="paragraph" w:customStyle="1" w:styleId="5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51">
    <w:name w:val="xl78"/>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sz w:val="24"/>
      <w:szCs w:val="24"/>
      <w:lang w:eastAsia="zh-CN"/>
    </w:rPr>
  </w:style>
  <w:style w:type="paragraph" w:customStyle="1" w:styleId="52">
    <w:name w:val="xl79"/>
    <w:basedOn w:val="1"/>
    <w:uiPriority w:val="0"/>
    <w:pPr>
      <w:widowControl/>
      <w:pBdr>
        <w:bottom w:val="single" w:color="auto" w:sz="4" w:space="0"/>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53">
    <w:name w:val="wz141"/>
    <w:uiPriority w:val="0"/>
    <w:rPr>
      <w:rFonts w:hint="default" w:ascii="Arial" w:hAnsi="Arial" w:cs="Arial"/>
      <w:color w:val="000000"/>
      <w:sz w:val="21"/>
      <w:szCs w:val="21"/>
    </w:rPr>
  </w:style>
  <w:style w:type="character" w:customStyle="1" w:styleId="54">
    <w:name w:val="apple-converted-space"/>
    <w:basedOn w:val="19"/>
    <w:qFormat/>
    <w:uiPriority w:val="0"/>
  </w:style>
  <w:style w:type="character" w:customStyle="1" w:styleId="55">
    <w:name w:val="标题 Char"/>
    <w:basedOn w:val="19"/>
    <w:link w:val="15"/>
    <w:uiPriority w:val="10"/>
    <w:rPr>
      <w:rFonts w:ascii="Cambria" w:hAnsi="Cambria"/>
      <w:b/>
      <w:bCs/>
      <w:kern w:val="2"/>
      <w:sz w:val="32"/>
      <w:szCs w:val="32"/>
    </w:rPr>
  </w:style>
  <w:style w:type="character" w:customStyle="1" w:styleId="56">
    <w:name w:val="纯文本 Char1"/>
    <w:qFormat/>
    <w:uiPriority w:val="0"/>
    <w:rPr>
      <w:rFonts w:ascii="宋体" w:hAnsi="Courier New" w:cs="Courier New"/>
      <w:sz w:val="22"/>
      <w:szCs w:val="21"/>
      <w:lang w:eastAsia="en-US"/>
    </w:rPr>
  </w:style>
  <w:style w:type="character" w:customStyle="1" w:styleId="57">
    <w:name w:val="正文文本缩进 Char"/>
    <w:basedOn w:val="19"/>
    <w:link w:val="8"/>
    <w:uiPriority w:val="0"/>
    <w:rPr>
      <w:rFonts w:ascii="宋体" w:hAnsi="宋体" w:cs="宋体"/>
      <w:sz w:val="22"/>
      <w:szCs w:val="22"/>
      <w:lang w:eastAsia="en-US"/>
    </w:rPr>
  </w:style>
  <w:style w:type="character" w:customStyle="1" w:styleId="58">
    <w:name w:val="标题 2 Char"/>
    <w:basedOn w:val="19"/>
    <w:link w:val="4"/>
    <w:uiPriority w:val="0"/>
    <w:rPr>
      <w:rFonts w:ascii="宋体" w:hAnsi="宋体" w:cs="宋体"/>
      <w:b/>
      <w:bCs/>
      <w:sz w:val="24"/>
      <w:szCs w:val="24"/>
      <w:lang w:eastAsia="en-US"/>
    </w:rPr>
  </w:style>
  <w:style w:type="character" w:customStyle="1" w:styleId="59">
    <w:name w:val="正文1 Char"/>
    <w:basedOn w:val="19"/>
    <w:link w:val="2"/>
    <w:locked/>
    <w:uiPriority w:val="0"/>
    <w:rPr>
      <w:rFonts w:ascii="宋体" w:hAnsi="Calibri"/>
      <w:sz w:val="34"/>
      <w:szCs w:val="22"/>
    </w:rPr>
  </w:style>
  <w:style w:type="paragraph" w:customStyle="1" w:styleId="60">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61">
    <w:name w:val="列出段落2"/>
    <w:basedOn w:val="1"/>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62">
    <w:name w:val="日期 Char"/>
    <w:basedOn w:val="19"/>
    <w:link w:val="10"/>
    <w:uiPriority w:val="0"/>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E3B68-D9A0-44C8-825E-8B4E61AFE234}">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39</Pages>
  <Words>3801</Words>
  <Characters>21667</Characters>
  <Lines>180</Lines>
  <Paragraphs>50</Paragraphs>
  <TotalTime>262</TotalTime>
  <ScaleCrop>false</ScaleCrop>
  <LinksUpToDate>false</LinksUpToDate>
  <CharactersWithSpaces>25418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2021-05-31T02:09:00Z</dcterms:created>
  <dc:creator>CGC</dc:creator>
  <cp:lastModifiedBy>潘骏</cp:lastModifiedBy>
  <cp:lastPrinted>2019-10-12T01:19:00Z</cp:lastPrinted>
  <dcterms:modified xsi:type="dcterms:W3CDTF">2021-06-17T07:38:33Z</dcterms:modified>
  <dc:title>公开招标文件（货物服务类）</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2052-11.1.0.10577</vt:lpwstr>
  </property>
  <property fmtid="{D5CDD505-2E9C-101B-9397-08002B2CF9AE}" pid="6" name="ICV">
    <vt:lpwstr>38A4FB788613465F9CC71091D73790FA</vt:lpwstr>
  </property>
</Properties>
</file>