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pStyle w:val="2"/>
        <w:rPr>
          <w:sz w:val="36"/>
          <w:szCs w:val="36"/>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全厂电力系统安全稳定评估项目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FHC-PTCG20210426002 </w:t>
      </w:r>
      <w:r>
        <w:rPr>
          <w:rFonts w:hint="eastAsia"/>
          <w:sz w:val="28"/>
          <w:szCs w:val="28"/>
        </w:rPr>
        <w:t>）</w:t>
      </w:r>
    </w:p>
    <w:p>
      <w:pPr>
        <w:pStyle w:val="8"/>
        <w:rPr>
          <w:rFonts w:ascii="微软雅黑"/>
          <w:b/>
          <w:sz w:val="94"/>
          <w:lang w:eastAsia="zh-CN"/>
        </w:rPr>
      </w:pPr>
    </w:p>
    <w:p>
      <w:pPr>
        <w:pStyle w:val="8"/>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福建福海创石油化工有限公司编制2021 年  06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ind w:left="369"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ind w:left="369"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tabs>
          <w:tab w:val="left" w:pos="1627"/>
        </w:tabs>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rPr>
          <w:sz w:val="28"/>
          <w:lang w:eastAsia="zh-CN"/>
        </w:rPr>
      </w:pPr>
    </w:p>
    <w:p>
      <w:pPr>
        <w:pStyle w:val="8"/>
        <w:rPr>
          <w:sz w:val="28"/>
          <w:lang w:eastAsia="zh-CN"/>
        </w:rPr>
      </w:pPr>
    </w:p>
    <w:p>
      <w:pPr>
        <w:pStyle w:val="8"/>
        <w:rPr>
          <w:sz w:val="28"/>
          <w:lang w:eastAsia="zh-CN"/>
        </w:rPr>
      </w:pPr>
    </w:p>
    <w:p>
      <w:pPr>
        <w:pStyle w:val="8"/>
        <w:rPr>
          <w:sz w:val="28"/>
          <w:lang w:eastAsia="zh-CN"/>
        </w:rPr>
      </w:pPr>
    </w:p>
    <w:p>
      <w:pPr>
        <w:pStyle w:val="8"/>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5" w:type="default"/>
          <w:pgSz w:w="11910" w:h="16840"/>
          <w:pgMar w:top="1480" w:right="1340" w:bottom="740" w:left="1680" w:header="0" w:footer="551" w:gutter="0"/>
          <w:pgNumType w:start="1"/>
          <w:cols w:space="720" w:num="1"/>
        </w:sectPr>
      </w:pPr>
    </w:p>
    <w:p>
      <w:pPr>
        <w:tabs>
          <w:tab w:val="left" w:pos="1272"/>
        </w:tabs>
        <w:ind w:left="11"/>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ind w:left="170" w:firstLine="480" w:firstLineChars="200"/>
        <w:rPr>
          <w:sz w:val="24"/>
          <w:szCs w:val="24"/>
          <w:lang w:eastAsia="zh-CN"/>
        </w:rPr>
      </w:pPr>
      <w:r>
        <w:rPr>
          <w:sz w:val="24"/>
          <w:szCs w:val="24"/>
          <w:lang w:eastAsia="zh-CN"/>
        </w:rPr>
        <w:t>福建福海创石油化工有限公司拟对本公司</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
          <w:sz w:val="24"/>
          <w:szCs w:val="24"/>
          <w:u w:val="single"/>
          <w:lang w:eastAsia="zh-CN"/>
        </w:rPr>
        <w:t>全厂电力系统安全稳定评估</w:t>
      </w:r>
      <w:r>
        <w:rPr>
          <w:rFonts w:hint="eastAsia" w:asciiTheme="majorEastAsia" w:hAnsiTheme="majorEastAsia" w:eastAsiaTheme="majorEastAsia"/>
          <w:sz w:val="24"/>
          <w:szCs w:val="24"/>
          <w:u w:val="single"/>
          <w:lang w:eastAsia="zh-CN"/>
        </w:rPr>
        <w:t xml:space="preserve"> </w:t>
      </w:r>
      <w:r>
        <w:rPr>
          <w:sz w:val="24"/>
          <w:szCs w:val="24"/>
          <w:lang w:eastAsia="zh-CN"/>
        </w:rPr>
        <w:t>进行公开比选。为了“公开、公平、公正、透明”，引导参选人进行正确参选，特制定本规定文件。福建福海创石油化工有限公司承诺本次自主比选不存在任何障碍，保证本公告内容不存在任何重大遗漏、虚假陈述或严重误导，并对其内容的真实性、完整性和有效性负责。</w:t>
      </w:r>
    </w:p>
    <w:p>
      <w:pPr>
        <w:autoSpaceDE/>
        <w:autoSpaceDN/>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全厂电力系统安全稳定评估 </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为确保公司生产运行，提供供电安全可靠性，对公司电气专业做全维度安全稳定状态评估及整改建议。</w:t>
      </w:r>
    </w:p>
    <w:p>
      <w:pPr>
        <w:pStyle w:val="4"/>
        <w:spacing w:before="24"/>
        <w:ind w:left="0" w:firstLine="480" w:firstLineChars="200"/>
        <w:rPr>
          <w:lang w:eastAsia="zh-CN"/>
        </w:rPr>
      </w:pPr>
      <w:r>
        <w:rPr>
          <w:rFonts w:hint="eastAsia" w:asciiTheme="majorEastAsia" w:hAnsiTheme="majorEastAsia" w:eastAsiaTheme="majorEastAsia"/>
          <w:b w:val="0"/>
          <w:lang w:eastAsia="zh-CN"/>
        </w:rPr>
        <w:t>3. 比选控制价：50万元</w:t>
      </w:r>
    </w:p>
    <w:p>
      <w:pPr>
        <w:pStyle w:val="4"/>
        <w:spacing w:before="24"/>
        <w:ind w:left="0" w:firstLine="359" w:firstLineChars="149"/>
        <w:rPr>
          <w:lang w:eastAsia="zh-CN"/>
        </w:rPr>
      </w:pPr>
      <w:r>
        <w:rPr>
          <w:rFonts w:hint="eastAsia"/>
          <w:lang w:eastAsia="zh-CN"/>
        </w:rPr>
        <w:t>二</w:t>
      </w:r>
      <w:r>
        <w:rPr>
          <w:lang w:eastAsia="zh-CN"/>
        </w:rPr>
        <w:t>、参选人资格要求：</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参选方应具有承装（修、试）电力设施许可证五级证书</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3. 参选方应具有</w:t>
      </w:r>
      <w:r>
        <w:rPr>
          <w:rFonts w:hint="eastAsia"/>
          <w:sz w:val="24"/>
          <w:lang w:eastAsia="zh-CN"/>
        </w:rPr>
        <w:t>安全生产许可证书及信用等级AAA级证书</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参选方应具有ISO9001质量管理体系认证证书、ISO14001环境管理体系认证证书、OHSAS18001职业健康安全管理体系认证证书</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参选方应提供电力系统继电保护及自动化整定计算、电力系统仿真分析及计算等项目评估的业绩（附相关业绩证明）；</w:t>
      </w:r>
    </w:p>
    <w:p>
      <w:pPr>
        <w:pStyle w:val="2"/>
        <w:spacing w:line="360" w:lineRule="auto"/>
        <w:ind w:firstLine="465"/>
        <w:rPr>
          <w:sz w:val="24"/>
          <w:szCs w:val="24"/>
        </w:rPr>
      </w:pPr>
      <w:r>
        <w:rPr>
          <w:rFonts w:hint="eastAsia"/>
          <w:sz w:val="24"/>
          <w:szCs w:val="24"/>
        </w:rPr>
        <w:t xml:space="preserve">6. </w:t>
      </w:r>
      <w:r>
        <w:rPr>
          <w:rFonts w:asciiTheme="majorEastAsia" w:hAnsiTheme="majorEastAsia" w:eastAsiaTheme="majorEastAsia"/>
          <w:sz w:val="24"/>
          <w:szCs w:val="24"/>
        </w:rPr>
        <w:t>没有失信黑名单记录（以最高院失信被执行人系统发布信息为准）；</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hint="eastAsia"/>
          <w:sz w:val="24"/>
          <w:szCs w:val="24"/>
        </w:rPr>
        <w:t>本项目不接受联合体参选，不允许分包。</w:t>
      </w:r>
    </w:p>
    <w:p>
      <w:pPr>
        <w:pStyle w:val="25"/>
        <w:autoSpaceDE/>
        <w:autoSpaceDN/>
        <w:spacing w:before="0"/>
        <w:ind w:left="119" w:leftChars="54" w:firstLine="378" w:firstLineChars="147"/>
        <w:jc w:val="both"/>
        <w:rPr>
          <w:rFonts w:asciiTheme="majorEastAsia" w:hAnsiTheme="majorEastAsia" w:eastAsiaTheme="majorEastAsia"/>
          <w:b/>
          <w:bCs/>
          <w:sz w:val="24"/>
          <w:szCs w:val="24"/>
          <w:lang w:eastAsia="zh-CN"/>
        </w:rPr>
      </w:pPr>
      <w:r>
        <w:rPr>
          <w:rFonts w:hint="eastAsia"/>
          <w:b/>
          <w:snapToGrid w:val="0"/>
          <w:spacing w:val="8"/>
          <w:sz w:val="24"/>
          <w:szCs w:val="24"/>
          <w:lang w:eastAsia="zh-CN"/>
        </w:rPr>
        <w:t>三、</w:t>
      </w:r>
      <w:r>
        <w:rPr>
          <w:rFonts w:hint="eastAsia" w:asciiTheme="majorEastAsia" w:hAnsiTheme="majorEastAsia" w:eastAsiaTheme="majorEastAsia"/>
          <w:b/>
          <w:bCs/>
          <w:sz w:val="24"/>
          <w:szCs w:val="24"/>
          <w:lang w:eastAsia="zh-CN"/>
        </w:rPr>
        <w:t>报名要求</w:t>
      </w:r>
    </w:p>
    <w:p>
      <w:pPr>
        <w:autoSpaceDE/>
        <w:autoSpaceDN/>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2021年6月</w:t>
      </w: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12</w:t>
      </w:r>
      <w:bookmarkStart w:id="10" w:name="_GoBack"/>
      <w:bookmarkEnd w:id="10"/>
      <w:r>
        <w:rPr>
          <w:rFonts w:hint="eastAsia" w:asciiTheme="majorEastAsia" w:hAnsiTheme="majorEastAsia" w:eastAsiaTheme="majorEastAsia"/>
          <w:sz w:val="24"/>
          <w:szCs w:val="24"/>
          <w:lang w:eastAsia="zh-CN"/>
        </w:rPr>
        <w:t>日14:30时（共10天）</w:t>
      </w:r>
    </w:p>
    <w:p>
      <w:pPr>
        <w:pStyle w:val="2"/>
        <w:spacing w:line="360" w:lineRule="auto"/>
        <w:rPr>
          <w:sz w:val="24"/>
          <w:szCs w:val="24"/>
        </w:rPr>
      </w:pPr>
      <w:r>
        <w:rPr>
          <w:rFonts w:hint="eastAsia"/>
          <w:sz w:val="24"/>
          <w:szCs w:val="24"/>
        </w:rPr>
        <w:t xml:space="preserve">       获取比选文件：参选人自行下载比选文件</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2"/>
          <w:rFonts w:hint="eastAsia" w:asciiTheme="majorEastAsia" w:hAnsiTheme="majorEastAsia" w:eastAsiaTheme="majorEastAsia"/>
          <w:sz w:val="24"/>
          <w:szCs w:val="24"/>
          <w:lang w:eastAsia="zh-CN"/>
        </w:rPr>
        <w:t>hzji@fhcpec.com.cn</w:t>
      </w:r>
      <w:r>
        <w:rPr>
          <w:rStyle w:val="22"/>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ind w:firstLine="840" w:firstLineChars="350"/>
        <w:rPr>
          <w:b/>
          <w:snapToGrid w:val="0"/>
          <w:spacing w:val="8"/>
          <w:sz w:val="24"/>
          <w:szCs w:val="24"/>
          <w:lang w:eastAsia="zh-CN"/>
        </w:rPr>
      </w:pPr>
      <w:r>
        <w:rPr>
          <w:rFonts w:hint="eastAsia" w:asciiTheme="majorEastAsia" w:hAnsiTheme="majorEastAsia" w:eastAsiaTheme="majorEastAsia"/>
          <w:bCs/>
          <w:sz w:val="24"/>
          <w:szCs w:val="24"/>
          <w:lang w:eastAsia="zh-CN"/>
        </w:rPr>
        <w:t>2)需到现场进行技术交流，签订技术协议书。</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递交截止时间：报名截止时间延后1个工作日</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2"/>
          <w:rFonts w:hint="eastAsia" w:asciiTheme="majorEastAsia" w:hAnsiTheme="majorEastAsia" w:eastAsiaTheme="majorEastAsia"/>
          <w:sz w:val="24"/>
        </w:rPr>
        <w:t>fhcjc</w:t>
      </w:r>
      <w:r>
        <w:rPr>
          <w:rStyle w:val="22"/>
          <w:rFonts w:asciiTheme="majorEastAsia" w:hAnsiTheme="majorEastAsia" w:eastAsiaTheme="majorEastAsia"/>
          <w:sz w:val="24"/>
        </w:rPr>
        <w:t>@fhcpec.com.cn</w:t>
      </w:r>
      <w:r>
        <w:rPr>
          <w:rStyle w:val="22"/>
          <w:rFonts w:asciiTheme="majorEastAsia" w:hAnsiTheme="majorEastAsia" w:eastAsiaTheme="majorEastAsia"/>
          <w:sz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ind w:left="9"/>
        <w:jc w:val="center"/>
        <w:rPr>
          <w:sz w:val="24"/>
          <w:szCs w:val="24"/>
          <w:lang w:eastAsia="zh-CN"/>
        </w:rPr>
      </w:pPr>
      <w:r>
        <w:rPr>
          <w:rFonts w:hint="eastAsia"/>
          <w:sz w:val="24"/>
          <w:szCs w:val="24"/>
          <w:lang w:eastAsia="zh-CN"/>
        </w:rPr>
        <w:t>福建福海创石油化工有限公司</w:t>
      </w:r>
    </w:p>
    <w:p>
      <w:pPr>
        <w:spacing w:line="324" w:lineRule="auto"/>
        <w:ind w:firstLine="4200" w:firstLineChars="1750"/>
        <w:rPr>
          <w:sz w:val="24"/>
          <w:szCs w:val="24"/>
          <w:lang w:eastAsia="zh-CN"/>
        </w:rPr>
      </w:pPr>
      <w:r>
        <w:rPr>
          <w:rFonts w:hint="eastAsia"/>
          <w:sz w:val="24"/>
          <w:szCs w:val="24"/>
          <w:lang w:eastAsia="zh-CN"/>
        </w:rPr>
        <w:t>2021.06.03</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ind w:left="595"/>
        <w:rPr>
          <w:rFonts w:asciiTheme="majorEastAsia" w:hAnsiTheme="majorEastAsia" w:eastAsiaTheme="majorEastAsia"/>
          <w:u w:val="single"/>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b/>
          <w:bCs/>
          <w:u w:val="single"/>
          <w:lang w:eastAsia="zh-CN"/>
        </w:rPr>
        <w:t>全厂电力系统安全稳定评估</w:t>
      </w:r>
      <w:r>
        <w:rPr>
          <w:rFonts w:hint="eastAsia" w:asciiTheme="majorEastAsia" w:hAnsiTheme="majorEastAsia" w:eastAsiaTheme="majorEastAsia"/>
          <w:b/>
          <w:u w:val="single"/>
          <w:lang w:eastAsia="zh-CN"/>
        </w:rPr>
        <w:t xml:space="preserve">  </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b/>
          <w:u w:val="single"/>
          <w:lang w:eastAsia="zh-CN"/>
        </w:rPr>
        <w:t xml:space="preserve">漳州市漳浦县古雷开发区 </w:t>
      </w:r>
    </w:p>
    <w:p>
      <w:pPr>
        <w:pStyle w:val="8"/>
        <w:ind w:left="595"/>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
          <w:u w:val="single"/>
          <w:lang w:eastAsia="zh-CN"/>
        </w:rPr>
        <w:t>本项目采用包干总价的方式。</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见附件“发包说明”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2.比选范围及内容：</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比选范围为福海创全厂电力系统（含码头），从系统运行、一二次设备、运行管理、设备管理、技术管理、作业规范、事故处理、人员培训等方面，对企业电气专业做全维度安全稳定状态评估及整改建议。同时，开展全厂电力系统进行仿真技术，重点在于运行方式校核（和N-1）、短路电流计算、大电机（群）起动分析、系统孤网运行与暂态稳定性研究、对全厂继电保护方案与灵敏度校核、继电保护整定计算、二期项目系统接入等。</w:t>
      </w:r>
    </w:p>
    <w:p>
      <w:pPr>
        <w:ind w:firstLine="480" w:firstLineChars="200"/>
        <w:rPr>
          <w:sz w:val="24"/>
          <w:lang w:eastAsia="zh-CN"/>
        </w:rPr>
      </w:pPr>
      <w:r>
        <w:rPr>
          <w:rFonts w:hint="eastAsia" w:asciiTheme="majorEastAsia" w:hAnsiTheme="majorEastAsia" w:eastAsiaTheme="majorEastAsia"/>
          <w:sz w:val="24"/>
          <w:szCs w:val="24"/>
          <w:lang w:eastAsia="zh-CN"/>
        </w:rPr>
        <w:t>3.</w:t>
      </w:r>
      <w:r>
        <w:rPr>
          <w:rFonts w:hint="eastAsia"/>
          <w:sz w:val="24"/>
          <w:lang w:eastAsia="zh-CN"/>
        </w:rPr>
        <w:t xml:space="preserve"> 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成果提交要求：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见附件“发包说明书”</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5.工期要求</w:t>
      </w:r>
      <w:r>
        <w:rPr>
          <w:rFonts w:asciiTheme="majorEastAsia" w:hAnsiTheme="majorEastAsia" w:eastAsiaTheme="majorEastAsia"/>
          <w:sz w:val="24"/>
          <w:szCs w:val="24"/>
          <w:lang w:eastAsia="zh-CN"/>
        </w:rPr>
        <w:t>：</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5.1、现场勘查、开展安稳评估：27天内提交评估报告；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5.2、全厂电力系统仿真分析：30个工作日内完成；</w:t>
      </w:r>
    </w:p>
    <w:p>
      <w:pPr>
        <w:pStyle w:val="2"/>
        <w:spacing w:line="360" w:lineRule="auto"/>
        <w:rPr>
          <w:sz w:val="24"/>
          <w:szCs w:val="24"/>
        </w:rPr>
      </w:pPr>
      <w:r>
        <w:rPr>
          <w:rFonts w:hint="eastAsia"/>
          <w:sz w:val="24"/>
          <w:szCs w:val="24"/>
        </w:rPr>
        <w:t xml:space="preserve">    5.3、全厂电力系统继电保护计算整定与校核：30个工作日内完成。</w:t>
      </w:r>
    </w:p>
    <w:p>
      <w:pPr>
        <w:widowControl/>
        <w:tabs>
          <w:tab w:val="left" w:pos="0"/>
          <w:tab w:val="left" w:pos="993"/>
          <w:tab w:val="left" w:pos="1134"/>
        </w:tabs>
        <w:autoSpaceDE/>
        <w:autoSpaceDN/>
        <w:ind w:firstLine="480" w:firstLineChars="200"/>
        <w:jc w:val="both"/>
        <w:rPr>
          <w:rFonts w:asciiTheme="majorEastAsia" w:hAnsiTheme="majorEastAsia" w:eastAsiaTheme="majorEastAsia"/>
          <w:spacing w:val="-10"/>
          <w:sz w:val="24"/>
          <w:szCs w:val="24"/>
          <w:lang w:eastAsia="zh-CN"/>
        </w:rPr>
      </w:pPr>
      <w:r>
        <w:rPr>
          <w:rFonts w:hint="eastAsia" w:asciiTheme="majorEastAsia" w:hAnsiTheme="majorEastAsia" w:eastAsiaTheme="majorEastAsia"/>
          <w:sz w:val="24"/>
          <w:szCs w:val="24"/>
          <w:lang w:eastAsia="zh-CN"/>
        </w:rPr>
        <w:t>6.控制价：</w:t>
      </w:r>
      <w:r>
        <w:rPr>
          <w:rFonts w:hint="eastAsia" w:asciiTheme="majorEastAsia" w:hAnsiTheme="majorEastAsia" w:eastAsiaTheme="majorEastAsia"/>
          <w:b/>
          <w:spacing w:val="-10"/>
          <w:sz w:val="24"/>
          <w:szCs w:val="24"/>
          <w:lang w:eastAsia="zh-CN"/>
        </w:rPr>
        <w:t>本项目最高限价为人民币50万元</w:t>
      </w:r>
      <w:r>
        <w:rPr>
          <w:rFonts w:hint="eastAsia" w:asciiTheme="majorEastAsia" w:hAnsiTheme="majorEastAsia" w:eastAsiaTheme="majorEastAsia"/>
          <w:spacing w:val="-10"/>
          <w:sz w:val="24"/>
          <w:szCs w:val="24"/>
          <w:lang w:eastAsia="zh-CN"/>
        </w:rPr>
        <w:t>。参选人在比选文件中填报的投标总价高于最高限价的，视为未实质性响应招标文件要求，其报价将被视为无效报价。</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before="26"/>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8"/>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8"/>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ind w:left="118"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ind w:left="118"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before="27"/>
        <w:ind w:left="118"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before="27"/>
        <w:ind w:left="598"/>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before="27"/>
        <w:ind w:left="598"/>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ind w:firstLine="600" w:firstLineChars="25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600" w:firstLineChars="250"/>
        <w:rPr>
          <w:sz w:val="24"/>
          <w:szCs w:val="24"/>
          <w:lang w:eastAsia="zh-CN"/>
        </w:rPr>
      </w:pPr>
      <w:r>
        <w:rPr>
          <w:rFonts w:hint="eastAsia"/>
          <w:sz w:val="24"/>
          <w:szCs w:val="24"/>
          <w:lang w:eastAsia="zh-CN"/>
        </w:rPr>
        <w:t xml:space="preserve">2. </w:t>
      </w:r>
      <w:r>
        <w:rPr>
          <w:rFonts w:hint="eastAsia"/>
          <w:sz w:val="24"/>
          <w:lang w:eastAsia="zh-CN"/>
        </w:rPr>
        <w:t>参选方应具有承装（修、试）电力设施许可证五级证书</w:t>
      </w:r>
      <w:r>
        <w:rPr>
          <w:rFonts w:hint="eastAsia"/>
          <w:sz w:val="24"/>
          <w:szCs w:val="24"/>
          <w:lang w:eastAsia="zh-CN"/>
        </w:rPr>
        <w:t>；</w:t>
      </w:r>
    </w:p>
    <w:p>
      <w:pPr>
        <w:ind w:firstLine="600" w:firstLineChars="250"/>
        <w:rPr>
          <w:sz w:val="24"/>
          <w:szCs w:val="24"/>
          <w:lang w:eastAsia="zh-CN"/>
        </w:rPr>
      </w:pPr>
      <w:r>
        <w:rPr>
          <w:rFonts w:hint="eastAsia"/>
          <w:sz w:val="24"/>
          <w:szCs w:val="24"/>
          <w:lang w:eastAsia="zh-CN"/>
        </w:rPr>
        <w:t>3. 参选方应具有</w:t>
      </w:r>
      <w:r>
        <w:rPr>
          <w:rFonts w:hint="eastAsia"/>
          <w:sz w:val="24"/>
          <w:lang w:eastAsia="zh-CN"/>
        </w:rPr>
        <w:t>安全生产许可证书及信用等级AAA级证书</w:t>
      </w:r>
      <w:r>
        <w:rPr>
          <w:rFonts w:hint="eastAsia"/>
          <w:sz w:val="24"/>
          <w:szCs w:val="24"/>
          <w:lang w:eastAsia="zh-CN"/>
        </w:rPr>
        <w:t>；</w:t>
      </w:r>
    </w:p>
    <w:p>
      <w:pPr>
        <w:pStyle w:val="2"/>
        <w:spacing w:line="360" w:lineRule="auto"/>
        <w:ind w:firstLine="583" w:firstLineChars="243"/>
        <w:rPr>
          <w:sz w:val="24"/>
          <w:szCs w:val="24"/>
        </w:rPr>
      </w:pPr>
      <w:r>
        <w:rPr>
          <w:rFonts w:hint="eastAsia"/>
          <w:sz w:val="24"/>
          <w:szCs w:val="24"/>
        </w:rPr>
        <w:t xml:space="preserve">4. </w:t>
      </w:r>
      <w:r>
        <w:rPr>
          <w:rFonts w:hint="eastAsia" w:hAnsi="宋体"/>
          <w:sz w:val="24"/>
        </w:rPr>
        <w:t>参选方应具有ISO9001质量管理体系认证证书、ISO14001环境管理体系认证证书、OHSAS18001职业健康安全管理体系认证证书</w:t>
      </w:r>
      <w:r>
        <w:rPr>
          <w:rFonts w:hint="eastAsia"/>
          <w:sz w:val="24"/>
          <w:szCs w:val="24"/>
        </w:rPr>
        <w:t>；</w:t>
      </w:r>
    </w:p>
    <w:p>
      <w:pPr>
        <w:pStyle w:val="2"/>
        <w:spacing w:line="360" w:lineRule="auto"/>
        <w:ind w:firstLine="583" w:firstLineChars="243"/>
        <w:rPr>
          <w:sz w:val="24"/>
          <w:szCs w:val="24"/>
        </w:rPr>
      </w:pPr>
      <w:r>
        <w:rPr>
          <w:rFonts w:hint="eastAsia"/>
          <w:sz w:val="24"/>
          <w:szCs w:val="24"/>
        </w:rPr>
        <w:t xml:space="preserve">5. </w:t>
      </w:r>
      <w:r>
        <w:rPr>
          <w:rFonts w:hint="eastAsia" w:hAnsi="宋体"/>
          <w:sz w:val="24"/>
        </w:rPr>
        <w:t>参选方应提供电力系统继电保护及自动化整定计算、电力系统仿真分析及计算等项目评估的业绩（附相关业绩证明）；</w:t>
      </w:r>
    </w:p>
    <w:p>
      <w:pPr>
        <w:pStyle w:val="2"/>
        <w:spacing w:line="360" w:lineRule="auto"/>
        <w:ind w:firstLine="583" w:firstLineChars="243"/>
        <w:rPr>
          <w:sz w:val="24"/>
          <w:szCs w:val="24"/>
        </w:rPr>
      </w:pPr>
      <w:r>
        <w:rPr>
          <w:rFonts w:hint="eastAsia"/>
          <w:sz w:val="24"/>
          <w:szCs w:val="24"/>
        </w:rPr>
        <w:t xml:space="preserve">6. </w:t>
      </w:r>
      <w:r>
        <w:rPr>
          <w:rFonts w:asciiTheme="majorEastAsia" w:hAnsiTheme="majorEastAsia" w:eastAsiaTheme="majorEastAsia"/>
          <w:sz w:val="24"/>
          <w:szCs w:val="24"/>
        </w:rPr>
        <w:t>没有失信黑名单记录（以最高院失信被执行人系统发布信息为准）；</w:t>
      </w:r>
    </w:p>
    <w:p>
      <w:pPr>
        <w:widowControl/>
        <w:autoSpaceDE/>
        <w:autoSpaceDN/>
        <w:ind w:firstLine="600" w:firstLineChars="25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ind w:left="0" w:firstLine="597" w:firstLineChars="249"/>
        <w:rPr>
          <w:rFonts w:asciiTheme="majorEastAsia" w:hAnsiTheme="majorEastAsia" w:eastAsiaTheme="majorEastAsia"/>
          <w:b w:val="0"/>
          <w:bCs w:val="0"/>
          <w:sz w:val="24"/>
          <w:szCs w:val="24"/>
          <w:lang w:eastAsia="zh-CN"/>
        </w:rPr>
      </w:pPr>
      <w:r>
        <w:rPr>
          <w:rFonts w:hint="eastAsia" w:asciiTheme="majorEastAsia" w:hAnsiTheme="majorEastAsia" w:eastAsiaTheme="majorEastAsia"/>
          <w:b w:val="0"/>
          <w:sz w:val="24"/>
          <w:szCs w:val="24"/>
          <w:lang w:eastAsia="zh-CN"/>
        </w:rPr>
        <w:t xml:space="preserve">8. </w:t>
      </w:r>
      <w:r>
        <w:rPr>
          <w:rFonts w:hint="eastAsia"/>
          <w:b w:val="0"/>
          <w:sz w:val="24"/>
          <w:szCs w:val="24"/>
          <w:lang w:eastAsia="zh-CN"/>
        </w:rPr>
        <w:t>本项目不接受联合体参选，不允许分包。</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1、参选保证金的金额为：人民币壹万元整（10000.00元）；</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开户银行：福建福海创石油化工有限公司 </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sz w:val="24"/>
          <w:szCs w:val="24"/>
          <w:lang w:eastAsia="zh-CN"/>
        </w:rPr>
        <w:t>中国银行股份有限公司漳州古雷经济开发区支行</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bCs/>
          <w:sz w:val="24"/>
          <w:szCs w:val="24"/>
          <w:lang w:eastAsia="zh-CN"/>
        </w:rPr>
        <w:t>全厂电力系统安全稳定评估</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8"/>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8"/>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8"/>
        <w:ind w:right="121" w:firstLine="480" w:firstLineChars="200"/>
        <w:jc w:val="both"/>
        <w:rPr>
          <w:lang w:eastAsia="zh-CN"/>
        </w:rPr>
      </w:pPr>
      <w:r>
        <w:rPr>
          <w:rFonts w:hint="eastAsia"/>
          <w:lang w:eastAsia="zh-CN"/>
        </w:rPr>
        <w:t>8.如有下列情况发生，将被没收参选保证金：</w:t>
      </w:r>
    </w:p>
    <w:p>
      <w:pPr>
        <w:pStyle w:val="8"/>
        <w:ind w:right="121"/>
        <w:jc w:val="both"/>
        <w:rPr>
          <w:lang w:eastAsia="zh-CN"/>
        </w:rPr>
      </w:pPr>
      <w:r>
        <w:rPr>
          <w:rFonts w:hint="eastAsia"/>
          <w:lang w:eastAsia="zh-CN"/>
        </w:rPr>
        <w:t xml:space="preserve">   （1）参选单位在参选有效期内撤回参选文件；</w:t>
      </w:r>
    </w:p>
    <w:p>
      <w:pPr>
        <w:pStyle w:val="8"/>
        <w:ind w:right="-49" w:firstLine="360" w:firstLineChars="150"/>
        <w:rPr>
          <w:rFonts w:asciiTheme="majorEastAsia" w:hAnsiTheme="majorEastAsia" w:eastAsiaTheme="majorEastAsia"/>
          <w:lang w:eastAsia="zh-CN"/>
        </w:rPr>
      </w:pPr>
      <w:r>
        <w:rPr>
          <w:rFonts w:hint="eastAsia"/>
          <w:lang w:eastAsia="zh-CN"/>
        </w:rPr>
        <w:t>（2）参选单位未能按接到中标通知书后规定的时间内签定合同。</w:t>
      </w:r>
    </w:p>
    <w:p>
      <w:pPr>
        <w:pStyle w:val="8"/>
        <w:ind w:right="-49" w:firstLine="458" w:firstLineChars="200"/>
        <w:rPr>
          <w:rFonts w:asciiTheme="majorEastAsia" w:hAnsiTheme="majorEastAsia" w:eastAsiaTheme="majorEastAsia"/>
          <w:b/>
          <w:w w:val="95"/>
          <w:lang w:eastAsia="zh-CN"/>
        </w:rPr>
      </w:pPr>
      <w:r>
        <w:rPr>
          <w:rFonts w:asciiTheme="majorEastAsia" w:hAnsiTheme="majorEastAsia" w:eastAsiaTheme="majorEastAsia"/>
          <w:b/>
          <w:w w:val="95"/>
          <w:lang w:eastAsia="zh-CN"/>
        </w:rPr>
        <w:t>八、参选文件的递交</w:t>
      </w:r>
    </w:p>
    <w:p>
      <w:pPr>
        <w:pStyle w:val="4"/>
        <w:tabs>
          <w:tab w:val="left" w:pos="6879"/>
        </w:tabs>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ind w:left="119" w:leftChars="54" w:right="106" w:firstLine="806" w:firstLineChars="346"/>
        <w:rPr>
          <w:spacing w:val="-6"/>
          <w:lang w:eastAsia="zh-CN"/>
        </w:rPr>
      </w:pPr>
      <w:r>
        <w:rPr>
          <w:rFonts w:hint="eastAsia"/>
          <w:spacing w:val="-4"/>
          <w:lang w:eastAsia="zh-CN"/>
        </w:rPr>
        <w:t xml:space="preserve">技术联系人：李永其     电话：13615098802 </w:t>
      </w:r>
    </w:p>
    <w:p>
      <w:pPr>
        <w:ind w:left="598" w:leftChars="272" w:firstLine="236" w:firstLineChars="98"/>
        <w:rPr>
          <w:b/>
          <w:sz w:val="24"/>
          <w:lang w:eastAsia="zh-CN"/>
        </w:rPr>
      </w:pPr>
      <w:r>
        <w:rPr>
          <w:b/>
          <w:sz w:val="24"/>
          <w:lang w:eastAsia="zh-CN"/>
        </w:rPr>
        <w:t>注：请使用顺丰快递或中国邮政 EMS 快递，其他快递不能保证送达目的地。</w:t>
      </w:r>
    </w:p>
    <w:p>
      <w:pPr>
        <w:pStyle w:val="8"/>
        <w:ind w:firstLine="480" w:firstLineChars="200"/>
        <w:rPr>
          <w:lang w:eastAsia="zh-CN"/>
        </w:rPr>
      </w:pPr>
      <w:r>
        <w:rPr>
          <w:lang w:eastAsia="zh-CN"/>
        </w:rPr>
        <w:t>3.只允许参选人有一个参选方案，否则将被视为无效参选。</w:t>
      </w:r>
    </w:p>
    <w:p>
      <w:pPr>
        <w:pStyle w:val="8"/>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8"/>
        <w:spacing w:before="21"/>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8"/>
        <w:ind w:right="-49" w:firstLine="480" w:firstLineChars="200"/>
        <w:rPr>
          <w:rFonts w:asciiTheme="majorEastAsia" w:hAnsiTheme="majorEastAsia" w:eastAsiaTheme="major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pStyle w:val="8"/>
        <w:ind w:right="-49" w:firstLine="600" w:firstLineChars="250"/>
        <w:rPr>
          <w:rFonts w:asciiTheme="majorEastAsia" w:hAnsiTheme="majorEastAsia" w:eastAsiaTheme="majorEastAsia"/>
          <w:spacing w:val="-9"/>
          <w:lang w:eastAsia="zh-CN"/>
        </w:rPr>
      </w:pPr>
      <w:r>
        <w:rPr>
          <w:rFonts w:hint="eastAsia" w:asciiTheme="majorEastAsia" w:hAnsiTheme="majorEastAsia" w:eastAsiaTheme="majorEastAsia"/>
          <w:bCs/>
          <w:color w:val="000000"/>
          <w:lang w:eastAsia="zh-CN"/>
        </w:rPr>
        <w:t>（4）</w:t>
      </w:r>
      <w:r>
        <w:rPr>
          <w:rFonts w:hint="eastAsia" w:asciiTheme="majorEastAsia" w:hAnsiTheme="majorEastAsia" w:eastAsiaTheme="majorEastAsia"/>
          <w:bCs/>
          <w:lang w:eastAsia="zh-CN"/>
        </w:rPr>
        <w:t>超过异议时效的。</w:t>
      </w:r>
    </w:p>
    <w:p>
      <w:pPr>
        <w:pStyle w:val="4"/>
        <w:ind w:left="0" w:firstLine="458" w:firstLineChars="200"/>
        <w:rPr>
          <w:rFonts w:asciiTheme="majorEastAsia" w:hAnsiTheme="majorEastAsia" w:eastAsiaTheme="majorEastAsia"/>
          <w:lang w:eastAsia="zh-CN"/>
        </w:rPr>
      </w:pPr>
      <w:r>
        <w:rPr>
          <w:rFonts w:hint="eastAsia" w:asciiTheme="majorEastAsia" w:hAnsiTheme="majorEastAsia" w:eastAsiaTheme="majorEastAsia"/>
          <w:w w:val="95"/>
          <w:lang w:eastAsia="zh-CN"/>
        </w:rPr>
        <w:t>十</w:t>
      </w:r>
      <w:r>
        <w:rPr>
          <w:rFonts w:asciiTheme="majorEastAsia" w:hAnsiTheme="majorEastAsia" w:eastAsiaTheme="majorEastAsia"/>
          <w:w w:val="95"/>
          <w:lang w:eastAsia="zh-CN"/>
        </w:rPr>
        <w:t>、</w:t>
      </w:r>
      <w:r>
        <w:rPr>
          <w:rFonts w:hint="eastAsia" w:asciiTheme="majorEastAsia" w:hAnsiTheme="majorEastAsia" w:eastAsiaTheme="majorEastAsia"/>
          <w:lang w:eastAsia="zh-CN"/>
        </w:rPr>
        <w:t>最高控制价及投标报价要求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1、本项目最高限价为人民币50万元。参选人所填报的参选总价高于本项目最高限价的,视为无效报价，其参选将被评标委员会予以否决</w:t>
      </w:r>
      <w:r>
        <w:rPr>
          <w:rFonts w:hint="eastAsia" w:asciiTheme="majorEastAsia" w:hAnsiTheme="majorEastAsia" w:eastAsiaTheme="majorEastAsia"/>
          <w:sz w:val="24"/>
          <w:szCs w:val="24"/>
          <w:lang w:eastAsia="zh-CN"/>
        </w:rPr>
        <w:t>。</w:t>
      </w:r>
    </w:p>
    <w:p>
      <w:pPr>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人应以完成本比选文件“发包说明书”所述的所有内容所涉及的全部费用进行报价。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ind w:left="538"/>
        <w:rPr>
          <w:b/>
          <w:sz w:val="24"/>
          <w:szCs w:val="24"/>
          <w:lang w:eastAsia="zh-CN"/>
        </w:rPr>
      </w:pPr>
      <w:r>
        <w:rPr>
          <w:b/>
          <w:w w:val="95"/>
          <w:sz w:val="24"/>
          <w:szCs w:val="24"/>
          <w:lang w:eastAsia="zh-CN"/>
        </w:rPr>
        <w:t>一、参选文件的组成：</w:t>
      </w:r>
    </w:p>
    <w:p>
      <w:pPr>
        <w:pStyle w:val="8"/>
        <w:ind w:left="118" w:right="92" w:firstLine="480"/>
        <w:rPr>
          <w:lang w:eastAsia="zh-CN"/>
        </w:rPr>
      </w:pPr>
      <w:r>
        <w:rPr>
          <w:lang w:eastAsia="zh-CN"/>
        </w:rPr>
        <w:t>①参选单位企业概况（企业简介、经营状况</w:t>
      </w:r>
      <w:r>
        <w:rPr>
          <w:rFonts w:hint="eastAsia"/>
          <w:lang w:eastAsia="zh-CN"/>
        </w:rPr>
        <w:t>、业绩情况（如有相关业绩需提供相应合同盖章页）</w:t>
      </w:r>
      <w:r>
        <w:rPr>
          <w:lang w:eastAsia="zh-CN"/>
        </w:rPr>
        <w:t>）、营业执照、资质证书、组织机构代码证、税务登记证（经年检或年审合格的）等</w:t>
      </w:r>
      <w:r>
        <w:rPr>
          <w:rFonts w:hint="eastAsia"/>
          <w:lang w:eastAsia="zh-CN"/>
        </w:rPr>
        <w:t>，以及</w:t>
      </w:r>
      <w:r>
        <w:rPr>
          <w:spacing w:val="-5"/>
          <w:lang w:eastAsia="zh-CN"/>
        </w:rPr>
        <w:t>其他可以证明参选单位具有类似</w:t>
      </w:r>
      <w:r>
        <w:rPr>
          <w:rFonts w:hint="eastAsia"/>
          <w:spacing w:val="-5"/>
          <w:lang w:eastAsia="zh-CN"/>
        </w:rPr>
        <w:t>项目</w:t>
      </w:r>
      <w:r>
        <w:rPr>
          <w:spacing w:val="-5"/>
          <w:lang w:eastAsia="zh-CN"/>
        </w:rPr>
        <w:t>良好业绩的相关材料；凡弄虚作假的，一经查实，比选人有权取消其中选资格。</w:t>
      </w:r>
    </w:p>
    <w:p>
      <w:pPr>
        <w:pStyle w:val="8"/>
        <w:ind w:left="118" w:right="92" w:firstLine="480"/>
        <w:rPr>
          <w:lang w:eastAsia="zh-CN"/>
        </w:rPr>
      </w:pPr>
      <w:r>
        <w:rPr>
          <w:spacing w:val="-7"/>
          <w:lang w:eastAsia="zh-CN"/>
        </w:rPr>
        <w:t>②</w:t>
      </w:r>
      <w:r>
        <w:rPr>
          <w:rFonts w:hint="eastAsia"/>
          <w:spacing w:val="-7"/>
          <w:lang w:eastAsia="zh-CN"/>
        </w:rPr>
        <w:t>参选人资格要求中所有的资质材料。（</w:t>
      </w:r>
      <w:r>
        <w:rPr>
          <w:rFonts w:hint="eastAsia"/>
          <w:b/>
          <w:spacing w:val="-7"/>
          <w:lang w:eastAsia="zh-CN"/>
        </w:rPr>
        <w:t>参选人需根据发包说明编制相关方案，以及工作计划安排等内容。</w:t>
      </w:r>
      <w:r>
        <w:rPr>
          <w:rFonts w:hint="eastAsia"/>
          <w:spacing w:val="-7"/>
          <w:lang w:eastAsia="zh-CN"/>
        </w:rPr>
        <w:t>）</w:t>
      </w:r>
    </w:p>
    <w:p>
      <w:pPr>
        <w:pStyle w:val="8"/>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8"/>
        <w:ind w:left="595"/>
        <w:rPr>
          <w:lang w:eastAsia="zh-CN"/>
        </w:rPr>
      </w:pPr>
      <w:r>
        <w:rPr>
          <w:lang w:eastAsia="zh-CN"/>
        </w:rPr>
        <w:t>④提供参选报价表(详见附件)。</w:t>
      </w:r>
    </w:p>
    <w:p>
      <w:pPr>
        <w:pStyle w:val="8"/>
        <w:spacing w:before="26"/>
        <w:ind w:firstLine="480" w:firstLineChars="200"/>
        <w:rPr>
          <w:b/>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ind w:firstLine="602" w:firstLineChars="250"/>
        <w:rPr>
          <w:lang w:eastAsia="zh-CN"/>
        </w:rPr>
      </w:pPr>
      <w:r>
        <w:rPr>
          <w:rFonts w:hint="eastAsia"/>
          <w:b/>
          <w:lang w:eastAsia="zh-CN"/>
        </w:rPr>
        <w:t>注：需提供参选文件及报价表电子版一份（盖章PDF版），报价表须独立盖章密封</w:t>
      </w:r>
    </w:p>
    <w:p>
      <w:pPr>
        <w:pStyle w:val="3"/>
        <w:ind w:left="680"/>
        <w:rPr>
          <w:sz w:val="24"/>
          <w:szCs w:val="24"/>
          <w:lang w:eastAsia="zh-CN"/>
        </w:rPr>
      </w:pPr>
      <w:r>
        <w:rPr>
          <w:w w:val="95"/>
          <w:sz w:val="24"/>
          <w:szCs w:val="24"/>
          <w:lang w:eastAsia="zh-CN"/>
        </w:rPr>
        <w:t>二、参选书格式内容</w:t>
      </w:r>
    </w:p>
    <w:p>
      <w:pPr>
        <w:pStyle w:val="8"/>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ind w:left="598"/>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rPr>
          <w:sz w:val="24"/>
          <w:szCs w:val="24"/>
          <w:lang w:eastAsia="zh-CN"/>
        </w:rPr>
      </w:pPr>
      <w:r>
        <w:rPr>
          <w:w w:val="95"/>
          <w:sz w:val="24"/>
          <w:szCs w:val="24"/>
          <w:lang w:eastAsia="zh-CN"/>
        </w:rPr>
        <w:t>三、参选报价</w:t>
      </w:r>
    </w:p>
    <w:p>
      <w:pPr>
        <w:pStyle w:val="8"/>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rPr>
          <w:sz w:val="24"/>
          <w:szCs w:val="24"/>
          <w:lang w:eastAsia="zh-CN"/>
        </w:rPr>
      </w:pPr>
      <w:r>
        <w:rPr>
          <w:w w:val="95"/>
          <w:sz w:val="24"/>
          <w:szCs w:val="24"/>
          <w:lang w:eastAsia="zh-CN"/>
        </w:rPr>
        <w:t>四、特别说明</w:t>
      </w:r>
    </w:p>
    <w:p>
      <w:pPr>
        <w:pStyle w:val="8"/>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430422420"/>
      <w:bookmarkStart w:id="2" w:name="_Toc430488858"/>
      <w:bookmarkStart w:id="3" w:name="_Toc304357904"/>
      <w:bookmarkStart w:id="4" w:name="_Toc430488651"/>
      <w:bookmarkStart w:id="5" w:name="_Toc177186249"/>
      <w:bookmarkStart w:id="6" w:name="_Toc430490619"/>
      <w:bookmarkStart w:id="7" w:name="_Toc430492133"/>
      <w:bookmarkStart w:id="8" w:name="_Toc430489126"/>
    </w:p>
    <w:p>
      <w:pPr>
        <w:pStyle w:val="8"/>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ind w:firstLine="480" w:firstLineChars="200"/>
        <w:rPr>
          <w:rFonts w:cs="黑体"/>
          <w:b/>
          <w:sz w:val="24"/>
          <w:szCs w:val="24"/>
          <w:lang w:eastAsia="zh-CN"/>
        </w:rPr>
      </w:pPr>
      <w:r>
        <w:rPr>
          <w:rFonts w:hint="eastAsia"/>
          <w:sz w:val="24"/>
          <w:szCs w:val="24"/>
          <w:lang w:eastAsia="zh-CN"/>
        </w:rPr>
        <w:t>7.1 参选人应在参选文件所附的参选报价表上写明参选项目的参选总价。</w:t>
      </w:r>
    </w:p>
    <w:p>
      <w:pPr>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参选人对项目内容只允许有一个报价，比选人不接受有任何选择的报价。</w:t>
      </w:r>
    </w:p>
    <w:p>
      <w:pPr>
        <w:pStyle w:val="8"/>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8"/>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8"/>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8"/>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8"/>
        <w:ind w:left="1" w:firstLine="480" w:firstLineChars="200"/>
        <w:rPr>
          <w:lang w:eastAsia="zh-CN"/>
        </w:rPr>
      </w:pPr>
      <w:r>
        <w:rPr>
          <w:lang w:eastAsia="zh-CN"/>
        </w:rPr>
        <w:t>3.比选人将做开选记录</w:t>
      </w:r>
    </w:p>
    <w:p>
      <w:pPr>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ind w:firstLine="480" w:firstLineChars="200"/>
        <w:rPr>
          <w:spacing w:val="-2"/>
          <w:sz w:val="24"/>
          <w:szCs w:val="24"/>
          <w:lang w:eastAsia="zh-CN"/>
        </w:rPr>
      </w:pPr>
      <w:r>
        <w:rPr>
          <w:rFonts w:hint="eastAsia"/>
          <w:sz w:val="24"/>
          <w:szCs w:val="24"/>
          <w:lang w:eastAsia="zh-CN"/>
        </w:rPr>
        <w:t>2．</w:t>
      </w:r>
      <w:r>
        <w:rPr>
          <w:sz w:val="24"/>
          <w:szCs w:val="24"/>
          <w:lang w:eastAsia="zh-CN"/>
        </w:rPr>
        <w:t>参选人串选、相互勾结故意压低标价以排挤竞争对手的公平竞争的，其参选无效。</w:t>
      </w:r>
    </w:p>
    <w:p>
      <w:pPr>
        <w:pStyle w:val="8"/>
        <w:ind w:right="-28" w:firstLine="504" w:firstLineChars="210"/>
        <w:rPr>
          <w:lang w:eastAsia="zh-CN"/>
        </w:rPr>
      </w:pPr>
      <w:r>
        <w:rPr>
          <w:rFonts w:hint="eastAsia"/>
          <w:lang w:eastAsia="zh-CN"/>
        </w:rPr>
        <w:t>3</w:t>
      </w:r>
      <w:r>
        <w:rPr>
          <w:lang w:eastAsia="zh-CN"/>
        </w:rPr>
        <w:t xml:space="preserve">. </w:t>
      </w:r>
      <w:r>
        <w:rPr>
          <w:rFonts w:asciiTheme="majorEastAsia" w:hAnsiTheme="majorEastAsia" w:eastAsiaTheme="majorEastAsia"/>
          <w:spacing w:val="-8"/>
          <w:lang w:eastAsia="zh-CN"/>
        </w:rPr>
        <w:t>替补候选人的设定与使用：在合同签订前，比选单位发现参选人的参选报价或供货</w:t>
      </w:r>
      <w:r>
        <w:rPr>
          <w:rFonts w:asciiTheme="majorEastAsia" w:hAnsiTheme="majorEastAsia" w:eastAsiaTheme="majorEastAsia"/>
          <w:spacing w:val="-12"/>
          <w:lang w:eastAsia="zh-CN"/>
        </w:rPr>
        <w:t>范围有缺漏、实际应标产品或服务存在重大偏差、或参选材料存在欺诈行为时、或参选人</w:t>
      </w:r>
      <w:r>
        <w:rPr>
          <w:rFonts w:asciiTheme="majorEastAsia" w:hAnsiTheme="majorEastAsia" w:eastAsiaTheme="majorEastAsia"/>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rPr>
          <w:sz w:val="24"/>
          <w:szCs w:val="24"/>
          <w:lang w:eastAsia="zh-CN"/>
        </w:rPr>
      </w:pPr>
      <w:r>
        <w:rPr>
          <w:rFonts w:hint="eastAsia"/>
          <w:w w:val="95"/>
          <w:sz w:val="24"/>
          <w:szCs w:val="24"/>
          <w:lang w:eastAsia="zh-CN"/>
        </w:rPr>
        <w:t>三</w:t>
      </w:r>
      <w:r>
        <w:rPr>
          <w:w w:val="95"/>
          <w:sz w:val="24"/>
          <w:szCs w:val="24"/>
          <w:lang w:eastAsia="zh-CN"/>
        </w:rPr>
        <w:t>、资格审查：</w:t>
      </w:r>
    </w:p>
    <w:p>
      <w:pPr>
        <w:pStyle w:val="8"/>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8"/>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将对通过资格审查的各参选人</w:t>
      </w:r>
      <w:r>
        <w:rPr>
          <w:rFonts w:hint="eastAsia"/>
          <w:lang w:eastAsia="zh-CN"/>
        </w:rPr>
        <w:t>，采用商务报价决标的评标办法，</w:t>
      </w:r>
      <w:r>
        <w:rPr>
          <w:lang w:eastAsia="zh-CN"/>
        </w:rPr>
        <w:t>评选委员会将对通过资格</w:t>
      </w:r>
      <w:r>
        <w:rPr>
          <w:rFonts w:hint="eastAsia"/>
          <w:lang w:eastAsia="zh-CN"/>
        </w:rPr>
        <w:t>审查</w:t>
      </w:r>
      <w:r>
        <w:rPr>
          <w:lang w:eastAsia="zh-CN"/>
        </w:rPr>
        <w:t>的各参选人，</w:t>
      </w:r>
      <w:r>
        <w:rPr>
          <w:rFonts w:hint="eastAsia"/>
          <w:lang w:eastAsia="zh-CN"/>
        </w:rPr>
        <w:t>进行商务报价的比选，未税总价最低者作为中选单位</w:t>
      </w:r>
      <w:r>
        <w:rPr>
          <w:lang w:eastAsia="zh-CN"/>
        </w:rPr>
        <w:t>。</w:t>
      </w:r>
    </w:p>
    <w:p>
      <w:pPr>
        <w:spacing w:before="15"/>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8"/>
        <w:ind w:firstLine="480" w:firstLineChars="200"/>
        <w:rPr>
          <w:lang w:eastAsia="zh-CN"/>
        </w:rPr>
      </w:pPr>
      <w:r>
        <w:rPr>
          <w:lang w:eastAsia="zh-CN"/>
        </w:rPr>
        <w:t>1.对比选文件提出的实质性要求和条件，参选文件未能在实质上响应的。</w:t>
      </w:r>
    </w:p>
    <w:p>
      <w:pPr>
        <w:pStyle w:val="8"/>
        <w:ind w:firstLine="480" w:firstLineChars="200"/>
        <w:rPr>
          <w:lang w:eastAsia="zh-CN"/>
        </w:rPr>
      </w:pPr>
      <w:r>
        <w:rPr>
          <w:lang w:eastAsia="zh-CN"/>
        </w:rPr>
        <w:t>2.参选文件存在重大偏差的。</w:t>
      </w:r>
    </w:p>
    <w:p>
      <w:pPr>
        <w:pStyle w:val="8"/>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ind w:left="367" w:leftChars="167" w:firstLine="120" w:firstLineChars="50"/>
        <w:jc w:val="both"/>
        <w:rPr>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spacing w:line="321" w:lineRule="auto"/>
        <w:jc w:val="both"/>
        <w:rPr>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8"/>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bCs/>
          <w:lang w:eastAsia="zh-CN"/>
        </w:rPr>
        <w:t>全厂电力系统安全稳定评估</w:t>
      </w:r>
      <w:r>
        <w:rPr>
          <w:rFonts w:hint="eastAsia" w:asciiTheme="majorEastAsia" w:hAnsiTheme="majorEastAsia" w:eastAsiaTheme="majorEastAsia"/>
          <w:b/>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ind w:left="647" w:firstLine="3092" w:firstLineChars="1100"/>
        <w:jc w:val="both"/>
        <w:rPr>
          <w:lang w:eastAsia="zh-CN"/>
        </w:rPr>
      </w:pPr>
    </w:p>
    <w:p>
      <w:pPr>
        <w:pStyle w:val="3"/>
        <w:tabs>
          <w:tab w:val="left" w:pos="1912"/>
        </w:tabs>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ind w:left="218" w:leftChars="99" w:firstLine="240" w:firstLineChars="100"/>
        <w:rPr>
          <w:lang w:eastAsia="zh-CN"/>
        </w:rPr>
      </w:pPr>
      <w:r>
        <w:rPr>
          <w:lang w:eastAsia="zh-CN"/>
        </w:rPr>
        <w:t>1.参选人的参选文件无论其是否中选，均不退回。</w:t>
      </w:r>
    </w:p>
    <w:p>
      <w:pPr>
        <w:pStyle w:val="8"/>
        <w:ind w:left="218" w:leftChars="99" w:firstLine="240" w:firstLineChars="100"/>
        <w:rPr>
          <w:lang w:eastAsia="zh-CN"/>
        </w:rPr>
      </w:pPr>
      <w:r>
        <w:rPr>
          <w:lang w:eastAsia="zh-CN"/>
        </w:rPr>
        <w:t>2.比选人郑重承诺：参选人所提交的参选文件及相关资料不向第三方泄露。</w:t>
      </w:r>
    </w:p>
    <w:p>
      <w:pPr>
        <w:pStyle w:val="8"/>
        <w:ind w:left="218" w:leftChars="99" w:firstLine="240" w:firstLineChars="100"/>
        <w:rPr>
          <w:lang w:eastAsia="zh-CN"/>
        </w:rPr>
      </w:pPr>
      <w:r>
        <w:rPr>
          <w:lang w:eastAsia="zh-CN"/>
        </w:rPr>
        <w:t>3.本比选文件的解释权归福建福海创石油化工有限公司。</w:t>
      </w:r>
    </w:p>
    <w:p>
      <w:pPr>
        <w:pStyle w:val="8"/>
        <w:ind w:left="218"/>
        <w:rPr>
          <w:lang w:eastAsia="zh-CN"/>
        </w:rPr>
      </w:pPr>
      <w:r>
        <w:rPr>
          <w:lang w:eastAsia="zh-CN"/>
        </w:rPr>
        <w:br w:type="page"/>
      </w:r>
    </w:p>
    <w:p>
      <w:pPr>
        <w:pStyle w:val="8"/>
        <w:rPr>
          <w:rFonts w:ascii="Times New Roman"/>
          <w:b/>
          <w:bCs/>
          <w:lang w:eastAsia="zh-CN"/>
        </w:rPr>
      </w:pPr>
      <w:bookmarkStart w:id="9" w:name="_Toc251742852"/>
      <w:r>
        <w:rPr>
          <w:rFonts w:hint="eastAsia" w:ascii="Times New Roman"/>
          <w:b/>
          <w:bCs/>
          <w:lang w:eastAsia="zh-CN"/>
        </w:rPr>
        <w:t>附件一</w:t>
      </w:r>
    </w:p>
    <w:p>
      <w:pPr>
        <w:pStyle w:val="10"/>
        <w:spacing w:line="400" w:lineRule="exact"/>
        <w:jc w:val="center"/>
        <w:rPr>
          <w:rFonts w:hAnsi="宋体"/>
          <w:b/>
          <w:sz w:val="32"/>
          <w:szCs w:val="32"/>
          <w:lang w:eastAsia="zh-CN"/>
        </w:rPr>
      </w:pPr>
      <w:r>
        <w:rPr>
          <w:rFonts w:hint="eastAsia" w:hAnsi="宋体"/>
          <w:b/>
          <w:sz w:val="32"/>
          <w:szCs w:val="32"/>
          <w:lang w:eastAsia="zh-CN"/>
        </w:rPr>
        <w:t>福建福海创石油化工有限公司</w:t>
      </w:r>
    </w:p>
    <w:p>
      <w:pPr>
        <w:pStyle w:val="10"/>
        <w:spacing w:line="400" w:lineRule="exact"/>
        <w:jc w:val="center"/>
        <w:rPr>
          <w:rFonts w:hAnsi="宋体"/>
          <w:b/>
          <w:sz w:val="32"/>
          <w:szCs w:val="32"/>
          <w:lang w:eastAsia="zh-CN"/>
        </w:rPr>
      </w:pPr>
      <w:r>
        <w:rPr>
          <w:rFonts w:hint="eastAsia" w:hAnsi="宋体"/>
          <w:b/>
          <w:sz w:val="32"/>
          <w:szCs w:val="32"/>
          <w:lang w:eastAsia="zh-CN"/>
        </w:rPr>
        <w:t>全厂电力系统安全稳定评估项目</w:t>
      </w:r>
    </w:p>
    <w:p>
      <w:pPr>
        <w:pStyle w:val="10"/>
        <w:spacing w:line="400" w:lineRule="exact"/>
        <w:jc w:val="center"/>
        <w:rPr>
          <w:rFonts w:hAnsi="宋体"/>
          <w:b/>
          <w:sz w:val="32"/>
          <w:szCs w:val="32"/>
          <w:lang w:eastAsia="zh-CN"/>
        </w:rPr>
      </w:pPr>
      <w:r>
        <w:rPr>
          <w:rFonts w:hint="eastAsia" w:hAnsi="宋体"/>
          <w:b/>
          <w:sz w:val="32"/>
          <w:szCs w:val="32"/>
          <w:lang w:eastAsia="zh-CN"/>
        </w:rPr>
        <w:t>技术服务合同</w:t>
      </w:r>
    </w:p>
    <w:p>
      <w:pPr>
        <w:pStyle w:val="10"/>
        <w:spacing w:line="400" w:lineRule="exact"/>
        <w:jc w:val="center"/>
        <w:rPr>
          <w:rFonts w:hAnsi="宋体"/>
          <w:sz w:val="24"/>
          <w:szCs w:val="24"/>
          <w:lang w:eastAsia="zh-CN"/>
        </w:rPr>
      </w:pPr>
      <w:r>
        <w:rPr>
          <w:rFonts w:hint="eastAsia" w:hAnsi="宋体"/>
          <w:sz w:val="28"/>
          <w:szCs w:val="28"/>
          <w:lang w:eastAsia="zh-CN"/>
        </w:rPr>
        <w:t xml:space="preserve">              </w:t>
      </w:r>
      <w:r>
        <w:rPr>
          <w:rFonts w:hint="eastAsia" w:hAnsi="宋体"/>
          <w:sz w:val="24"/>
          <w:szCs w:val="24"/>
          <w:lang w:eastAsia="zh-CN"/>
        </w:rPr>
        <w:t>合同编号：</w:t>
      </w:r>
    </w:p>
    <w:p>
      <w:pPr>
        <w:pStyle w:val="10"/>
        <w:spacing w:line="400" w:lineRule="exact"/>
        <w:jc w:val="center"/>
        <w:rPr>
          <w:rFonts w:hAnsi="宋体"/>
          <w:sz w:val="24"/>
          <w:szCs w:val="24"/>
          <w:lang w:eastAsia="zh-CN"/>
        </w:rPr>
      </w:pPr>
      <w:r>
        <w:rPr>
          <w:rFonts w:hint="eastAsia" w:hAnsi="宋体"/>
          <w:sz w:val="24"/>
          <w:szCs w:val="24"/>
          <w:lang w:eastAsia="zh-CN"/>
        </w:rPr>
        <w:t xml:space="preserve">                                      签订时间：      年    月    日</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福建福海创石油化工有限公司</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 xml:space="preserve">福建省漳州市漳浦县古雷开发区腾龙路86号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：李永其</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：福建省漳州市漳浦县古雷开发区腾龙路86号</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 xml:space="preserve">： </w:t>
      </w:r>
      <w:r>
        <w:rPr>
          <w:rFonts w:hint="eastAsia"/>
          <w:sz w:val="24"/>
          <w:szCs w:val="24"/>
          <w:shd w:val="clear" w:color="auto" w:fill="FFFFFF"/>
          <w:lang w:eastAsia="zh-CN"/>
        </w:rPr>
        <w:t>13615098802</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：yqli@fhcpec.com.cn</w:t>
      </w:r>
    </w:p>
    <w:p>
      <w:pPr>
        <w:pStyle w:val="10"/>
        <w:rPr>
          <w:rFonts w:asciiTheme="minorEastAsia" w:hAnsiTheme="minorEastAsia" w:eastAsiaTheme="minorEastAsia"/>
          <w:sz w:val="24"/>
          <w:szCs w:val="24"/>
          <w:lang w:eastAsia="zh-CN"/>
        </w:rPr>
      </w:pP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w:t>
      </w:r>
      <w:r>
        <w:rPr>
          <w:rFonts w:hint="eastAsia" w:hAnsi="宋体"/>
          <w:sz w:val="24"/>
          <w:szCs w:val="24"/>
          <w:u w:val="single"/>
          <w:lang w:eastAsia="zh-CN"/>
        </w:rPr>
        <w:t>全厂电力系统安全稳定评估</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进行技术服务及咨询，并支付技术服务及咨询报酬。双方经过平等协商，在真实、充分地表达各自意愿的基础上，根据《中华人民共和国民法典》的规定，达成如下协议，并由双方共同恪守。</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乙方进行技术咨询的内容、要求及期限：</w:t>
      </w:r>
    </w:p>
    <w:p>
      <w:pPr>
        <w:pStyle w:val="10"/>
        <w:ind w:left="3224" w:leftChars="211" w:hanging="2760" w:hangingChars="115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 技术服务及咨询内容：</w:t>
      </w:r>
      <w:r>
        <w:rPr>
          <w:rFonts w:hint="eastAsia" w:asciiTheme="minorEastAsia" w:hAnsiTheme="minorEastAsia" w:eastAsiaTheme="minorEastAsia"/>
          <w:sz w:val="24"/>
          <w:szCs w:val="24"/>
          <w:u w:val="single"/>
          <w:lang w:eastAsia="zh-CN"/>
        </w:rPr>
        <w:t xml:space="preserve"> </w:t>
      </w:r>
      <w:r>
        <w:rPr>
          <w:rFonts w:hint="eastAsia" w:hAnsi="宋体"/>
          <w:sz w:val="24"/>
          <w:szCs w:val="24"/>
          <w:u w:val="single"/>
          <w:lang w:eastAsia="zh-CN"/>
        </w:rPr>
        <w:t>全厂电力系统安全稳定评估</w:t>
      </w:r>
      <w:r>
        <w:rPr>
          <w:rFonts w:hint="eastAsia" w:asciiTheme="minorEastAsia" w:hAnsiTheme="minorEastAsia" w:eastAsiaTheme="minorEastAsia"/>
          <w:sz w:val="24"/>
          <w:szCs w:val="24"/>
          <w:u w:val="single"/>
          <w:lang w:eastAsia="zh-CN"/>
        </w:rPr>
        <w:t>服务（见附件1发包说明）</w:t>
      </w:r>
    </w:p>
    <w:p>
      <w:pPr>
        <w:pStyle w:val="10"/>
        <w:ind w:firstLine="465"/>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 技术服务及咨询要求：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满足发包说明中的各项技术服务内容</w:t>
      </w:r>
      <w:r>
        <w:rPr>
          <w:rFonts w:hint="eastAsia" w:asciiTheme="minorEastAsia" w:hAnsiTheme="minorEastAsia" w:eastAsiaTheme="minorEastAsia"/>
          <w:sz w:val="24"/>
          <w:szCs w:val="24"/>
          <w:u w:val="single"/>
          <w:lang w:eastAsia="zh-CN"/>
        </w:rPr>
        <w:t xml:space="preserve"> </w:t>
      </w:r>
    </w:p>
    <w:p>
      <w:pPr>
        <w:pStyle w:val="10"/>
        <w:ind w:firstLine="46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本技术服务合同期限：合同生效后90天</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乙方按照下列要求进行本合同项目的技术服务工作：</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1. 技术服务及咨询地点：</w:t>
      </w:r>
      <w:r>
        <w:rPr>
          <w:rFonts w:hint="eastAsia" w:asciiTheme="minorEastAsia" w:hAnsiTheme="minorEastAsia" w:eastAsiaTheme="minorEastAsia"/>
          <w:sz w:val="24"/>
          <w:szCs w:val="24"/>
          <w:u w:val="single"/>
          <w:lang w:eastAsia="zh-CN"/>
        </w:rPr>
        <w:t xml:space="preserve">  福建福海创石油化工有限公司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 技术服务及咨询期限：</w:t>
      </w:r>
      <w:r>
        <w:rPr>
          <w:rFonts w:hint="eastAsia" w:asciiTheme="minorEastAsia" w:hAnsiTheme="minorEastAsia" w:eastAsiaTheme="minorEastAsia"/>
          <w:sz w:val="24"/>
          <w:szCs w:val="24"/>
          <w:u w:val="single"/>
          <w:lang w:eastAsia="zh-CN"/>
        </w:rPr>
        <w:t xml:space="preserve">  服务期限90天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3. 技术服务及咨询进度：</w:t>
      </w:r>
      <w:r>
        <w:rPr>
          <w:rFonts w:hint="eastAsia" w:asciiTheme="minorEastAsia" w:hAnsiTheme="minorEastAsia" w:eastAsiaTheme="minorEastAsia"/>
          <w:sz w:val="24"/>
          <w:szCs w:val="24"/>
          <w:u w:val="single"/>
          <w:lang w:eastAsia="zh-CN"/>
        </w:rPr>
        <w:t xml:space="preserve">  依据现场情况，甲方确定   </w:t>
      </w:r>
    </w:p>
    <w:p>
      <w:pPr>
        <w:pStyle w:val="10"/>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4. 技术服务及咨询质量要求：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 xml:space="preserve">见附件1发包说明 </w:t>
      </w:r>
      <w:r>
        <w:rPr>
          <w:rFonts w:hint="eastAsia" w:asciiTheme="minorEastAsia" w:hAnsiTheme="minorEastAsia" w:eastAsiaTheme="minorEastAsia"/>
          <w:sz w:val="24"/>
          <w:szCs w:val="24"/>
          <w:lang w:eastAsia="zh-CN"/>
        </w:rPr>
        <w:t xml:space="preserve">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为保证乙方有效进行技术服务工作，甲方应当向乙方提供下列协作事项：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目前应用电力系统的资料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w:t>
      </w:r>
      <w:r>
        <w:rPr>
          <w:rFonts w:hint="eastAsia" w:asciiTheme="majorEastAsia" w:hAnsiTheme="majorEastAsia" w:eastAsiaTheme="majorEastAsia"/>
          <w:sz w:val="24"/>
          <w:szCs w:val="24"/>
          <w:u w:val="single"/>
          <w:lang w:eastAsia="zh-CN"/>
        </w:rPr>
        <w:t>负责办理入厂通行证、工作票等</w:t>
      </w:r>
      <w:r>
        <w:rPr>
          <w:rFonts w:hint="eastAsia"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甲方确定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元整（含</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无预付款，乙方对全厂电力系统安全稳定评估技术服务完成，提交报告及解决方案，并得到甲方验收合格（以甲方签字的工程师服务报告为依据结算），同时收到全额增值税专用发票后，甲方支付全额服务费用。</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w:t>
      </w:r>
      <w:r>
        <w:rPr>
          <w:rFonts w:hint="eastAsia" w:asciiTheme="majorEastAsia" w:hAnsiTheme="majorEastAsia" w:eastAsiaTheme="majorEastAsia"/>
          <w:sz w:val="24"/>
          <w:szCs w:val="24"/>
          <w:lang w:eastAsia="zh-CN"/>
        </w:rPr>
        <w:t>技术服务报酬直接支付至乙方指定的下列账号：</w:t>
      </w:r>
    </w:p>
    <w:p>
      <w:pPr>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乙方开户银行名称、地址和帐号为：</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名称：</w:t>
      </w:r>
      <w:r>
        <w:rPr>
          <w:rFonts w:asciiTheme="majorEastAsia" w:hAnsiTheme="majorEastAsia" w:eastAsiaTheme="majorEastAsia"/>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税号：</w:t>
      </w:r>
      <w:r>
        <w:rPr>
          <w:rFonts w:hint="eastAsia" w:asciiTheme="majorEastAsia" w:hAnsiTheme="majorEastAsia" w:eastAsiaTheme="majorEastAsia"/>
          <w:snapToGrid w:val="0"/>
          <w:color w:val="000000"/>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地址：</w:t>
      </w:r>
      <w:r>
        <w:rPr>
          <w:rFonts w:asciiTheme="majorEastAsia" w:hAnsiTheme="majorEastAsia" w:eastAsiaTheme="majorEastAsia"/>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电话：</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开户银行：</w:t>
      </w:r>
      <w:r>
        <w:rPr>
          <w:rFonts w:hint="eastAsia" w:asciiTheme="majorEastAsia" w:hAnsiTheme="majorEastAsia" w:eastAsiaTheme="majorEastAsia"/>
          <w:snapToGrid w:val="0"/>
          <w:color w:val="000000"/>
          <w:sz w:val="24"/>
          <w:szCs w:val="24"/>
          <w:lang w:eastAsia="zh-CN"/>
        </w:rPr>
        <w:t xml:space="preserve"> </w:t>
      </w:r>
      <w:r>
        <w:rPr>
          <w:rFonts w:asciiTheme="majorEastAsia" w:hAnsiTheme="majorEastAsia" w:eastAsiaTheme="majorEastAsia"/>
          <w:sz w:val="24"/>
          <w:szCs w:val="24"/>
          <w:lang w:eastAsia="zh-CN"/>
        </w:rPr>
        <w:t xml:space="preserve"> </w:t>
      </w:r>
    </w:p>
    <w:p>
      <w:pPr>
        <w:widowControl/>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sz w:val="24"/>
          <w:szCs w:val="24"/>
          <w:lang w:eastAsia="zh-CN"/>
        </w:rPr>
        <w:t>帐号：</w:t>
      </w:r>
      <w:r>
        <w:rPr>
          <w:rFonts w:asciiTheme="majorEastAsia" w:hAnsiTheme="majorEastAsia" w:eastAsiaTheme="majorEastAsia"/>
          <w:sz w:val="24"/>
          <w:szCs w:val="24"/>
          <w:lang w:eastAsia="zh-CN"/>
        </w:rPr>
        <w:t xml:space="preserve">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保密内容：乙方提供的资料，服务咨询报告及该服务咨询报告的附件资料除外。</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涉密人员范围：甲方及甲方工作人员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  按本合同约定及国家有关保密法的规定执行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 保密内容：甲方提供的资料以及乙方在提供本合同约定服务过程中知悉的甲方技术信息、经营信息、生产工艺、操作流程等。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涉密人员范围：乙方及乙方工作人员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泄密责任：按本合同约定及国家有关保密法的规定执行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乙方提交工作成果的形式：</w:t>
      </w:r>
      <w:r>
        <w:rPr>
          <w:rFonts w:hint="eastAsia" w:asciiTheme="minorEastAsia" w:hAnsiTheme="minorEastAsia" w:eastAsiaTheme="minorEastAsia"/>
          <w:sz w:val="24"/>
          <w:szCs w:val="24"/>
          <w:u w:val="single"/>
          <w:lang w:eastAsia="zh-CN"/>
        </w:rPr>
        <w:t xml:space="preserve"> 书面报告</w:t>
      </w:r>
      <w:r>
        <w:rPr>
          <w:rFonts w:asciiTheme="minorEastAsia" w:hAnsiTheme="minorEastAsia" w:eastAsiaTheme="minorEastAsia"/>
          <w:sz w:val="24"/>
          <w:szCs w:val="24"/>
          <w:u w:val="single"/>
          <w:lang w:eastAsia="zh-CN"/>
        </w:rPr>
        <w:t xml:space="preserve"> </w:t>
      </w:r>
    </w:p>
    <w:p>
      <w:pPr>
        <w:pStyle w:val="10"/>
        <w:ind w:left="1"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工作成果的验收标准：</w:t>
      </w:r>
      <w:r>
        <w:rPr>
          <w:rFonts w:hint="eastAsia" w:asciiTheme="minorEastAsia" w:hAnsiTheme="minorEastAsia" w:eastAsiaTheme="minorEastAsia"/>
          <w:sz w:val="24"/>
          <w:szCs w:val="24"/>
          <w:u w:val="single"/>
          <w:lang w:eastAsia="zh-CN"/>
        </w:rPr>
        <w:t xml:space="preserve">  达到行业标准及企业标准要求，</w:t>
      </w:r>
      <w:r>
        <w:rPr>
          <w:rFonts w:hint="eastAsia" w:asciiTheme="majorEastAsia" w:hAnsiTheme="majorEastAsia" w:eastAsiaTheme="majorEastAsia"/>
          <w:sz w:val="24"/>
          <w:u w:val="single"/>
          <w:lang w:eastAsia="zh-CN"/>
        </w:rPr>
        <w:t>二者要求不一致的，适用更为严格的标准。</w:t>
      </w:r>
      <w:r>
        <w:rPr>
          <w:rFonts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验收地点：</w:t>
      </w:r>
      <w:r>
        <w:rPr>
          <w:rFonts w:hint="eastAsia" w:asciiTheme="minorEastAsia" w:hAnsiTheme="minorEastAsia" w:eastAsiaTheme="minorEastAsia"/>
          <w:sz w:val="24"/>
          <w:szCs w:val="24"/>
          <w:u w:val="single"/>
          <w:lang w:eastAsia="zh-CN"/>
        </w:rPr>
        <w:t xml:space="preserve"> 福建福海创石油化工有限公司</w:t>
      </w:r>
      <w:r>
        <w:rPr>
          <w:rFonts w:asciiTheme="minorEastAsia" w:hAnsiTheme="minorEastAsia" w:eastAsiaTheme="minorEastAsia"/>
          <w:sz w:val="24"/>
          <w:szCs w:val="24"/>
          <w:u w:val="single"/>
          <w:lang w:eastAsia="zh-CN"/>
        </w:rPr>
        <w:t xml:space="preserve"> </w:t>
      </w:r>
    </w:p>
    <w:p>
      <w:pPr>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 双方确认，甲方的验收即视为对乙方工作成果的最终认可。在技术服务成果运用过程中，如有证据表明乙方存在弄虚作假等违反合同约定的情形，甲方仍有权要求乙方承担由此造成的损失和法律后果。</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李永其</w:t>
      </w:r>
      <w:r>
        <w:rPr>
          <w:rFonts w:hint="eastAsia"/>
          <w:sz w:val="24"/>
          <w:szCs w:val="24"/>
          <w:u w:val="single"/>
          <w:shd w:val="clear" w:color="auto" w:fill="FFFFFF"/>
          <w:lang w:eastAsia="zh-CN"/>
        </w:rPr>
        <w:t>13615098802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0"/>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cs="宋体" w:asciiTheme="majorEastAsia" w:hAnsiTheme="majorEastAsia" w:eastAsiaTheme="majorEastAsia"/>
          <w:sz w:val="24"/>
          <w:szCs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违约责任</w:t>
      </w:r>
    </w:p>
    <w:p>
      <w:pPr>
        <w:ind w:firstLine="480" w:firstLineChars="200"/>
        <w:rPr>
          <w:rStyle w:val="54"/>
          <w:rFonts w:asciiTheme="minorEastAsia" w:hAnsiTheme="minorEastAsia" w:eastAsiaTheme="minorEastAsia"/>
          <w:color w:val="000000"/>
          <w:sz w:val="24"/>
          <w:lang w:eastAsia="zh-CN"/>
        </w:rPr>
      </w:pPr>
      <w:r>
        <w:rPr>
          <w:rStyle w:val="54"/>
          <w:rFonts w:hint="eastAsia" w:asciiTheme="minorEastAsia" w:hAnsiTheme="minorEastAsia" w:eastAsiaTheme="minorEastAsia"/>
          <w:color w:val="000000"/>
          <w:sz w:val="24"/>
          <w:lang w:eastAsia="zh-CN"/>
        </w:rPr>
        <w:t>1.乙方逾期提交服务报告的，每逾期一天应向甲方支付合同总额</w:t>
      </w:r>
      <w:r>
        <w:rPr>
          <w:rStyle w:val="54"/>
          <w:rFonts w:hint="eastAsia" w:asciiTheme="minorEastAsia" w:hAnsiTheme="minorEastAsia" w:eastAsiaTheme="minorEastAsia"/>
          <w:color w:val="000000"/>
          <w:sz w:val="24"/>
          <w:u w:val="single"/>
          <w:lang w:eastAsia="zh-CN"/>
        </w:rPr>
        <w:t>0.1%</w:t>
      </w:r>
      <w:r>
        <w:rPr>
          <w:rStyle w:val="54"/>
          <w:rFonts w:hint="eastAsia" w:asciiTheme="minorEastAsia" w:hAnsiTheme="minorEastAsia" w:eastAsiaTheme="minorEastAsia"/>
          <w:color w:val="000000"/>
          <w:sz w:val="24"/>
          <w:lang w:eastAsia="zh-CN"/>
        </w:rPr>
        <w:t>的违约金，逾期超过15天的，甲方有权单方解除合同，并要求乙方一次性支付合同总额</w:t>
      </w:r>
      <w:r>
        <w:rPr>
          <w:rStyle w:val="54"/>
          <w:rFonts w:hint="eastAsia" w:asciiTheme="minorEastAsia" w:hAnsiTheme="minorEastAsia" w:eastAsiaTheme="minorEastAsia"/>
          <w:color w:val="000000"/>
          <w:sz w:val="24"/>
          <w:u w:val="single"/>
          <w:lang w:eastAsia="zh-CN"/>
        </w:rPr>
        <w:t>20%</w:t>
      </w:r>
      <w:r>
        <w:rPr>
          <w:rStyle w:val="54"/>
          <w:rFonts w:hint="eastAsia" w:asciiTheme="minorEastAsia" w:hAnsiTheme="minorEastAsia" w:eastAsiaTheme="minorEastAsia"/>
          <w:color w:val="000000"/>
          <w:sz w:val="24"/>
          <w:lang w:eastAsia="zh-CN"/>
        </w:rPr>
        <w:t>的违约金。</w:t>
      </w:r>
    </w:p>
    <w:p>
      <w:pPr>
        <w:ind w:firstLine="480" w:firstLineChars="200"/>
        <w:rPr>
          <w:rStyle w:val="54"/>
          <w:rFonts w:asciiTheme="minorEastAsia" w:hAnsiTheme="minorEastAsia" w:eastAsiaTheme="minorEastAsia"/>
          <w:color w:val="000000"/>
          <w:sz w:val="24"/>
          <w:lang w:eastAsia="zh-CN"/>
        </w:rPr>
      </w:pPr>
      <w:r>
        <w:rPr>
          <w:rStyle w:val="54"/>
          <w:rFonts w:hint="eastAsia" w:asciiTheme="minorEastAsia" w:hAnsiTheme="minorEastAsia" w:eastAsiaTheme="minorEastAsia"/>
          <w:color w:val="000000"/>
          <w:sz w:val="24"/>
          <w:lang w:eastAsia="zh-CN"/>
        </w:rPr>
        <w:t>2．乙方提供的服务及提交的服务报告不符合合同约定的，应在甲方指定期限内修改完善直至符合合同约定为止。</w:t>
      </w:r>
    </w:p>
    <w:p>
      <w:pPr>
        <w:pStyle w:val="10"/>
        <w:ind w:firstLine="480" w:firstLineChars="200"/>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10000</w:t>
      </w:r>
      <w:r>
        <w:rPr>
          <w:rFonts w:asciiTheme="minorEastAsia" w:hAnsiTheme="minorEastAsia" w:eastAsiaTheme="minorEastAsia"/>
          <w:sz w:val="24"/>
          <w:szCs w:val="24"/>
          <w:u w:val="single"/>
          <w:lang w:eastAsia="zh-CN"/>
        </w:rPr>
        <w:t xml:space="preserve"> </w:t>
      </w:r>
      <w:r>
        <w:rPr>
          <w:rStyle w:val="54"/>
          <w:rFonts w:hint="eastAsia" w:asciiTheme="minorEastAsia" w:hAnsiTheme="minorEastAsia" w:eastAsiaTheme="minorEastAsia"/>
          <w:color w:val="000000"/>
          <w:sz w:val="24"/>
          <w:szCs w:val="24"/>
          <w:lang w:eastAsia="zh-CN"/>
        </w:rPr>
        <w:t>元；赔偿由此给对方造成的损失。</w:t>
      </w:r>
    </w:p>
    <w:p>
      <w:pPr>
        <w:pStyle w:val="10"/>
        <w:ind w:firstLine="480" w:firstLineChars="200"/>
        <w:rPr>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4．</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 xml:space="preserve">第十条 </w:t>
      </w:r>
      <w:r>
        <w:rPr>
          <w:rFonts w:hint="eastAsia"/>
          <w:sz w:val="24"/>
          <w:lang w:eastAsia="zh-CN"/>
        </w:rPr>
        <w:t>甲乙双方在履行合同过程中，发生争议和纠纷时，双方应友好协商解决，经协商无法解决时，向甲方所在地的人民法院提起诉讼。</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其他</w:t>
      </w:r>
    </w:p>
    <w:p>
      <w:pPr>
        <w:pStyle w:val="10"/>
        <w:ind w:firstLine="480" w:firstLineChars="200"/>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1. 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2．当发现或发生非技术服务责任事故时，乙方应立即书面通知甲方整改。当事故严重影响设备安全运行时，乙方应该通知甲方停止使用该系统。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本合同经双方签订后生效。本合同一式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附件</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发包说明</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p>
    <w:p>
      <w:pPr>
        <w:rPr>
          <w:rFonts w:cs="Arial"/>
          <w:b/>
          <w:sz w:val="24"/>
          <w:lang w:eastAsia="zh-CN"/>
        </w:rPr>
      </w:pPr>
      <w:r>
        <w:rPr>
          <w:rFonts w:hint="eastAsia" w:cs="Arial"/>
          <w:b/>
          <w:sz w:val="24"/>
          <w:lang w:eastAsia="zh-CN"/>
        </w:rPr>
        <w:t>（以下为签署栏，无正文）</w:t>
      </w:r>
    </w:p>
    <w:p>
      <w:pPr>
        <w:ind w:right="557" w:rightChars="253"/>
        <w:rPr>
          <w:rFonts w:cs="Arial"/>
          <w:b/>
          <w:sz w:val="24"/>
          <w:lang w:eastAsia="zh-CN"/>
        </w:rPr>
      </w:pPr>
    </w:p>
    <w:p>
      <w:pPr>
        <w:ind w:firstLine="1063" w:firstLineChars="441"/>
        <w:rPr>
          <w:rFonts w:cs="Arial"/>
          <w:b/>
          <w:sz w:val="24"/>
          <w:lang w:eastAsia="zh-CN"/>
        </w:rPr>
      </w:pPr>
    </w:p>
    <w:p>
      <w:pPr>
        <w:rPr>
          <w:sz w:val="24"/>
          <w:lang w:eastAsia="zh-CN"/>
        </w:rPr>
      </w:pPr>
      <w:r>
        <w:rPr>
          <w:rFonts w:hint="eastAsia"/>
          <w:color w:val="000000"/>
          <w:sz w:val="24"/>
          <w:lang w:eastAsia="zh-CN"/>
        </w:rPr>
        <w:t>甲方：</w:t>
      </w:r>
      <w:r>
        <w:rPr>
          <w:rFonts w:hint="eastAsia"/>
          <w:sz w:val="24"/>
          <w:lang w:eastAsia="zh-CN"/>
        </w:rPr>
        <w:t>福建福海创石油化工</w:t>
      </w:r>
      <w:r>
        <w:rPr>
          <w:rFonts w:hint="eastAsia"/>
          <w:color w:val="000000"/>
          <w:sz w:val="24"/>
          <w:lang w:eastAsia="zh-CN"/>
        </w:rPr>
        <w:t>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pPr>
        <w:ind w:firstLine="1560" w:firstLineChars="650"/>
        <w:rPr>
          <w:sz w:val="24"/>
          <w:lang w:eastAsia="zh-CN"/>
        </w:rPr>
      </w:pPr>
      <w:r>
        <w:rPr>
          <w:sz w:val="24"/>
          <w:lang w:eastAsia="zh-CN"/>
        </w:rPr>
        <w:t xml:space="preserve"> </w:t>
      </w:r>
      <w:r>
        <w:rPr>
          <w:rFonts w:hint="eastAsia"/>
          <w:sz w:val="24"/>
          <w:lang w:eastAsia="zh-CN"/>
        </w:rPr>
        <w:t>（盖章）</w:t>
      </w:r>
      <w:r>
        <w:rPr>
          <w:sz w:val="24"/>
          <w:lang w:eastAsia="zh-CN"/>
        </w:rPr>
        <w:t xml:space="preserve">                                       </w:t>
      </w:r>
      <w:r>
        <w:rPr>
          <w:rFonts w:hint="eastAsia"/>
          <w:sz w:val="24"/>
          <w:lang w:eastAsia="zh-CN"/>
        </w:rPr>
        <w:t>（盖章）</w:t>
      </w:r>
    </w:p>
    <w:p>
      <w:pPr>
        <w:ind w:left="6480" w:hanging="6480" w:hangingChars="270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szCs w:val="24"/>
          <w:lang w:eastAsia="zh-CN"/>
        </w:rPr>
        <w:t>福建省漳州市古雷港经济</w:t>
      </w:r>
      <w:r>
        <w:rPr>
          <w:sz w:val="24"/>
          <w:lang w:eastAsia="zh-CN"/>
        </w:rPr>
        <w:t xml:space="preserve">    </w:t>
      </w:r>
      <w:r>
        <w:rPr>
          <w:rFonts w:hint="eastAsia"/>
          <w:sz w:val="24"/>
          <w:lang w:eastAsia="zh-CN"/>
        </w:rPr>
        <w:t xml:space="preserve"> </w:t>
      </w:r>
      <w:r>
        <w:rPr>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lang w:eastAsia="zh-CN"/>
        </w:rPr>
        <w:t xml:space="preserve"> </w:t>
      </w:r>
    </w:p>
    <w:p>
      <w:pPr>
        <w:ind w:firstLine="960" w:firstLineChars="400"/>
        <w:rPr>
          <w:bCs/>
          <w:sz w:val="24"/>
          <w:lang w:eastAsia="zh-CN"/>
        </w:rPr>
      </w:pPr>
      <w:r>
        <w:rPr>
          <w:rFonts w:hint="eastAsia"/>
          <w:sz w:val="24"/>
          <w:lang w:eastAsia="zh-CN"/>
        </w:rPr>
        <w:t>开发区腾龙路</w:t>
      </w:r>
      <w:r>
        <w:rPr>
          <w:sz w:val="24"/>
          <w:lang w:eastAsia="zh-CN"/>
        </w:rPr>
        <w:t>8</w:t>
      </w:r>
      <w:r>
        <w:rPr>
          <w:rFonts w:hint="eastAsia"/>
          <w:sz w:val="24"/>
          <w:lang w:eastAsia="zh-CN"/>
        </w:rPr>
        <w:t>4号</w:t>
      </w:r>
      <w:r>
        <w:rPr>
          <w:sz w:val="24"/>
          <w:lang w:eastAsia="zh-CN"/>
        </w:rPr>
        <w:t xml:space="preserve">                      </w:t>
      </w:r>
      <w:r>
        <w:rPr>
          <w:rFonts w:hint="eastAsia"/>
          <w:sz w:val="24"/>
          <w:lang w:eastAsia="zh-CN"/>
        </w:rPr>
        <w:t xml:space="preserve"> </w:t>
      </w:r>
    </w:p>
    <w:p>
      <w:pPr>
        <w:rPr>
          <w:sz w:val="24"/>
          <w:lang w:eastAsia="zh-CN"/>
        </w:rPr>
      </w:pPr>
      <w:r>
        <w:rPr>
          <w:rFonts w:hint="eastAsia"/>
          <w:color w:val="000000"/>
          <w:sz w:val="24"/>
          <w:lang w:eastAsia="zh-CN"/>
        </w:rPr>
        <w:t>开户行：</w:t>
      </w:r>
      <w:r>
        <w:rPr>
          <w:rFonts w:hint="eastAsia"/>
          <w:sz w:val="24"/>
          <w:szCs w:val="24"/>
          <w:lang w:eastAsia="zh-CN"/>
        </w:rPr>
        <w:t>中国银行股份有限公司漳州</w:t>
      </w:r>
      <w:r>
        <w:rPr>
          <w:sz w:val="24"/>
          <w:lang w:eastAsia="zh-CN"/>
        </w:rPr>
        <w:t xml:space="preserve">      </w:t>
      </w:r>
      <w:r>
        <w:rPr>
          <w:rFonts w:hint="eastAsia"/>
          <w:color w:val="000000"/>
          <w:sz w:val="24"/>
          <w:lang w:eastAsia="zh-CN"/>
        </w:rPr>
        <w:t>开户行：</w:t>
      </w:r>
      <w:r>
        <w:rPr>
          <w:sz w:val="24"/>
          <w:lang w:eastAsia="zh-CN"/>
        </w:rPr>
        <w:t xml:space="preserve"> </w:t>
      </w:r>
    </w:p>
    <w:p>
      <w:pPr>
        <w:pStyle w:val="2"/>
        <w:ind w:firstLine="960" w:firstLineChars="400"/>
      </w:pPr>
      <w:r>
        <w:rPr>
          <w:rFonts w:hint="eastAsia"/>
          <w:sz w:val="24"/>
          <w:szCs w:val="24"/>
        </w:rPr>
        <w:t>古雷经济开发区支行</w:t>
      </w:r>
    </w:p>
    <w:p>
      <w:pPr>
        <w:rPr>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Pr>
          <w:rFonts w:hint="eastAsia"/>
          <w:sz w:val="24"/>
          <w:lang w:eastAsia="zh-CN"/>
        </w:rPr>
        <w:t>406574816628</w:t>
      </w:r>
      <w:r>
        <w:rPr>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bCs/>
          <w:sz w:val="24"/>
          <w:lang w:eastAsia="zh-CN"/>
        </w:rPr>
        <w:t xml:space="preserve"> </w:t>
      </w:r>
    </w:p>
    <w:p>
      <w:pPr>
        <w:pStyle w:val="7"/>
        <w:spacing w:line="360" w:lineRule="auto"/>
        <w:ind w:left="0" w:leftChars="0"/>
        <w:rPr>
          <w:rFonts w:ascii="宋体"/>
          <w:b w:val="0"/>
          <w:kern w:val="0"/>
          <w:sz w:val="24"/>
          <w:szCs w:val="24"/>
        </w:rPr>
      </w:pPr>
      <w:r>
        <w:rPr>
          <w:rFonts w:hint="eastAsia" w:ascii="宋体" w:hAnsi="宋体"/>
          <w:b w:val="0"/>
          <w:kern w:val="0"/>
          <w:sz w:val="24"/>
          <w:szCs w:val="24"/>
        </w:rPr>
        <w:t>税</w:t>
      </w:r>
      <w:r>
        <w:rPr>
          <w:rFonts w:ascii="宋体" w:hAnsi="宋体"/>
          <w:b w:val="0"/>
          <w:kern w:val="0"/>
          <w:sz w:val="24"/>
          <w:szCs w:val="24"/>
        </w:rPr>
        <w:t xml:space="preserve">  </w:t>
      </w:r>
      <w:r>
        <w:rPr>
          <w:rFonts w:hint="eastAsia" w:ascii="宋体" w:hAnsi="宋体"/>
          <w:b w:val="0"/>
          <w:kern w:val="0"/>
          <w:sz w:val="24"/>
          <w:szCs w:val="24"/>
        </w:rPr>
        <w:t>号：</w:t>
      </w:r>
      <w:r>
        <w:rPr>
          <w:rFonts w:hint="eastAsia" w:ascii="宋体" w:hAnsi="宋体" w:cs="宋体"/>
          <w:b w:val="0"/>
          <w:kern w:val="0"/>
          <w:sz w:val="24"/>
          <w:szCs w:val="22"/>
        </w:rPr>
        <w:t>91350600MA2YNG3G0P</w:t>
      </w:r>
      <w:r>
        <w:rPr>
          <w:rFonts w:ascii="宋体" w:hAnsi="宋体"/>
          <w:b w:val="0"/>
          <w:kern w:val="0"/>
          <w:sz w:val="24"/>
          <w:szCs w:val="24"/>
        </w:rPr>
        <w:t xml:space="preserve">            </w:t>
      </w:r>
      <w:r>
        <w:rPr>
          <w:rFonts w:hint="eastAsia" w:ascii="宋体" w:hAnsi="宋体"/>
          <w:b w:val="0"/>
          <w:kern w:val="0"/>
          <w:sz w:val="24"/>
          <w:szCs w:val="24"/>
        </w:rPr>
        <w:t xml:space="preserve"> 税</w:t>
      </w:r>
      <w:r>
        <w:rPr>
          <w:rFonts w:ascii="宋体" w:hAnsi="宋体"/>
          <w:b w:val="0"/>
          <w:kern w:val="0"/>
          <w:sz w:val="24"/>
          <w:szCs w:val="24"/>
        </w:rPr>
        <w:t xml:space="preserve">  </w:t>
      </w:r>
      <w:r>
        <w:rPr>
          <w:rFonts w:hint="eastAsia" w:ascii="宋体" w:hAnsi="宋体"/>
          <w:b w:val="0"/>
          <w:kern w:val="0"/>
          <w:sz w:val="24"/>
          <w:szCs w:val="24"/>
        </w:rPr>
        <w:t xml:space="preserve">号： </w:t>
      </w:r>
    </w:p>
    <w:p>
      <w:pPr>
        <w:rPr>
          <w:sz w:val="24"/>
          <w:lang w:eastAsia="zh-CN"/>
        </w:rPr>
      </w:pPr>
      <w:r>
        <w:rPr>
          <w:rFonts w:hint="eastAsia"/>
          <w:sz w:val="24"/>
          <w:lang w:eastAsia="zh-CN"/>
        </w:rPr>
        <w:t>电</w:t>
      </w:r>
      <w:r>
        <w:rPr>
          <w:sz w:val="24"/>
          <w:lang w:eastAsia="zh-CN"/>
        </w:rPr>
        <w:t xml:space="preserve">  </w:t>
      </w:r>
      <w:r>
        <w:rPr>
          <w:rFonts w:hint="eastAsia"/>
          <w:sz w:val="24"/>
          <w:lang w:eastAsia="zh-CN"/>
        </w:rPr>
        <w:t>话：0596-3890083</w:t>
      </w:r>
      <w:r>
        <w:rPr>
          <w:sz w:val="24"/>
          <w:lang w:eastAsia="zh-CN"/>
        </w:rPr>
        <w:t xml:space="preserve">                  </w:t>
      </w:r>
      <w:r>
        <w:rPr>
          <w:rFonts w:hint="eastAsia"/>
          <w:sz w:val="24"/>
          <w:lang w:eastAsia="zh-CN"/>
        </w:rPr>
        <w:t xml:space="preserve"> 电</w:t>
      </w:r>
      <w:r>
        <w:rPr>
          <w:sz w:val="24"/>
          <w:lang w:eastAsia="zh-CN"/>
        </w:rPr>
        <w:t xml:space="preserve">  </w:t>
      </w:r>
      <w:r>
        <w:rPr>
          <w:rFonts w:hint="eastAsia"/>
          <w:sz w:val="24"/>
          <w:lang w:eastAsia="zh-CN"/>
        </w:rPr>
        <w:t>话：</w:t>
      </w:r>
    </w:p>
    <w:p>
      <w:pPr>
        <w:spacing w:line="300" w:lineRule="exact"/>
        <w:rPr>
          <w:lang w:eastAsia="zh-CN"/>
        </w:rPr>
      </w:pPr>
    </w:p>
    <w:p>
      <w:pPr>
        <w:spacing w:line="300" w:lineRule="exact"/>
        <w:rPr>
          <w:lang w:eastAsia="zh-CN"/>
        </w:rPr>
      </w:pPr>
    </w:p>
    <w:p>
      <w:pPr>
        <w:pStyle w:val="2"/>
      </w:pPr>
    </w:p>
    <w:p>
      <w:pPr>
        <w:pStyle w:val="2"/>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福建福海创石油化工有限公司</w:t>
      </w: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全厂电力系统安全稳定评估项目</w:t>
      </w: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发包说明</w:t>
      </w: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28"/>
          <w:szCs w:val="28"/>
          <w:lang w:eastAsia="zh-CN"/>
        </w:rPr>
        <w:t>电气团队经办：         审核：         核准：</w:t>
      </w:r>
    </w:p>
    <w:p>
      <w:pPr>
        <w:jc w:val="center"/>
        <w:rPr>
          <w:rFonts w:ascii="华文宋体" w:hAnsi="华文宋体" w:eastAsia="华文宋体"/>
          <w:b/>
          <w:position w:val="30"/>
          <w:sz w:val="28"/>
          <w:szCs w:val="28"/>
          <w:lang w:eastAsia="zh-CN"/>
        </w:rPr>
      </w:pPr>
      <w:r>
        <w:rPr>
          <w:rFonts w:hint="eastAsia" w:ascii="华文宋体" w:hAnsi="华文宋体" w:eastAsia="华文宋体"/>
          <w:b/>
          <w:position w:val="30"/>
          <w:sz w:val="28"/>
          <w:szCs w:val="28"/>
          <w:lang w:eastAsia="zh-CN"/>
        </w:rPr>
        <w:t>设备管理部经办：       审核：         核准：</w:t>
      </w:r>
    </w:p>
    <w:p>
      <w:pPr>
        <w:rPr>
          <w:b/>
          <w:sz w:val="30"/>
          <w:szCs w:val="30"/>
          <w:lang w:eastAsia="zh-CN"/>
        </w:rPr>
        <w:sectPr>
          <w:footerReference r:id="rId7" w:type="default"/>
          <w:pgSz w:w="11906" w:h="16838"/>
          <w:pgMar w:top="1440" w:right="1800" w:bottom="1440" w:left="1800" w:header="851" w:footer="992" w:gutter="0"/>
          <w:cols w:space="425" w:num="1"/>
          <w:docGrid w:type="lines" w:linePitch="312" w:charSpace="0"/>
        </w:sectPr>
      </w:pPr>
    </w:p>
    <w:p>
      <w:pPr>
        <w:pStyle w:val="25"/>
        <w:numPr>
          <w:ilvl w:val="0"/>
          <w:numId w:val="2"/>
        </w:numPr>
        <w:autoSpaceDE/>
        <w:autoSpaceDN/>
        <w:spacing w:before="0"/>
        <w:ind w:left="454" w:hanging="312"/>
        <w:jc w:val="both"/>
        <w:rPr>
          <w:sz w:val="24"/>
          <w:szCs w:val="24"/>
        </w:rPr>
      </w:pPr>
      <w:r>
        <w:rPr>
          <w:rFonts w:hint="eastAsia"/>
          <w:b/>
          <w:sz w:val="24"/>
          <w:szCs w:val="24"/>
        </w:rPr>
        <w:t>项目发供配电系统介绍</w:t>
      </w:r>
    </w:p>
    <w:p>
      <w:pPr>
        <w:ind w:firstLine="482"/>
        <w:rPr>
          <w:sz w:val="24"/>
          <w:szCs w:val="24"/>
          <w:lang w:eastAsia="zh-CN"/>
        </w:rPr>
      </w:pPr>
      <w:r>
        <w:rPr>
          <w:rFonts w:hint="eastAsia"/>
          <w:sz w:val="24"/>
          <w:szCs w:val="24"/>
          <w:lang w:eastAsia="zh-CN"/>
        </w:rPr>
        <w:t>福建福海创石油化工有限公司（下简称“福海创”为国有大型石化生产企业，坐落于福建漳州古雷经济开发区，主要生产厂区有</w:t>
      </w:r>
      <w:r>
        <w:rPr>
          <w:sz w:val="24"/>
          <w:szCs w:val="24"/>
          <w:lang w:eastAsia="zh-CN"/>
        </w:rPr>
        <w:t>PX厂区、PTA厂区、码头以及配套的公用系统。</w:t>
      </w:r>
    </w:p>
    <w:p>
      <w:pPr>
        <w:pStyle w:val="25"/>
        <w:numPr>
          <w:ilvl w:val="0"/>
          <w:numId w:val="3"/>
        </w:numPr>
        <w:autoSpaceDE/>
        <w:autoSpaceDN/>
        <w:spacing w:before="0"/>
        <w:jc w:val="both"/>
        <w:rPr>
          <w:sz w:val="24"/>
          <w:szCs w:val="24"/>
        </w:rPr>
      </w:pPr>
      <w:r>
        <w:rPr>
          <w:rFonts w:hint="eastAsia"/>
          <w:b/>
          <w:sz w:val="24"/>
          <w:szCs w:val="24"/>
        </w:rPr>
        <w:t>接入系统：</w:t>
      </w:r>
    </w:p>
    <w:p>
      <w:pPr>
        <w:ind w:firstLine="482"/>
        <w:rPr>
          <w:sz w:val="24"/>
          <w:szCs w:val="24"/>
          <w:lang w:eastAsia="zh-CN"/>
        </w:rPr>
      </w:pPr>
      <w:r>
        <w:rPr>
          <w:rFonts w:hint="eastAsia"/>
          <w:sz w:val="24"/>
          <w:szCs w:val="24"/>
          <w:lang w:eastAsia="zh-CN"/>
        </w:rPr>
        <w:t>两回</w:t>
      </w:r>
      <w:r>
        <w:rPr>
          <w:sz w:val="24"/>
          <w:szCs w:val="24"/>
          <w:lang w:eastAsia="zh-CN"/>
        </w:rPr>
        <w:t>220kV</w:t>
      </w:r>
      <w:r>
        <w:rPr>
          <w:rFonts w:hint="eastAsia"/>
          <w:sz w:val="24"/>
          <w:szCs w:val="24"/>
          <w:lang w:eastAsia="zh-CN"/>
        </w:rPr>
        <w:t>架空—电缆线路接入漳州古雷220kV油田变。</w:t>
      </w:r>
    </w:p>
    <w:p>
      <w:pPr>
        <w:pStyle w:val="25"/>
        <w:numPr>
          <w:ilvl w:val="0"/>
          <w:numId w:val="3"/>
        </w:numPr>
        <w:autoSpaceDE/>
        <w:autoSpaceDN/>
        <w:spacing w:before="0"/>
        <w:jc w:val="both"/>
        <w:rPr>
          <w:sz w:val="24"/>
          <w:szCs w:val="24"/>
        </w:rPr>
      </w:pPr>
      <w:r>
        <w:rPr>
          <w:b/>
          <w:sz w:val="24"/>
          <w:szCs w:val="24"/>
        </w:rPr>
        <w:t>220kV变电站：</w:t>
      </w:r>
    </w:p>
    <w:p>
      <w:pPr>
        <w:ind w:firstLine="482"/>
        <w:rPr>
          <w:sz w:val="24"/>
          <w:szCs w:val="24"/>
          <w:lang w:eastAsia="zh-CN"/>
        </w:rPr>
      </w:pPr>
      <w:r>
        <w:rPr>
          <w:rFonts w:hint="eastAsia"/>
          <w:sz w:val="24"/>
          <w:szCs w:val="24"/>
          <w:lang w:eastAsia="zh-CN"/>
        </w:rPr>
        <w:t>建设有一座220kV变电站，220kV主接线采用双母线并列运行，装设4台220kV/35kV主变，分别为2×180MVA+其中2×75MVA，降压为35kV，分别供给PX区域、公用系统、码头以及PTA装置，35kV母线采用单母线分段环形接线形式。</w:t>
      </w:r>
    </w:p>
    <w:p>
      <w:pPr>
        <w:pStyle w:val="25"/>
        <w:numPr>
          <w:ilvl w:val="0"/>
          <w:numId w:val="3"/>
        </w:numPr>
        <w:autoSpaceDE/>
        <w:autoSpaceDN/>
        <w:spacing w:before="0"/>
        <w:jc w:val="both"/>
        <w:rPr>
          <w:sz w:val="24"/>
          <w:szCs w:val="24"/>
        </w:rPr>
      </w:pPr>
      <w:r>
        <w:rPr>
          <w:rFonts w:hint="eastAsia"/>
          <w:b/>
          <w:sz w:val="24"/>
          <w:szCs w:val="24"/>
        </w:rPr>
        <w:t>热电厂：</w:t>
      </w:r>
    </w:p>
    <w:p>
      <w:pPr>
        <w:ind w:firstLine="482"/>
        <w:rPr>
          <w:sz w:val="24"/>
          <w:szCs w:val="24"/>
          <w:lang w:eastAsia="zh-CN"/>
        </w:rPr>
      </w:pPr>
      <w:r>
        <w:rPr>
          <w:rFonts w:hint="eastAsia"/>
          <w:sz w:val="24"/>
          <w:szCs w:val="24"/>
          <w:lang w:eastAsia="zh-CN"/>
        </w:rPr>
        <w:t>建设 4×670T/h煤粉锅炉+3×150MW抽凝机组热电厂，3台发电机组220kV电缆接入220kV总降站220kV母线。</w:t>
      </w:r>
    </w:p>
    <w:p>
      <w:pPr>
        <w:pStyle w:val="25"/>
        <w:numPr>
          <w:ilvl w:val="0"/>
          <w:numId w:val="3"/>
        </w:numPr>
        <w:autoSpaceDE/>
        <w:autoSpaceDN/>
        <w:spacing w:before="0"/>
        <w:jc w:val="both"/>
        <w:rPr>
          <w:sz w:val="24"/>
          <w:szCs w:val="24"/>
        </w:rPr>
      </w:pPr>
      <w:r>
        <w:rPr>
          <w:rFonts w:hint="eastAsia"/>
          <w:b/>
          <w:sz w:val="24"/>
          <w:szCs w:val="24"/>
        </w:rPr>
        <w:t>区域变电站：</w:t>
      </w:r>
    </w:p>
    <w:p>
      <w:pPr>
        <w:ind w:firstLine="480"/>
        <w:rPr>
          <w:sz w:val="24"/>
          <w:szCs w:val="24"/>
          <w:lang w:eastAsia="zh-CN"/>
        </w:rPr>
      </w:pPr>
      <w:r>
        <w:rPr>
          <w:b/>
          <w:sz w:val="24"/>
          <w:szCs w:val="24"/>
          <w:lang w:eastAsia="zh-CN"/>
        </w:rPr>
        <w:t>PX区域：</w:t>
      </w:r>
      <w:r>
        <w:rPr>
          <w:rFonts w:hint="eastAsia"/>
          <w:sz w:val="24"/>
          <w:szCs w:val="24"/>
          <w:lang w:eastAsia="zh-CN"/>
        </w:rPr>
        <w:t>6座35kV区域变+热电厂起备变，以及10座10kV二级变。35kV区域变采用线变组接线方式，两回电缆线路接入，10kV及低压母线采用单母线分段接线。</w:t>
      </w:r>
    </w:p>
    <w:p>
      <w:pPr>
        <w:ind w:firstLine="482"/>
        <w:rPr>
          <w:sz w:val="24"/>
          <w:szCs w:val="24"/>
          <w:lang w:eastAsia="zh-CN"/>
        </w:rPr>
      </w:pPr>
      <w:r>
        <w:rPr>
          <w:b/>
          <w:sz w:val="24"/>
          <w:szCs w:val="24"/>
          <w:lang w:eastAsia="zh-CN"/>
        </w:rPr>
        <w:t>PTA区域：</w:t>
      </w:r>
      <w:r>
        <w:rPr>
          <w:rFonts w:hint="eastAsia"/>
          <w:sz w:val="24"/>
          <w:szCs w:val="24"/>
          <w:lang w:eastAsia="zh-CN"/>
        </w:rPr>
        <w:t>3座35kV区域变，以及4座10kV二级变。35kV区域变采用35kV线路（设备两端设置断路器）+变压器组接线方式，10kV及低压母线采用单母线分段接线。</w:t>
      </w:r>
    </w:p>
    <w:p>
      <w:pPr>
        <w:ind w:firstLine="482"/>
        <w:rPr>
          <w:sz w:val="24"/>
          <w:szCs w:val="24"/>
          <w:lang w:eastAsia="zh-CN"/>
        </w:rPr>
      </w:pPr>
      <w:r>
        <w:rPr>
          <w:rFonts w:hint="eastAsia"/>
          <w:sz w:val="24"/>
          <w:szCs w:val="24"/>
          <w:lang w:eastAsia="zh-CN"/>
        </w:rPr>
        <w:t>余热发电机组：机组容量1×50MW，发电机出口10.5kV电压通过变压器升压后接入既有220kV总降站35kV VII段母线。</w:t>
      </w:r>
    </w:p>
    <w:p>
      <w:pPr>
        <w:ind w:firstLine="482"/>
        <w:rPr>
          <w:sz w:val="24"/>
          <w:szCs w:val="24"/>
          <w:lang w:eastAsia="zh-CN"/>
        </w:rPr>
      </w:pPr>
      <w:r>
        <w:rPr>
          <w:rFonts w:hint="eastAsia"/>
          <w:b/>
          <w:sz w:val="24"/>
          <w:szCs w:val="24"/>
          <w:lang w:eastAsia="zh-CN"/>
        </w:rPr>
        <w:t>码头区域：</w:t>
      </w:r>
      <w:r>
        <w:rPr>
          <w:rFonts w:hint="eastAsia"/>
          <w:sz w:val="24"/>
          <w:szCs w:val="24"/>
          <w:lang w:eastAsia="zh-CN"/>
        </w:rPr>
        <w:t>2座35kV区域变，以及2座10kV二级变。35kV区域变采用35kV线路（设备两端设置断路器）+变压器组接线方式，10kV及低压母线采用单母线分段接线。</w:t>
      </w:r>
    </w:p>
    <w:p>
      <w:pPr>
        <w:ind w:firstLine="482"/>
        <w:rPr>
          <w:sz w:val="24"/>
          <w:szCs w:val="24"/>
          <w:lang w:eastAsia="zh-CN"/>
        </w:rPr>
      </w:pPr>
      <w:r>
        <w:rPr>
          <w:rFonts w:hint="eastAsia"/>
          <w:b/>
          <w:sz w:val="24"/>
          <w:szCs w:val="24"/>
          <w:lang w:eastAsia="zh-CN"/>
        </w:rPr>
        <w:t>应急电源系统：</w:t>
      </w:r>
      <w:r>
        <w:rPr>
          <w:rFonts w:hint="eastAsia"/>
          <w:sz w:val="24"/>
          <w:szCs w:val="24"/>
          <w:lang w:eastAsia="zh-CN"/>
        </w:rPr>
        <w:t>3套600kW柴油发电机，以及3套0.4kV配电系统。</w:t>
      </w:r>
    </w:p>
    <w:p>
      <w:pPr>
        <w:pStyle w:val="25"/>
        <w:numPr>
          <w:ilvl w:val="0"/>
          <w:numId w:val="2"/>
        </w:numPr>
        <w:autoSpaceDE/>
        <w:autoSpaceDN/>
        <w:spacing w:before="0"/>
        <w:ind w:left="454" w:hanging="312"/>
        <w:jc w:val="both"/>
        <w:rPr>
          <w:sz w:val="24"/>
          <w:szCs w:val="24"/>
        </w:rPr>
      </w:pPr>
      <w:r>
        <w:rPr>
          <w:rFonts w:hint="eastAsia"/>
          <w:b/>
          <w:sz w:val="24"/>
          <w:szCs w:val="24"/>
        </w:rPr>
        <w:t>项目工作范围</w:t>
      </w:r>
    </w:p>
    <w:p>
      <w:pPr>
        <w:pStyle w:val="25"/>
        <w:numPr>
          <w:ilvl w:val="0"/>
          <w:numId w:val="4"/>
        </w:numPr>
        <w:autoSpaceDE/>
        <w:autoSpaceDN/>
        <w:spacing w:before="0"/>
        <w:ind w:hanging="278"/>
        <w:jc w:val="both"/>
        <w:rPr>
          <w:sz w:val="24"/>
          <w:szCs w:val="24"/>
        </w:rPr>
      </w:pPr>
      <w:r>
        <w:rPr>
          <w:rFonts w:hint="eastAsia"/>
          <w:b/>
          <w:sz w:val="24"/>
          <w:szCs w:val="24"/>
        </w:rPr>
        <w:t>项目工作主要内容</w:t>
      </w:r>
    </w:p>
    <w:p>
      <w:pPr>
        <w:ind w:firstLine="420"/>
        <w:rPr>
          <w:sz w:val="24"/>
          <w:szCs w:val="24"/>
          <w:lang w:eastAsia="zh-CN"/>
        </w:rPr>
      </w:pPr>
      <w:r>
        <w:rPr>
          <w:rFonts w:hint="eastAsia"/>
          <w:sz w:val="24"/>
          <w:szCs w:val="24"/>
          <w:lang w:eastAsia="zh-CN"/>
        </w:rPr>
        <w:t>为确保福海创PX、PTA以及公用系统等生产（装置）安、稳、长、满、优的运行，提高供电安全可靠性，根据福海创电力系统的设计、安装、调试以及现有设备状况和运维管理，及早发现隐患并靶向治理，从系统运行、一二次设备、运行管理、设备管理、技术管理、作业规范、事故处理、人员培训等方面，对企业电气专业做全维度安全稳定状态评估及整改建议。同时，开展全厂电力系统进行仿真计算，重点在于运行方式校核（和N</w:t>
      </w:r>
      <w:r>
        <w:rPr>
          <w:sz w:val="24"/>
          <w:szCs w:val="24"/>
          <w:lang w:eastAsia="zh-CN"/>
        </w:rPr>
        <w:t>-1</w:t>
      </w:r>
      <w:r>
        <w:rPr>
          <w:rFonts w:hint="eastAsia"/>
          <w:sz w:val="24"/>
          <w:szCs w:val="24"/>
          <w:lang w:eastAsia="zh-CN"/>
        </w:rPr>
        <w:t>）、短路电流计算、大电机（群）起动分析、系统孤网运行与暂态稳定性研究、对全厂继电保护方案与灵敏度校核、继电保护整定计算、二期项目系统接入（包括#3、#4主变容量由75MVA更换为150MVA）等。</w:t>
      </w:r>
    </w:p>
    <w:p>
      <w:pPr>
        <w:pStyle w:val="25"/>
        <w:numPr>
          <w:ilvl w:val="0"/>
          <w:numId w:val="4"/>
        </w:numPr>
        <w:autoSpaceDE/>
        <w:autoSpaceDN/>
        <w:spacing w:before="0"/>
        <w:ind w:hanging="278"/>
        <w:jc w:val="both"/>
        <w:rPr>
          <w:b/>
          <w:bCs/>
          <w:sz w:val="24"/>
          <w:szCs w:val="24"/>
        </w:rPr>
      </w:pPr>
      <w:r>
        <w:rPr>
          <w:rFonts w:hint="eastAsia"/>
          <w:b/>
          <w:bCs/>
          <w:sz w:val="24"/>
          <w:szCs w:val="24"/>
        </w:rPr>
        <w:t>项目评估人员要求：</w:t>
      </w:r>
    </w:p>
    <w:p>
      <w:pPr>
        <w:ind w:firstLine="420"/>
        <w:rPr>
          <w:lang w:eastAsia="zh-CN"/>
        </w:rPr>
      </w:pPr>
      <w:r>
        <w:rPr>
          <w:rFonts w:hint="eastAsia"/>
          <w:sz w:val="24"/>
          <w:szCs w:val="24"/>
          <w:lang w:eastAsia="zh-CN"/>
        </w:rPr>
        <w:t>电力行业和炼化行业资深专家，由工程师、高级工程级及以上人员组成评估专家组。</w:t>
      </w:r>
    </w:p>
    <w:p>
      <w:pPr>
        <w:pStyle w:val="25"/>
        <w:numPr>
          <w:ilvl w:val="0"/>
          <w:numId w:val="4"/>
        </w:numPr>
        <w:autoSpaceDE/>
        <w:autoSpaceDN/>
        <w:spacing w:before="0"/>
        <w:ind w:hanging="278"/>
        <w:jc w:val="both"/>
        <w:rPr>
          <w:sz w:val="24"/>
          <w:szCs w:val="24"/>
        </w:rPr>
      </w:pPr>
      <w:r>
        <w:rPr>
          <w:rFonts w:hint="eastAsia"/>
          <w:b/>
          <w:sz w:val="24"/>
          <w:szCs w:val="24"/>
        </w:rPr>
        <w:t>项目工作</w:t>
      </w:r>
      <w:r>
        <w:rPr>
          <w:rFonts w:hint="eastAsia"/>
          <w:b/>
          <w:bCs/>
          <w:sz w:val="24"/>
          <w:szCs w:val="24"/>
        </w:rPr>
        <w:t>范围</w:t>
      </w:r>
    </w:p>
    <w:p>
      <w:pPr>
        <w:ind w:firstLine="420"/>
        <w:rPr>
          <w:sz w:val="24"/>
          <w:szCs w:val="24"/>
          <w:lang w:eastAsia="zh-CN"/>
        </w:rPr>
      </w:pPr>
      <w:r>
        <w:rPr>
          <w:rFonts w:hint="eastAsia"/>
          <w:sz w:val="24"/>
          <w:szCs w:val="24"/>
          <w:lang w:eastAsia="zh-CN"/>
        </w:rPr>
        <w:t>福海创全厂电力系统（含码头）。</w:t>
      </w:r>
    </w:p>
    <w:p>
      <w:pPr>
        <w:pStyle w:val="25"/>
        <w:numPr>
          <w:ilvl w:val="0"/>
          <w:numId w:val="4"/>
        </w:numPr>
        <w:autoSpaceDE/>
        <w:autoSpaceDN/>
        <w:spacing w:before="0"/>
        <w:ind w:hanging="278"/>
        <w:jc w:val="both"/>
        <w:rPr>
          <w:sz w:val="24"/>
          <w:szCs w:val="24"/>
        </w:rPr>
      </w:pPr>
      <w:r>
        <w:rPr>
          <w:rFonts w:hint="eastAsia"/>
          <w:b/>
          <w:sz w:val="24"/>
          <w:szCs w:val="24"/>
        </w:rPr>
        <w:t>项目工作地点</w:t>
      </w:r>
    </w:p>
    <w:p>
      <w:pPr>
        <w:ind w:firstLine="420"/>
        <w:rPr>
          <w:sz w:val="24"/>
          <w:szCs w:val="24"/>
          <w:lang w:eastAsia="zh-CN"/>
        </w:rPr>
      </w:pPr>
      <w:r>
        <w:rPr>
          <w:rFonts w:hint="eastAsia"/>
          <w:sz w:val="24"/>
          <w:szCs w:val="24"/>
          <w:lang w:eastAsia="zh-CN"/>
        </w:rPr>
        <w:t>福建福海创石油化工有限公司。</w:t>
      </w:r>
    </w:p>
    <w:p>
      <w:pPr>
        <w:pStyle w:val="25"/>
        <w:numPr>
          <w:ilvl w:val="0"/>
          <w:numId w:val="4"/>
        </w:numPr>
        <w:autoSpaceDE/>
        <w:autoSpaceDN/>
        <w:spacing w:before="0"/>
        <w:ind w:hanging="278"/>
        <w:jc w:val="both"/>
        <w:rPr>
          <w:sz w:val="24"/>
          <w:szCs w:val="24"/>
        </w:rPr>
      </w:pPr>
      <w:r>
        <w:rPr>
          <w:rFonts w:hint="eastAsia"/>
          <w:b/>
          <w:sz w:val="24"/>
          <w:szCs w:val="24"/>
        </w:rPr>
        <w:t>工作时限</w:t>
      </w:r>
    </w:p>
    <w:p>
      <w:pPr>
        <w:ind w:firstLine="420"/>
        <w:rPr>
          <w:sz w:val="24"/>
          <w:szCs w:val="24"/>
          <w:lang w:eastAsia="zh-CN"/>
        </w:rPr>
      </w:pPr>
      <w:r>
        <w:rPr>
          <w:rFonts w:hint="eastAsia"/>
          <w:sz w:val="24"/>
          <w:szCs w:val="24"/>
          <w:lang w:eastAsia="zh-CN"/>
        </w:rPr>
        <w:t>本项目分为三个阶段实施。</w:t>
      </w:r>
    </w:p>
    <w:p>
      <w:pPr>
        <w:ind w:firstLine="420"/>
        <w:rPr>
          <w:sz w:val="24"/>
          <w:szCs w:val="24"/>
          <w:lang w:eastAsia="zh-CN"/>
        </w:rPr>
      </w:pPr>
      <w:r>
        <w:rPr>
          <w:rFonts w:hint="eastAsia"/>
          <w:sz w:val="24"/>
          <w:szCs w:val="24"/>
          <w:lang w:eastAsia="zh-CN"/>
        </w:rPr>
        <w:t>阶段一：现场勘查，开展安稳评估。</w:t>
      </w:r>
    </w:p>
    <w:p>
      <w:pPr>
        <w:ind w:firstLine="420"/>
        <w:rPr>
          <w:sz w:val="24"/>
          <w:szCs w:val="24"/>
          <w:lang w:eastAsia="zh-CN"/>
        </w:rPr>
      </w:pPr>
      <w:r>
        <w:rPr>
          <w:rFonts w:hint="eastAsia"/>
          <w:sz w:val="24"/>
          <w:szCs w:val="24"/>
          <w:lang w:eastAsia="zh-CN"/>
        </w:rPr>
        <w:t>本阶段工作重点为对福海创电力系统作现场勘查，给出安稳评估及整改意见。现场评估时间为7日，评估报告在现场评估结束后20天内交付。</w:t>
      </w:r>
    </w:p>
    <w:p>
      <w:pPr>
        <w:ind w:firstLine="420"/>
        <w:rPr>
          <w:sz w:val="24"/>
          <w:szCs w:val="24"/>
          <w:lang w:eastAsia="zh-CN"/>
        </w:rPr>
      </w:pPr>
      <w:r>
        <w:rPr>
          <w:rFonts w:hint="eastAsia"/>
          <w:sz w:val="24"/>
          <w:szCs w:val="24"/>
          <w:lang w:eastAsia="zh-CN"/>
        </w:rPr>
        <w:t>阶段二、全厂电力系统仿真分析。</w:t>
      </w:r>
    </w:p>
    <w:p>
      <w:pPr>
        <w:ind w:firstLine="420"/>
        <w:rPr>
          <w:sz w:val="24"/>
          <w:szCs w:val="24"/>
          <w:lang w:eastAsia="zh-CN"/>
        </w:rPr>
      </w:pPr>
      <w:r>
        <w:rPr>
          <w:rFonts w:hint="eastAsia"/>
          <w:sz w:val="24"/>
          <w:szCs w:val="24"/>
          <w:lang w:eastAsia="zh-CN"/>
        </w:rPr>
        <w:t>发包方提供主系统与相关电力设备有效资料（收资阶段）后，30个工作日内完成。</w:t>
      </w:r>
    </w:p>
    <w:p>
      <w:pPr>
        <w:ind w:firstLine="420"/>
        <w:rPr>
          <w:sz w:val="24"/>
          <w:szCs w:val="24"/>
          <w:lang w:eastAsia="zh-CN"/>
        </w:rPr>
      </w:pPr>
      <w:r>
        <w:rPr>
          <w:rFonts w:hint="eastAsia"/>
          <w:sz w:val="24"/>
          <w:szCs w:val="24"/>
          <w:lang w:eastAsia="zh-CN"/>
        </w:rPr>
        <w:t>阶段三、全厂电力系统继电保护计算整定与校核。</w:t>
      </w:r>
    </w:p>
    <w:p>
      <w:pPr>
        <w:ind w:firstLine="420"/>
        <w:rPr>
          <w:sz w:val="24"/>
          <w:szCs w:val="24"/>
          <w:lang w:eastAsia="zh-CN"/>
        </w:rPr>
      </w:pPr>
      <w:r>
        <w:rPr>
          <w:rFonts w:hint="eastAsia"/>
          <w:sz w:val="24"/>
          <w:szCs w:val="24"/>
          <w:lang w:eastAsia="zh-CN"/>
        </w:rPr>
        <w:t>在阶段二工作成果取得业主签认后，30个工作日内完成。</w:t>
      </w:r>
    </w:p>
    <w:p>
      <w:pPr>
        <w:ind w:firstLine="420"/>
        <w:rPr>
          <w:sz w:val="24"/>
          <w:szCs w:val="24"/>
          <w:lang w:eastAsia="zh-CN"/>
        </w:rPr>
      </w:pPr>
      <w:r>
        <w:rPr>
          <w:rFonts w:hint="eastAsia"/>
          <w:sz w:val="24"/>
          <w:szCs w:val="24"/>
          <w:lang w:eastAsia="zh-CN"/>
        </w:rPr>
        <w:t>全部工作必须在合同签订后90天内完成。</w:t>
      </w:r>
    </w:p>
    <w:p>
      <w:pPr>
        <w:pStyle w:val="25"/>
        <w:numPr>
          <w:ilvl w:val="0"/>
          <w:numId w:val="2"/>
        </w:numPr>
        <w:autoSpaceDE/>
        <w:autoSpaceDN/>
        <w:spacing w:before="0"/>
        <w:ind w:left="454" w:hanging="312"/>
        <w:jc w:val="both"/>
        <w:rPr>
          <w:sz w:val="24"/>
          <w:szCs w:val="24"/>
        </w:rPr>
      </w:pPr>
      <w:r>
        <w:rPr>
          <w:rFonts w:hint="eastAsia"/>
          <w:b/>
          <w:sz w:val="24"/>
          <w:szCs w:val="24"/>
        </w:rPr>
        <w:t>工作内容与技术要求</w:t>
      </w:r>
    </w:p>
    <w:p>
      <w:pPr>
        <w:rPr>
          <w:b/>
          <w:lang w:eastAsia="zh-CN"/>
        </w:rPr>
      </w:pPr>
      <w:r>
        <w:rPr>
          <w:rFonts w:hint="eastAsia"/>
          <w:b/>
          <w:sz w:val="24"/>
          <w:szCs w:val="24"/>
          <w:lang w:eastAsia="zh-CN"/>
        </w:rPr>
        <w:t>一）评估内容</w:t>
      </w:r>
      <w:r>
        <w:rPr>
          <w:rFonts w:hint="eastAsia"/>
          <w:b/>
          <w:lang w:eastAsia="zh-CN"/>
        </w:rPr>
        <w:t>至少包含以下内容：</w:t>
      </w:r>
    </w:p>
    <w:p>
      <w:pPr>
        <w:pStyle w:val="25"/>
        <w:numPr>
          <w:ilvl w:val="0"/>
          <w:numId w:val="5"/>
        </w:numPr>
        <w:autoSpaceDE/>
        <w:autoSpaceDN/>
        <w:spacing w:before="0"/>
        <w:ind w:hanging="278"/>
        <w:jc w:val="both"/>
        <w:rPr>
          <w:b/>
          <w:bCs/>
          <w:sz w:val="24"/>
          <w:szCs w:val="24"/>
        </w:rPr>
      </w:pPr>
      <w:r>
        <w:rPr>
          <w:rFonts w:hint="eastAsia"/>
          <w:b/>
          <w:sz w:val="24"/>
          <w:szCs w:val="24"/>
        </w:rPr>
        <w:t>系统隐患（排查）评估</w:t>
      </w:r>
    </w:p>
    <w:p>
      <w:pPr>
        <w:rPr>
          <w:sz w:val="24"/>
          <w:szCs w:val="24"/>
          <w:lang w:eastAsia="zh-CN"/>
        </w:rPr>
      </w:pPr>
      <w:r>
        <w:rPr>
          <w:sz w:val="24"/>
          <w:szCs w:val="24"/>
          <w:lang w:eastAsia="zh-CN"/>
        </w:rPr>
        <w:tab/>
      </w:r>
      <w:r>
        <w:rPr>
          <w:rFonts w:hint="eastAsia"/>
          <w:sz w:val="24"/>
          <w:szCs w:val="24"/>
          <w:lang w:eastAsia="zh-CN"/>
        </w:rPr>
        <w:t>主要评估内容为系统电源可靠性、过电压抑制能力、系统运行方式合理性、电力系统自愈能力等。</w:t>
      </w:r>
    </w:p>
    <w:p>
      <w:pPr>
        <w:pStyle w:val="25"/>
        <w:numPr>
          <w:ilvl w:val="0"/>
          <w:numId w:val="5"/>
        </w:numPr>
        <w:autoSpaceDE/>
        <w:autoSpaceDN/>
        <w:spacing w:before="0"/>
        <w:ind w:hanging="278"/>
        <w:jc w:val="both"/>
        <w:rPr>
          <w:b/>
          <w:bCs/>
          <w:sz w:val="24"/>
          <w:szCs w:val="24"/>
        </w:rPr>
      </w:pPr>
      <w:r>
        <w:rPr>
          <w:rFonts w:hint="eastAsia"/>
          <w:b/>
          <w:sz w:val="24"/>
          <w:szCs w:val="24"/>
        </w:rPr>
        <w:t>设备隐患（排查）评估</w:t>
      </w:r>
    </w:p>
    <w:p>
      <w:pPr>
        <w:rPr>
          <w:sz w:val="24"/>
          <w:szCs w:val="24"/>
          <w:lang w:eastAsia="zh-CN"/>
        </w:rPr>
      </w:pPr>
      <w:r>
        <w:rPr>
          <w:sz w:val="24"/>
          <w:szCs w:val="24"/>
          <w:lang w:eastAsia="zh-CN"/>
        </w:rPr>
        <w:tab/>
      </w:r>
      <w:r>
        <w:rPr>
          <w:rFonts w:hint="eastAsia"/>
          <w:sz w:val="24"/>
          <w:szCs w:val="24"/>
          <w:lang w:eastAsia="zh-CN"/>
        </w:rPr>
        <w:t>主要评估内容为设备本质安全、设备操作安全、设备状态监测、设备运行环境等。</w:t>
      </w:r>
    </w:p>
    <w:p>
      <w:pPr>
        <w:pStyle w:val="25"/>
        <w:numPr>
          <w:ilvl w:val="0"/>
          <w:numId w:val="5"/>
        </w:numPr>
        <w:autoSpaceDE/>
        <w:autoSpaceDN/>
        <w:spacing w:before="0"/>
        <w:ind w:hanging="278"/>
        <w:jc w:val="both"/>
        <w:rPr>
          <w:b/>
          <w:bCs/>
          <w:sz w:val="24"/>
          <w:szCs w:val="24"/>
        </w:rPr>
      </w:pPr>
      <w:r>
        <w:rPr>
          <w:rFonts w:hint="eastAsia"/>
          <w:b/>
          <w:sz w:val="24"/>
          <w:szCs w:val="24"/>
        </w:rPr>
        <w:t>防雷与接地评估</w:t>
      </w:r>
    </w:p>
    <w:p>
      <w:pPr>
        <w:rPr>
          <w:sz w:val="24"/>
          <w:szCs w:val="24"/>
          <w:lang w:eastAsia="zh-CN"/>
        </w:rPr>
      </w:pPr>
      <w:r>
        <w:rPr>
          <w:sz w:val="24"/>
          <w:szCs w:val="24"/>
          <w:lang w:eastAsia="zh-CN"/>
        </w:rPr>
        <w:tab/>
      </w:r>
      <w:r>
        <w:rPr>
          <w:rFonts w:hint="eastAsia"/>
          <w:sz w:val="24"/>
          <w:szCs w:val="24"/>
          <w:lang w:eastAsia="zh-CN"/>
        </w:rPr>
        <w:t>主要评估内容为变电所防雷、接地、二次等电位地网等。</w:t>
      </w:r>
    </w:p>
    <w:p>
      <w:pPr>
        <w:pStyle w:val="25"/>
        <w:numPr>
          <w:ilvl w:val="0"/>
          <w:numId w:val="5"/>
        </w:numPr>
        <w:autoSpaceDE/>
        <w:autoSpaceDN/>
        <w:spacing w:before="0"/>
        <w:ind w:hanging="278"/>
        <w:jc w:val="both"/>
        <w:rPr>
          <w:b/>
          <w:bCs/>
          <w:sz w:val="24"/>
          <w:szCs w:val="24"/>
        </w:rPr>
      </w:pPr>
      <w:r>
        <w:rPr>
          <w:rFonts w:hint="eastAsia"/>
          <w:b/>
          <w:sz w:val="24"/>
          <w:szCs w:val="24"/>
        </w:rPr>
        <w:t>变电所（站）消防评估</w:t>
      </w:r>
    </w:p>
    <w:p>
      <w:pPr>
        <w:rPr>
          <w:sz w:val="24"/>
          <w:szCs w:val="24"/>
          <w:lang w:eastAsia="zh-CN"/>
        </w:rPr>
      </w:pPr>
      <w:r>
        <w:rPr>
          <w:sz w:val="24"/>
          <w:szCs w:val="24"/>
          <w:lang w:eastAsia="zh-CN"/>
        </w:rPr>
        <w:tab/>
      </w:r>
      <w:r>
        <w:rPr>
          <w:rFonts w:hint="eastAsia"/>
          <w:sz w:val="24"/>
          <w:szCs w:val="24"/>
          <w:lang w:eastAsia="zh-CN"/>
        </w:rPr>
        <w:t>主要评估内容为主变消防、变电所（站）消防、事故照明等。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电力系统继电保护装置、自动装置与整定评估</w:t>
      </w:r>
    </w:p>
    <w:p>
      <w:pPr>
        <w:rPr>
          <w:sz w:val="24"/>
          <w:szCs w:val="24"/>
          <w:lang w:eastAsia="zh-CN"/>
        </w:rPr>
      </w:pPr>
      <w:r>
        <w:rPr>
          <w:sz w:val="24"/>
          <w:szCs w:val="24"/>
          <w:lang w:eastAsia="zh-CN"/>
        </w:rPr>
        <w:tab/>
      </w:r>
      <w:r>
        <w:rPr>
          <w:rFonts w:hint="eastAsia"/>
          <w:sz w:val="24"/>
          <w:szCs w:val="24"/>
          <w:lang w:eastAsia="zh-CN"/>
        </w:rPr>
        <w:t>主要评估内容为主系统（及配、用电装置）电气设备继保和自动装置的方案可靠性、全厂继保选择性、速动性、反措落实等。</w:t>
      </w:r>
    </w:p>
    <w:p>
      <w:pPr>
        <w:pStyle w:val="25"/>
        <w:numPr>
          <w:ilvl w:val="0"/>
          <w:numId w:val="5"/>
        </w:numPr>
        <w:autoSpaceDE/>
        <w:autoSpaceDN/>
        <w:spacing w:before="0"/>
        <w:ind w:hanging="278"/>
        <w:jc w:val="both"/>
        <w:rPr>
          <w:b/>
          <w:bCs/>
          <w:sz w:val="24"/>
          <w:szCs w:val="24"/>
        </w:rPr>
      </w:pPr>
      <w:r>
        <w:rPr>
          <w:rFonts w:hint="eastAsia"/>
          <w:b/>
          <w:sz w:val="24"/>
          <w:szCs w:val="24"/>
        </w:rPr>
        <w:t>综合自动化系统评估</w:t>
      </w:r>
    </w:p>
    <w:p>
      <w:pPr>
        <w:rPr>
          <w:sz w:val="24"/>
          <w:szCs w:val="24"/>
          <w:lang w:eastAsia="zh-CN"/>
        </w:rPr>
      </w:pPr>
      <w:r>
        <w:rPr>
          <w:sz w:val="24"/>
          <w:szCs w:val="24"/>
          <w:lang w:eastAsia="zh-CN"/>
        </w:rPr>
        <w:tab/>
      </w:r>
      <w:r>
        <w:rPr>
          <w:rFonts w:hint="eastAsia"/>
          <w:sz w:val="24"/>
          <w:szCs w:val="24"/>
          <w:lang w:eastAsia="zh-CN"/>
        </w:rPr>
        <w:t>主要评估内容为网络拓扑、信息有效性、监控画面、数据库、故障录波、全厂同步时钟系统、电力信息二次安全防护等。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直流电源与电力电子设备评估</w:t>
      </w:r>
    </w:p>
    <w:p>
      <w:pPr>
        <w:rPr>
          <w:sz w:val="24"/>
          <w:szCs w:val="24"/>
          <w:lang w:eastAsia="zh-CN"/>
        </w:rPr>
      </w:pPr>
      <w:r>
        <w:rPr>
          <w:sz w:val="24"/>
          <w:szCs w:val="24"/>
          <w:lang w:eastAsia="zh-CN"/>
        </w:rPr>
        <w:tab/>
      </w:r>
      <w:r>
        <w:rPr>
          <w:rFonts w:hint="eastAsia"/>
          <w:sz w:val="24"/>
          <w:szCs w:val="24"/>
          <w:lang w:eastAsia="zh-CN"/>
        </w:rPr>
        <w:t>主要评估内容为蓄电池、直流电源、生产仪表用U</w:t>
      </w:r>
      <w:r>
        <w:rPr>
          <w:sz w:val="24"/>
          <w:szCs w:val="24"/>
          <w:lang w:eastAsia="zh-CN"/>
        </w:rPr>
        <w:t>PS</w:t>
      </w:r>
      <w:r>
        <w:rPr>
          <w:rFonts w:hint="eastAsia"/>
          <w:sz w:val="24"/>
          <w:szCs w:val="24"/>
          <w:lang w:eastAsia="zh-CN"/>
        </w:rPr>
        <w:t>、变频器等。</w:t>
      </w:r>
    </w:p>
    <w:p>
      <w:pPr>
        <w:pStyle w:val="25"/>
        <w:numPr>
          <w:ilvl w:val="0"/>
          <w:numId w:val="5"/>
        </w:numPr>
        <w:autoSpaceDE/>
        <w:autoSpaceDN/>
        <w:spacing w:before="0"/>
        <w:ind w:hanging="278"/>
        <w:jc w:val="both"/>
        <w:rPr>
          <w:b/>
          <w:bCs/>
          <w:sz w:val="24"/>
          <w:szCs w:val="24"/>
        </w:rPr>
      </w:pPr>
      <w:r>
        <w:rPr>
          <w:rFonts w:hint="eastAsia"/>
          <w:b/>
          <w:sz w:val="24"/>
          <w:szCs w:val="24"/>
        </w:rPr>
        <w:t>运行管理评估</w:t>
      </w:r>
    </w:p>
    <w:p>
      <w:pPr>
        <w:rPr>
          <w:sz w:val="24"/>
          <w:szCs w:val="24"/>
          <w:lang w:eastAsia="zh-CN"/>
        </w:rPr>
      </w:pPr>
      <w:r>
        <w:rPr>
          <w:sz w:val="24"/>
          <w:szCs w:val="24"/>
          <w:lang w:eastAsia="zh-CN"/>
        </w:rPr>
        <w:tab/>
      </w:r>
      <w:r>
        <w:rPr>
          <w:rFonts w:hint="eastAsia"/>
          <w:sz w:val="24"/>
          <w:szCs w:val="24"/>
          <w:lang w:eastAsia="zh-CN"/>
        </w:rPr>
        <w:t>主要评估内容为管理体系建设、规程与图纸、工作票与倒闸操作票管理、档案管理、事故处理预案等。</w:t>
      </w:r>
    </w:p>
    <w:p>
      <w:pPr>
        <w:pStyle w:val="25"/>
        <w:numPr>
          <w:ilvl w:val="0"/>
          <w:numId w:val="5"/>
        </w:numPr>
        <w:autoSpaceDE/>
        <w:autoSpaceDN/>
        <w:spacing w:before="0"/>
        <w:ind w:hanging="278"/>
        <w:jc w:val="both"/>
        <w:rPr>
          <w:b/>
          <w:sz w:val="24"/>
          <w:szCs w:val="24"/>
        </w:rPr>
      </w:pPr>
      <w:r>
        <w:rPr>
          <w:rFonts w:hint="eastAsia"/>
          <w:b/>
          <w:sz w:val="24"/>
          <w:szCs w:val="24"/>
        </w:rPr>
        <w:t>设备管理评估</w:t>
      </w:r>
    </w:p>
    <w:p>
      <w:pPr>
        <w:rPr>
          <w:sz w:val="24"/>
          <w:szCs w:val="24"/>
          <w:lang w:eastAsia="zh-CN"/>
        </w:rPr>
      </w:pPr>
      <w:r>
        <w:rPr>
          <w:sz w:val="24"/>
          <w:szCs w:val="24"/>
          <w:lang w:eastAsia="zh-CN"/>
        </w:rPr>
        <w:tab/>
      </w:r>
      <w:r>
        <w:rPr>
          <w:rFonts w:hint="eastAsia"/>
          <w:sz w:val="24"/>
          <w:szCs w:val="24"/>
          <w:lang w:eastAsia="zh-CN"/>
        </w:rPr>
        <w:t>主要评估内容为设备完整性（电气设备周期性检测、维修制度建立与执行）体系建设。</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继电保护及自动装置管理评估</w:t>
      </w:r>
    </w:p>
    <w:p>
      <w:pPr>
        <w:rPr>
          <w:sz w:val="24"/>
          <w:szCs w:val="24"/>
          <w:lang w:eastAsia="zh-CN"/>
        </w:rPr>
      </w:pPr>
      <w:r>
        <w:rPr>
          <w:sz w:val="24"/>
          <w:szCs w:val="24"/>
          <w:lang w:eastAsia="zh-CN"/>
        </w:rPr>
        <w:tab/>
      </w:r>
      <w:r>
        <w:rPr>
          <w:rFonts w:hint="eastAsia"/>
          <w:sz w:val="24"/>
          <w:szCs w:val="24"/>
          <w:lang w:eastAsia="zh-CN"/>
        </w:rPr>
        <w:t>主要评估内容为定值管理、验收（调试）管理、继电保护运行评价等。</w:t>
      </w:r>
    </w:p>
    <w:p>
      <w:pPr>
        <w:pStyle w:val="25"/>
        <w:numPr>
          <w:ilvl w:val="0"/>
          <w:numId w:val="5"/>
        </w:numPr>
        <w:autoSpaceDE/>
        <w:autoSpaceDN/>
        <w:spacing w:before="0"/>
        <w:ind w:hanging="278"/>
        <w:jc w:val="both"/>
        <w:rPr>
          <w:b/>
          <w:bCs/>
          <w:sz w:val="24"/>
          <w:szCs w:val="24"/>
        </w:rPr>
      </w:pPr>
      <w:r>
        <w:rPr>
          <w:rFonts w:hint="eastAsia"/>
          <w:b/>
          <w:sz w:val="24"/>
          <w:szCs w:val="24"/>
        </w:rPr>
        <w:t>安全管理评估</w:t>
      </w:r>
    </w:p>
    <w:p>
      <w:pPr>
        <w:rPr>
          <w:sz w:val="24"/>
          <w:szCs w:val="24"/>
          <w:lang w:eastAsia="zh-CN"/>
        </w:rPr>
      </w:pPr>
      <w:r>
        <w:rPr>
          <w:sz w:val="24"/>
          <w:szCs w:val="24"/>
          <w:lang w:eastAsia="zh-CN"/>
        </w:rPr>
        <w:tab/>
      </w:r>
      <w:r>
        <w:rPr>
          <w:rFonts w:hint="eastAsia"/>
          <w:sz w:val="24"/>
          <w:szCs w:val="24"/>
          <w:lang w:eastAsia="zh-CN"/>
        </w:rPr>
        <w:t>主要评估内容为电气安全管理体系建设、接地网管理、接地线管理、SF6气体管理、安全防误操作（五防管理）、临时用电管理、电力信息安全管理等。</w:t>
      </w:r>
    </w:p>
    <w:p>
      <w:pPr>
        <w:pStyle w:val="25"/>
        <w:numPr>
          <w:ilvl w:val="0"/>
          <w:numId w:val="5"/>
        </w:numPr>
        <w:autoSpaceDE/>
        <w:autoSpaceDN/>
        <w:spacing w:before="0"/>
        <w:ind w:hanging="278"/>
        <w:jc w:val="both"/>
        <w:rPr>
          <w:b/>
          <w:bCs/>
          <w:sz w:val="24"/>
          <w:szCs w:val="24"/>
        </w:rPr>
      </w:pPr>
      <w:r>
        <w:rPr>
          <w:rFonts w:hint="eastAsia"/>
          <w:b/>
          <w:sz w:val="24"/>
          <w:szCs w:val="24"/>
        </w:rPr>
        <w:t>人员培训评估</w:t>
      </w:r>
    </w:p>
    <w:p>
      <w:pPr>
        <w:rPr>
          <w:sz w:val="24"/>
          <w:szCs w:val="24"/>
          <w:lang w:eastAsia="zh-CN"/>
        </w:rPr>
      </w:pPr>
      <w:r>
        <w:rPr>
          <w:sz w:val="24"/>
          <w:szCs w:val="24"/>
          <w:lang w:eastAsia="zh-CN"/>
        </w:rPr>
        <w:tab/>
      </w:r>
      <w:r>
        <w:rPr>
          <w:rFonts w:hint="eastAsia"/>
          <w:sz w:val="24"/>
          <w:szCs w:val="24"/>
          <w:lang w:eastAsia="zh-CN"/>
        </w:rPr>
        <w:t>评估企业的员工培训体系建设情况，预案演练情况等。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电力系统仿真分析及计算</w:t>
      </w:r>
    </w:p>
    <w:p>
      <w:pPr>
        <w:ind w:firstLine="420"/>
        <w:rPr>
          <w:sz w:val="24"/>
          <w:szCs w:val="24"/>
          <w:lang w:eastAsia="zh-CN"/>
        </w:rPr>
      </w:pPr>
      <w:r>
        <w:rPr>
          <w:rFonts w:hint="eastAsia"/>
          <w:sz w:val="24"/>
          <w:szCs w:val="24"/>
          <w:lang w:eastAsia="zh-CN"/>
        </w:rPr>
        <w:t>对企业进行电力系统运行方式校核和N</w:t>
      </w:r>
      <w:r>
        <w:rPr>
          <w:sz w:val="24"/>
          <w:szCs w:val="24"/>
          <w:lang w:eastAsia="zh-CN"/>
        </w:rPr>
        <w:t>-1</w:t>
      </w:r>
      <w:r>
        <w:rPr>
          <w:rFonts w:hint="eastAsia"/>
          <w:sz w:val="24"/>
          <w:szCs w:val="24"/>
          <w:lang w:eastAsia="zh-CN"/>
        </w:rPr>
        <w:t>、短路电流（LL、LLG、LG）、大电机（或异步电机群）起动分析、电网暂态稳定性研究。</w:t>
      </w:r>
    </w:p>
    <w:p>
      <w:pPr>
        <w:pStyle w:val="25"/>
        <w:numPr>
          <w:ilvl w:val="0"/>
          <w:numId w:val="5"/>
        </w:numPr>
        <w:autoSpaceDE/>
        <w:autoSpaceDN/>
        <w:spacing w:before="0"/>
        <w:ind w:hanging="278"/>
        <w:jc w:val="both"/>
        <w:rPr>
          <w:sz w:val="24"/>
          <w:szCs w:val="24"/>
          <w:lang w:eastAsia="zh-CN"/>
        </w:rPr>
      </w:pPr>
      <w:r>
        <w:rPr>
          <w:rFonts w:hint="eastAsia"/>
          <w:sz w:val="24"/>
          <w:szCs w:val="24"/>
          <w:lang w:eastAsia="zh-CN"/>
        </w:rPr>
        <w:t>通过电力系统仿真计算，对已有全厂电力系统（2</w:t>
      </w:r>
      <w:r>
        <w:rPr>
          <w:sz w:val="24"/>
          <w:szCs w:val="24"/>
          <w:lang w:eastAsia="zh-CN"/>
        </w:rPr>
        <w:t>20kV</w:t>
      </w:r>
      <w:r>
        <w:rPr>
          <w:rFonts w:hint="eastAsia"/>
          <w:sz w:val="24"/>
          <w:szCs w:val="24"/>
          <w:lang w:eastAsia="zh-CN"/>
        </w:rPr>
        <w:t>、</w:t>
      </w:r>
      <w:r>
        <w:rPr>
          <w:sz w:val="24"/>
          <w:szCs w:val="24"/>
          <w:lang w:eastAsia="zh-CN"/>
        </w:rPr>
        <w:t>35kV</w:t>
      </w:r>
      <w:r>
        <w:rPr>
          <w:rFonts w:hint="eastAsia"/>
          <w:sz w:val="24"/>
          <w:szCs w:val="24"/>
          <w:lang w:eastAsia="zh-CN"/>
        </w:rPr>
        <w:t>、</w:t>
      </w:r>
      <w:r>
        <w:rPr>
          <w:sz w:val="24"/>
          <w:szCs w:val="24"/>
          <w:lang w:eastAsia="zh-CN"/>
        </w:rPr>
        <w:t>10kV</w:t>
      </w:r>
      <w:r>
        <w:rPr>
          <w:rFonts w:hint="eastAsia"/>
          <w:sz w:val="24"/>
          <w:szCs w:val="24"/>
          <w:lang w:eastAsia="zh-CN"/>
        </w:rPr>
        <w:t>）及配、用电继电保护方案与灵敏度校核，保护定值整定计算，并提出建设性建议。</w:t>
      </w:r>
    </w:p>
    <w:p>
      <w:pPr>
        <w:ind w:firstLine="420"/>
        <w:rPr>
          <w:sz w:val="24"/>
          <w:szCs w:val="24"/>
          <w:lang w:eastAsia="zh-CN"/>
        </w:rPr>
      </w:pPr>
      <w:r>
        <w:rPr>
          <w:rFonts w:hint="eastAsia"/>
          <w:sz w:val="24"/>
          <w:szCs w:val="24"/>
          <w:lang w:eastAsia="zh-CN"/>
        </w:rPr>
        <w:t>在前述各项工作完成后，对全厂主网系统继电保护的配置方案与当前运行的继电保护定值进行校核。</w:t>
      </w:r>
    </w:p>
    <w:p>
      <w:pPr>
        <w:rPr>
          <w:b/>
          <w:sz w:val="24"/>
          <w:szCs w:val="24"/>
        </w:rPr>
      </w:pPr>
      <w:r>
        <w:rPr>
          <w:rFonts w:hint="eastAsia"/>
          <w:b/>
          <w:sz w:val="24"/>
          <w:szCs w:val="24"/>
        </w:rPr>
        <w:t>二）技术要求</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遵循标准</w:t>
      </w:r>
    </w:p>
    <w:p>
      <w:pPr>
        <w:ind w:firstLine="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本项目范围内的工作执行，应符合下列标准要求，标准应以最新标准为准，（但不局限于此）：</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"http://www.baidu.com/link?url=eOj92Fl8W0l95Vp38i0pdDI4k57y3c79KN5we2JFbRvCQkzfIZuWN7QBL8Zk8HNKY4X2gFB0UGWMfCQAGM-RD_" \t "https://www.baidu.com/_blank" </w:instrText>
      </w:r>
      <w:r>
        <w:fldChar w:fldCharType="separate"/>
      </w:r>
      <w:r>
        <w:rPr>
          <w:rFonts w:hint="eastAsia" w:asciiTheme="minorEastAsia" w:hAnsiTheme="minorEastAsia" w:eastAsiaTheme="minorEastAsia"/>
          <w:sz w:val="24"/>
          <w:szCs w:val="24"/>
          <w:lang w:eastAsia="zh-CN"/>
        </w:rPr>
        <w:t xml:space="preserve">GB/T 156-2017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标准电压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21210-2007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单速三相笼型感应电动机起动性能</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1040-2015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电网运行准则（新）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686-2018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电力网电能损耗计算导则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1234-2013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电力系统安全稳定计算技术规程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38969-2020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5553-2019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电力系统电气计算设计规程</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"http://www.baidu.com/link?url=bLfWjTtxheceIK677IC7TLfDFhxJ6MRSwCPwK1FA0aoxupoIPFfPwtQrHKpVLcU8zdPBPHiq2MyH683OttxAsICctYbBGBn9KZF4GcfCIUe" \t "https://www.baidu.com/_blank" </w:instrText>
      </w:r>
      <w:r>
        <w:fldChar w:fldCharType="separate"/>
      </w:r>
      <w:r>
        <w:rPr>
          <w:rFonts w:hint="eastAsia" w:asciiTheme="minorEastAsia" w:hAnsiTheme="minorEastAsia" w:eastAsiaTheme="minorEastAsia"/>
          <w:sz w:val="24"/>
          <w:szCs w:val="24"/>
          <w:lang w:eastAsia="zh-CN"/>
        </w:rPr>
        <w:t xml:space="preserve">DL/T 5429-2009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电力系统设计技术规程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38755-2019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电力系统安全稳定导则（替代DL/T 755-2001）</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w:t>
      </w:r>
      <w:r>
        <w:rPr>
          <w:rFonts w:asciiTheme="minorEastAsia" w:hAnsiTheme="minorEastAsia" w:eastAsiaTheme="minorEastAsia"/>
          <w:sz w:val="24"/>
          <w:szCs w:val="24"/>
          <w:lang w:eastAsia="zh-CN"/>
        </w:rPr>
        <w:t>26399</w:t>
      </w:r>
      <w:r>
        <w:rPr>
          <w:rFonts w:hint="eastAsia" w:asciiTheme="minorEastAsia" w:hAnsiTheme="minorEastAsia" w:eastAsiaTheme="minorEastAsia"/>
          <w:sz w:val="24"/>
          <w:szCs w:val="24"/>
          <w:lang w:eastAsia="zh-CN"/>
        </w:rPr>
        <w:t xml:space="preserve">-2011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电力系统安全稳定控制技术导则（替代DL/T 732）</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50703-2011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电力系统安全自动装置设计规范 </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5147-2001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电力系统安全自动装置设计技术规定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T</w:t>
      </w:r>
      <w:r>
        <w:rPr>
          <w:rFonts w:asciiTheme="minorEastAsia" w:hAnsiTheme="minorEastAsia" w:eastAsiaTheme="minorEastAsia"/>
          <w:sz w:val="24"/>
          <w:szCs w:val="24"/>
          <w:lang w:eastAsia="zh-CN"/>
        </w:rPr>
        <w:t xml:space="preserve"> 5554-2019   </w:t>
      </w:r>
      <w:r>
        <w:rPr>
          <w:rFonts w:hint="eastAsia" w:asciiTheme="minorEastAsia" w:hAnsiTheme="minorEastAsia" w:eastAsiaTheme="minorEastAsia"/>
          <w:sz w:val="24"/>
          <w:szCs w:val="24"/>
          <w:lang w:eastAsia="zh-CN"/>
        </w:rPr>
        <w:t>电力系统无功补偿及调压设计技术导则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1773-2017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电力系统电压和无功电力技术导则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5242-2010</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35kV～220kV变电站无功补偿装置设计技术规定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50227-2017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并联电容器的装置设计规范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836-2012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供电系统用户供电可靠性评价规程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837-2018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输变电设施可靠性评价规程（新）（新2020为评价规范）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793-2012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发电设备可靠性评价规程（新为793.1-2017）</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IEC-60909-2006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三相交流系统短路电流计算</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15544-2017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三相交流系统短路电流计算（新）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50064-2014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交流电气装置的过电压保护和绝缘混合设计规范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HG/T 20513-2014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仪表系统接地设计规范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50650-2011</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石油化工装置防雷设计规范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SH/T 3060-2013</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石油化工企业供电系统设计规范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SH/T 3038-2017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石油化工装置电力设计规范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14285-2016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继电保护和安全自动装置技术规程（新）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584-2017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3</w:t>
      </w:r>
      <w:r>
        <w:rPr>
          <w:rFonts w:hint="eastAsia" w:asciiTheme="minorEastAsia" w:hAnsiTheme="minorEastAsia" w:eastAsiaTheme="minorEastAsia" w:cstheme="minorHAnsi"/>
          <w:sz w:val="24"/>
          <w:szCs w:val="24"/>
          <w:lang w:eastAsia="zh-CN"/>
        </w:rPr>
        <w:t>~110kV电网继电保护装置运行整定条件</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559-2018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220kV~750kV电网继电保护装置运行整定规程（新）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29328-2018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重要电力用户供电电源及自备应急电源配置技术规范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684-2012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大型发电机变压器继电保护整定计算导则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1502-2016</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厂用电继电保护整定计算导则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5153-2014</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火力发电厂厂用电设计技术规定（新）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50059-2011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35~110kV变电所设计规范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52062-2008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电力装置的继电保护和自动装置设计规范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50217-2018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电力工程电缆设计规范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5222-2005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导体和电器选择设计技术规定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12325-2008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电能质量 供电电压偏差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12326-2008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电能质量 电压波动和闪变</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18481-2001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电能质量 暂时过电压和瞬态过电压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24337-2009</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电能质量 公用电网间谐波</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7409.1-2008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同步电机励磁系统系统</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843-2010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大型汽轮机发电机励磁系统技术条件</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"http://www.baidu.com/link?url=_q0cAiK9BwD3L5ASlfU3hYlfMCBzSJmtz9bt2L5lBEMxe5VUvxKVDWkdD8qWPiaOZoczHNxHZFNo2TN2d0syla" \t "https://www.baidu.com/_blank" </w:instrText>
      </w:r>
      <w:r>
        <w:fldChar w:fldCharType="separate"/>
      </w:r>
      <w:r>
        <w:rPr>
          <w:rFonts w:hint="eastAsia" w:asciiTheme="minorEastAsia" w:hAnsiTheme="minorEastAsia" w:eastAsiaTheme="minorEastAsia"/>
          <w:sz w:val="24"/>
          <w:szCs w:val="24"/>
          <w:lang w:eastAsia="zh-CN"/>
        </w:rPr>
        <w:t>GB/T 7064-2017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隐极同步发电机技术要求</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1167-2019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同步发电机励磁系统建模导则（代替DL/T 1167-2012）</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SH/T 3116-2017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炼油厂用电负荷设计计算方法</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"http://www.baidu.com/link?url=lRfF0g6XVhNmPXOgQw3ftBjIGnxwnFPk2eld_zQ47Sft5QWBZAT5W2Li-Fy90eWuBMpN4cJ1xlia8FpoqP_K9K&amp;wd=&amp;eqid=fbf2dde80000f92500000006602f603a" \t "https://www.baidu.com/_blank" </w:instrText>
      </w:r>
      <w:r>
        <w:fldChar w:fldCharType="separate"/>
      </w:r>
      <w:r>
        <w:rPr>
          <w:rFonts w:hint="eastAsia" w:asciiTheme="minorEastAsia" w:hAnsiTheme="minorEastAsia" w:eastAsiaTheme="minorEastAsia"/>
          <w:sz w:val="24"/>
          <w:szCs w:val="24"/>
          <w:lang w:eastAsia="zh-CN"/>
        </w:rPr>
        <w:t xml:space="preserve">DL/T 615-2013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高压交流断路器参数选用导则</w:t>
      </w:r>
      <w:r>
        <w:rPr>
          <w:rFonts w:hint="eastAsia" w:asciiTheme="minorEastAsia" w:hAnsiTheme="minorEastAsia" w:eastAsiaTheme="minorEastAsia"/>
          <w:sz w:val="24"/>
          <w:szCs w:val="24"/>
          <w:lang w:eastAsia="zh-CN"/>
        </w:rPr>
        <w:fldChar w:fldCharType="end"/>
      </w:r>
      <w:r>
        <w:rPr>
          <w:rFonts w:hint="eastAsia" w:asciiTheme="minorEastAsia" w:hAnsiTheme="minorEastAsia" w:eastAsiaTheme="minorEastAsia"/>
          <w:sz w:val="24"/>
          <w:szCs w:val="24"/>
          <w:lang w:eastAsia="zh-CN"/>
        </w:rPr>
        <w:t>（注：在本方案中，是针对开关在现电力系统容量校核）</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"http://www.baidu.com/link?url=SEZd9pVrivfgaiGJByPYgv-0HDutFxM2PZhEbcM8gRGD1EoISwVIP0rOUA_LiZjA3CdnnEFJZo-w20nfjrpcCnVkMdmfJMIVpnONC4vhWsy&amp;wd=&amp;eqid=d4fd561f0006b27e00000006602f62ed" \t "https://www.baidu.com/_blank" </w:instrText>
      </w:r>
      <w:r>
        <w:fldChar w:fldCharType="separate"/>
      </w:r>
      <w:r>
        <w:rPr>
          <w:rFonts w:hint="eastAsia" w:asciiTheme="minorEastAsia" w:hAnsiTheme="minorEastAsia" w:eastAsiaTheme="minorEastAsia"/>
          <w:sz w:val="24"/>
          <w:szCs w:val="24"/>
          <w:lang w:eastAsia="zh-CN"/>
        </w:rPr>
        <w:t xml:space="preserve">DL/T 5155-2016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220kV~1000kV变电站站用电设计技术规程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中国南方电网城市配电网技术导则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中国石化电力系统主网结构技术管理规则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中国石化电器设备及运行管理规定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电力系统：继电保护整定计算</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防止电力生产事故：二十五项重点要求</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国家电网有限公司十八项电网重大反事故措施（修订版）</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接地变压器及其容量计算方法（文献）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小电阻接地变压器整定计算（文献）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10/0.4kV变压器所接地需要更新观念（文献）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10kV配电网中性点小电阻接地系统变电所的设计（文献）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工业与民用配电设计手册（上下）第四版（中国电力出版社）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电力工程设计手册（一二次部分）（中国电力出版社）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电力系统设计手册（电力工业部电力二次侧设计院）</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电气传动自动化技术手册（机械或工业出版社）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石油石化企业电气设备及运行管理手册（化学工业出版社）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电线电缆手册（第二版）（机械工业出版社）</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技术指标</w:t>
      </w:r>
    </w:p>
    <w:p>
      <w:pPr>
        <w:ind w:firstLine="420"/>
        <w:rPr>
          <w:rFonts w:eastAsiaTheme="minorEastAsia"/>
          <w:sz w:val="24"/>
          <w:szCs w:val="24"/>
          <w:lang w:eastAsia="zh-CN"/>
        </w:rPr>
      </w:pPr>
      <w:r>
        <w:rPr>
          <w:rFonts w:hint="eastAsia" w:eastAsiaTheme="minorEastAsia" w:cstheme="minorBidi"/>
          <w:sz w:val="24"/>
          <w:szCs w:val="24"/>
          <w:lang w:eastAsia="zh-CN"/>
        </w:rPr>
        <w:t>(</w:t>
      </w:r>
      <w:r>
        <w:rPr>
          <w:rFonts w:eastAsiaTheme="minorEastAsia" w:cstheme="minorBidi"/>
          <w:sz w:val="24"/>
          <w:szCs w:val="24"/>
          <w:lang w:eastAsia="zh-CN"/>
        </w:rPr>
        <w:t>1)</w:t>
      </w:r>
      <w:r>
        <w:rPr>
          <w:rFonts w:hint="eastAsia" w:eastAsiaTheme="minorEastAsia"/>
          <w:sz w:val="24"/>
          <w:szCs w:val="24"/>
          <w:lang w:eastAsia="zh-CN"/>
        </w:rPr>
        <w:t>全厂电网安全稳定评估应出具评估报告，评估报告对每个评估点要具体明确变电所及设备间隔位置，通用性的问题应写明。</w:t>
      </w:r>
    </w:p>
    <w:p>
      <w:pPr>
        <w:ind w:firstLine="420"/>
        <w:rPr>
          <w:sz w:val="24"/>
          <w:szCs w:val="24"/>
          <w:lang w:eastAsia="zh-CN"/>
        </w:rPr>
      </w:pPr>
      <w:r>
        <w:rPr>
          <w:rFonts w:hint="eastAsia" w:eastAsiaTheme="minorEastAsia"/>
          <w:sz w:val="24"/>
          <w:szCs w:val="24"/>
          <w:lang w:eastAsia="zh-CN"/>
        </w:rPr>
        <w:t>(</w:t>
      </w:r>
      <w:r>
        <w:rPr>
          <w:rFonts w:eastAsiaTheme="minorEastAsia"/>
          <w:sz w:val="24"/>
          <w:szCs w:val="24"/>
          <w:lang w:eastAsia="zh-CN"/>
        </w:rPr>
        <w:t>2)</w:t>
      </w:r>
      <w:r>
        <w:rPr>
          <w:rFonts w:hint="eastAsia" w:eastAsiaTheme="minorEastAsia"/>
          <w:sz w:val="24"/>
          <w:szCs w:val="24"/>
          <w:lang w:eastAsia="zh-CN"/>
        </w:rPr>
        <w:t>全厂电网安全稳定评估报告的核心应包括隐患评估、评估结论、整改建</w:t>
      </w:r>
      <w:r>
        <w:rPr>
          <w:rFonts w:hint="eastAsia"/>
          <w:sz w:val="24"/>
          <w:szCs w:val="24"/>
          <w:lang w:eastAsia="zh-CN"/>
        </w:rPr>
        <w:t>议三部分。</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3)</w:t>
      </w:r>
      <w:r>
        <w:rPr>
          <w:rFonts w:hint="eastAsia" w:eastAsiaTheme="minorEastAsia"/>
          <w:sz w:val="24"/>
          <w:szCs w:val="24"/>
          <w:lang w:eastAsia="zh-CN"/>
        </w:rPr>
        <w:t>全厂继电保护校核范围涵盖220</w:t>
      </w:r>
      <w:r>
        <w:rPr>
          <w:rFonts w:eastAsiaTheme="minorEastAsia"/>
          <w:sz w:val="24"/>
          <w:szCs w:val="24"/>
          <w:lang w:eastAsia="zh-CN"/>
        </w:rPr>
        <w:t>kV</w:t>
      </w:r>
      <w:r>
        <w:rPr>
          <w:rFonts w:hint="eastAsia" w:eastAsiaTheme="minorEastAsia"/>
          <w:sz w:val="24"/>
          <w:szCs w:val="24"/>
          <w:lang w:eastAsia="zh-CN"/>
        </w:rPr>
        <w:t>到0.4</w:t>
      </w:r>
      <w:r>
        <w:rPr>
          <w:rFonts w:eastAsiaTheme="minorEastAsia"/>
          <w:sz w:val="24"/>
          <w:szCs w:val="24"/>
          <w:lang w:eastAsia="zh-CN"/>
        </w:rPr>
        <w:t>kV</w:t>
      </w:r>
      <w:r>
        <w:rPr>
          <w:rFonts w:hint="eastAsia" w:eastAsiaTheme="minorEastAsia"/>
          <w:sz w:val="24"/>
          <w:szCs w:val="24"/>
          <w:lang w:eastAsia="zh-CN"/>
        </w:rPr>
        <w:t>，其中0.4</w:t>
      </w:r>
      <w:r>
        <w:rPr>
          <w:rFonts w:eastAsiaTheme="minorEastAsia"/>
          <w:sz w:val="24"/>
          <w:szCs w:val="24"/>
          <w:lang w:eastAsia="zh-CN"/>
        </w:rPr>
        <w:t>kV</w:t>
      </w:r>
      <w:r>
        <w:rPr>
          <w:rFonts w:hint="eastAsia" w:eastAsiaTheme="minorEastAsia"/>
          <w:sz w:val="24"/>
          <w:szCs w:val="24"/>
          <w:lang w:eastAsia="zh-CN"/>
        </w:rPr>
        <w:t>具体到进线和分段，以及高、低压电动机。应对继电保护方案的可靠性、选择性、灵敏性、速动性进行全面建模、计算校核。对主网系统（到各电压等级的进线与母分）、发变组、线路变压器组供电的大容量电动机以及高、低压电动机的继电保护运行定值进行计算、校核，并提供和修订全厂电气设备的保护定值计算书和整定值。</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4)</w:t>
      </w:r>
      <w:r>
        <w:rPr>
          <w:rFonts w:hint="eastAsia" w:eastAsiaTheme="minorEastAsia"/>
          <w:sz w:val="24"/>
          <w:szCs w:val="24"/>
          <w:lang w:eastAsia="zh-CN"/>
        </w:rPr>
        <w:t>通过系统仿真分析，校核福海创全厂当前各运行方式下系统的潮流分布以及为企业今后电力系统的发展、规划提供理论依据：</w:t>
      </w:r>
    </w:p>
    <w:p>
      <w:pPr>
        <w:ind w:firstLine="420"/>
        <w:rPr>
          <w:rFonts w:eastAsiaTheme="minorEastAsia"/>
          <w:sz w:val="24"/>
          <w:szCs w:val="24"/>
          <w:lang w:eastAsia="zh-CN"/>
        </w:rPr>
      </w:pPr>
      <w:r>
        <w:rPr>
          <w:rFonts w:eastAsiaTheme="minorEastAsia"/>
          <w:sz w:val="24"/>
          <w:szCs w:val="24"/>
          <w:lang w:eastAsia="zh-CN"/>
        </w:rPr>
        <w:t>a)</w:t>
      </w:r>
      <w:r>
        <w:rPr>
          <w:rFonts w:hint="eastAsia" w:eastAsiaTheme="minorEastAsia"/>
          <w:sz w:val="24"/>
          <w:szCs w:val="24"/>
          <w:lang w:eastAsia="zh-CN"/>
        </w:rPr>
        <w:t>系统内无功电源（无功补偿、发电机、同步电机等）分布与相关节点母线电压；</w:t>
      </w:r>
    </w:p>
    <w:p>
      <w:pPr>
        <w:ind w:firstLine="420"/>
        <w:rPr>
          <w:rFonts w:eastAsiaTheme="minorEastAsia"/>
          <w:sz w:val="24"/>
          <w:szCs w:val="24"/>
          <w:lang w:eastAsia="zh-CN"/>
        </w:rPr>
      </w:pPr>
      <w:r>
        <w:rPr>
          <w:rFonts w:hint="eastAsia" w:eastAsiaTheme="minorEastAsia"/>
          <w:sz w:val="24"/>
          <w:szCs w:val="24"/>
          <w:lang w:eastAsia="zh-CN"/>
        </w:rPr>
        <w:t>b</w:t>
      </w:r>
      <w:r>
        <w:rPr>
          <w:rFonts w:eastAsiaTheme="minorEastAsia"/>
          <w:sz w:val="24"/>
          <w:szCs w:val="24"/>
          <w:lang w:eastAsia="zh-CN"/>
        </w:rPr>
        <w:t>)</w:t>
      </w:r>
      <w:r>
        <w:rPr>
          <w:rFonts w:hint="eastAsia" w:eastAsiaTheme="minorEastAsia"/>
          <w:sz w:val="24"/>
          <w:szCs w:val="24"/>
          <w:lang w:eastAsia="zh-CN"/>
        </w:rPr>
        <w:t>系统无功平衡、相关母线电压和变压器调压是否合理（调压手段应用）；</w:t>
      </w:r>
    </w:p>
    <w:p>
      <w:pPr>
        <w:ind w:firstLine="420"/>
        <w:rPr>
          <w:rFonts w:eastAsiaTheme="minorEastAsia"/>
          <w:sz w:val="24"/>
          <w:szCs w:val="24"/>
          <w:lang w:eastAsia="zh-CN"/>
        </w:rPr>
      </w:pPr>
      <w:r>
        <w:rPr>
          <w:rFonts w:hint="eastAsia" w:eastAsiaTheme="minorEastAsia"/>
          <w:sz w:val="24"/>
          <w:szCs w:val="24"/>
          <w:lang w:eastAsia="zh-CN"/>
        </w:rPr>
        <w:t>c</w:t>
      </w:r>
      <w:r>
        <w:rPr>
          <w:rFonts w:eastAsiaTheme="minorEastAsia"/>
          <w:sz w:val="24"/>
          <w:szCs w:val="24"/>
          <w:lang w:eastAsia="zh-CN"/>
        </w:rPr>
        <w:t>)</w:t>
      </w:r>
      <w:r>
        <w:rPr>
          <w:rFonts w:hint="eastAsia" w:eastAsiaTheme="minorEastAsia"/>
          <w:sz w:val="24"/>
          <w:szCs w:val="24"/>
          <w:lang w:eastAsia="zh-CN"/>
        </w:rPr>
        <w:t>对潮流再分布，计算系统内总线路损耗（网损）是否合理，经济性是否最优；</w:t>
      </w:r>
    </w:p>
    <w:p>
      <w:pPr>
        <w:ind w:firstLine="420"/>
        <w:rPr>
          <w:rFonts w:eastAsiaTheme="minorEastAsia"/>
          <w:sz w:val="24"/>
          <w:szCs w:val="24"/>
          <w:lang w:eastAsia="zh-CN"/>
        </w:rPr>
      </w:pPr>
      <w:r>
        <w:rPr>
          <w:rFonts w:hint="eastAsia" w:eastAsiaTheme="minorEastAsia"/>
          <w:sz w:val="24"/>
          <w:szCs w:val="24"/>
          <w:lang w:eastAsia="zh-CN"/>
        </w:rPr>
        <w:t>d</w:t>
      </w:r>
      <w:r>
        <w:rPr>
          <w:rFonts w:eastAsiaTheme="minorEastAsia"/>
          <w:sz w:val="24"/>
          <w:szCs w:val="24"/>
          <w:lang w:eastAsia="zh-CN"/>
        </w:rPr>
        <w:t>)</w:t>
      </w:r>
      <w:r>
        <w:rPr>
          <w:rFonts w:hint="eastAsia" w:eastAsiaTheme="minorEastAsia"/>
          <w:sz w:val="24"/>
          <w:szCs w:val="24"/>
          <w:lang w:eastAsia="zh-CN"/>
        </w:rPr>
        <w:t>在网界段（地区电网管辖），电网供电公司如果考核用户功率因数（一般不低于</w:t>
      </w:r>
      <w:r>
        <w:rPr>
          <w:rFonts w:eastAsiaTheme="minorEastAsia"/>
          <w:sz w:val="24"/>
          <w:szCs w:val="24"/>
          <w:lang w:eastAsia="zh-CN"/>
        </w:rPr>
        <w:t>0.92</w:t>
      </w:r>
      <w:r>
        <w:rPr>
          <w:rFonts w:hint="eastAsia" w:eastAsiaTheme="minorEastAsia"/>
          <w:sz w:val="24"/>
          <w:szCs w:val="24"/>
          <w:lang w:eastAsia="zh-CN"/>
        </w:rPr>
        <w:t>～0</w:t>
      </w:r>
      <w:r>
        <w:rPr>
          <w:rFonts w:eastAsiaTheme="minorEastAsia"/>
          <w:sz w:val="24"/>
          <w:szCs w:val="24"/>
          <w:lang w:eastAsia="zh-CN"/>
        </w:rPr>
        <w:t>.95</w:t>
      </w:r>
      <w:r>
        <w:rPr>
          <w:rFonts w:hint="eastAsia" w:eastAsiaTheme="minorEastAsia"/>
          <w:sz w:val="24"/>
          <w:szCs w:val="24"/>
          <w:lang w:eastAsia="zh-CN"/>
        </w:rPr>
        <w:t>）。经分析计算应向用户，提供合理的使用、分配、调动系统内部无功源或增设补偿设备的参考建议，使无功潮流优化，节约力率成本；</w:t>
      </w:r>
    </w:p>
    <w:p>
      <w:pPr>
        <w:ind w:firstLine="420"/>
        <w:rPr>
          <w:rFonts w:eastAsiaTheme="minorEastAsia"/>
          <w:sz w:val="24"/>
          <w:szCs w:val="24"/>
          <w:lang w:eastAsia="zh-CN"/>
        </w:rPr>
      </w:pPr>
      <w:r>
        <w:rPr>
          <w:rFonts w:hint="eastAsia" w:eastAsiaTheme="minorEastAsia"/>
          <w:sz w:val="24"/>
          <w:szCs w:val="24"/>
          <w:lang w:eastAsia="zh-CN"/>
        </w:rPr>
        <w:t>e</w:t>
      </w:r>
      <w:r>
        <w:rPr>
          <w:rFonts w:eastAsiaTheme="minorEastAsia"/>
          <w:sz w:val="24"/>
          <w:szCs w:val="24"/>
          <w:lang w:eastAsia="zh-CN"/>
        </w:rPr>
        <w:t>)</w:t>
      </w:r>
      <w:r>
        <w:rPr>
          <w:rFonts w:hint="eastAsia" w:eastAsiaTheme="minorEastAsia"/>
          <w:sz w:val="24"/>
          <w:szCs w:val="24"/>
          <w:lang w:eastAsia="zh-CN"/>
        </w:rPr>
        <w:t>对电力系统内发、输、配、用电的有功潮流分布，本着电气距离最短，电压合格的原则。使发电机有功输出经济、合理，最大限度地降低企业发电成本。分析如果从电网输入有功，应分时段。充分利用好电网公司高、低、平谷电价差政策，使得有功潮流经济、企业产品用电成本低。</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5)</w:t>
      </w:r>
      <w:r>
        <w:rPr>
          <w:rFonts w:hint="eastAsia" w:eastAsiaTheme="minorEastAsia"/>
          <w:sz w:val="24"/>
          <w:szCs w:val="24"/>
          <w:lang w:eastAsia="zh-CN"/>
        </w:rPr>
        <w:t>通过仿真分析，建立全厂短路分布图，包括短路电流与母线电压，以及电流电压的各序分量的分布；开展对开关、导体进行动、热稳定校核。设定重要节点、母线，在相间、单相短路发生与故障被隔离前，等电气距离范围内，电压下降（或百分数）及持续时间（毫秒或秒）。为等电气距离范围内的电压敏感用电设备（如：变频器、整流器、UPS、EPS、仪表电源等）抗晃电的决策制定，提供理论依据。</w:t>
      </w:r>
    </w:p>
    <w:p>
      <w:pPr>
        <w:ind w:firstLine="480" w:firstLineChars="20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全厂电气系统稳定性分析，研究企业电网在各种内部和外部的故障下的暂态稳定性，包括电压稳定与功角稳定；校核系统振荡的可能先导条件；选取典型的6kV、10kV、3</w:t>
      </w:r>
      <w:r>
        <w:rPr>
          <w:sz w:val="24"/>
          <w:szCs w:val="24"/>
          <w:lang w:eastAsia="zh-CN"/>
        </w:rPr>
        <w:t>5kV</w:t>
      </w:r>
      <w:r>
        <w:rPr>
          <w:rFonts w:hint="eastAsia"/>
          <w:sz w:val="24"/>
          <w:szCs w:val="24"/>
          <w:lang w:eastAsia="zh-CN"/>
        </w:rPr>
        <w:t>变电所，计算在不同短路时间窗内，母线快切装置动作情况；校核和优化系统安全稳定性配置方案，为系统操作和运行方式调整提供支撑。</w:t>
      </w:r>
    </w:p>
    <w:p>
      <w:pPr>
        <w:ind w:firstLine="480" w:firstLineChars="200"/>
        <w:rPr>
          <w:sz w:val="24"/>
          <w:szCs w:val="24"/>
          <w:lang w:eastAsia="zh-CN"/>
        </w:rPr>
      </w:pPr>
      <w:r>
        <w:rPr>
          <w:rFonts w:hint="eastAsia"/>
          <w:sz w:val="24"/>
          <w:szCs w:val="24"/>
          <w:lang w:eastAsia="zh-CN"/>
        </w:rPr>
        <w:t>(7</w:t>
      </w:r>
      <w:r>
        <w:rPr>
          <w:sz w:val="24"/>
          <w:szCs w:val="24"/>
          <w:lang w:eastAsia="zh-CN"/>
        </w:rPr>
        <w:t>)</w:t>
      </w:r>
      <w:r>
        <w:rPr>
          <w:rFonts w:hint="eastAsia"/>
          <w:sz w:val="24"/>
          <w:szCs w:val="24"/>
          <w:lang w:eastAsia="zh-CN"/>
        </w:rPr>
        <w:t>大型电动机（电机群自起）起动分析。对电动机起动方式和起动设备进行计算，全面评估电动机起动的效果和对电网的影响。研究各工艺装置变电所内中压电机的起动，分别计算变电所内两段中压母线各自所接最大一台电机在最恶劣情况下起动过程中对本母线段及下一级母线段的电压水平影响情况。对同步电动机起动、运行方式的合理性计算，给出优化潮流的运行建议。通过起动分析，校核系统或线路变压器电动机组的保护定值。</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报告交付</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4263"/>
        <w:gridCol w:w="153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序号</w:t>
            </w:r>
          </w:p>
        </w:tc>
        <w:tc>
          <w:tcPr>
            <w:tcW w:w="4144"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交付内容</w:t>
            </w:r>
          </w:p>
        </w:tc>
        <w:tc>
          <w:tcPr>
            <w:tcW w:w="1489"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版式</w:t>
            </w:r>
          </w:p>
        </w:tc>
        <w:tc>
          <w:tcPr>
            <w:tcW w:w="1553"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全厂电力系统安全稳定评估报告</w:t>
            </w:r>
          </w:p>
        </w:tc>
        <w:tc>
          <w:tcPr>
            <w:tcW w:w="1489" w:type="dxa"/>
            <w:vMerge w:val="restart"/>
            <w:tcBorders>
              <w:top w:val="single" w:color="auto" w:sz="4" w:space="0"/>
              <w:left w:val="nil"/>
              <w:right w:val="single" w:color="auto" w:sz="4" w:space="0"/>
            </w:tcBorders>
            <w:vAlign w:val="center"/>
          </w:tcPr>
          <w:p>
            <w:pPr>
              <w:jc w:val="center"/>
            </w:pPr>
            <w:r>
              <w:rPr>
                <w:rFonts w:hint="eastAsia"/>
              </w:rPr>
              <w:t>电子（光盘）/纸质</w:t>
            </w: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全厂电力系统仿真分析报告</w:t>
            </w:r>
          </w:p>
        </w:tc>
        <w:tc>
          <w:tcPr>
            <w:tcW w:w="1489" w:type="dxa"/>
            <w:vMerge w:val="continue"/>
            <w:tcBorders>
              <w:left w:val="nil"/>
              <w:right w:val="single" w:color="auto" w:sz="4" w:space="0"/>
            </w:tcBorders>
            <w:vAlign w:val="center"/>
          </w:tcPr>
          <w:p>
            <w:pPr>
              <w:jc w:val="center"/>
              <w:rPr>
                <w:lang w:eastAsia="zh-CN"/>
              </w:rPr>
            </w:pP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继电保护校核分析报告</w:t>
            </w:r>
          </w:p>
        </w:tc>
        <w:tc>
          <w:tcPr>
            <w:tcW w:w="1489" w:type="dxa"/>
            <w:vMerge w:val="continue"/>
            <w:tcBorders>
              <w:left w:val="nil"/>
              <w:bottom w:val="single" w:color="auto" w:sz="4" w:space="0"/>
              <w:right w:val="single" w:color="auto" w:sz="4" w:space="0"/>
            </w:tcBorders>
            <w:vAlign w:val="center"/>
          </w:tcPr>
          <w:p>
            <w:pPr>
              <w:jc w:val="center"/>
              <w:rPr>
                <w:lang w:eastAsia="zh-CN"/>
              </w:rPr>
            </w:pP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bl>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双方责任</w:t>
      </w:r>
    </w:p>
    <w:p>
      <w:pPr>
        <w:pStyle w:val="4"/>
        <w:spacing w:line="480" w:lineRule="auto"/>
      </w:pPr>
      <w:r>
        <w:rPr>
          <w:rFonts w:hint="eastAsia"/>
        </w:rPr>
        <w:t>4.1发包方责任</w:t>
      </w:r>
    </w:p>
    <w:p>
      <w:pPr>
        <w:ind w:firstLine="420"/>
        <w:rPr>
          <w:sz w:val="24"/>
          <w:szCs w:val="24"/>
          <w:lang w:eastAsia="zh-CN"/>
        </w:rPr>
      </w:pPr>
      <w:r>
        <w:rPr>
          <w:sz w:val="24"/>
          <w:szCs w:val="24"/>
          <w:lang w:eastAsia="zh-CN"/>
        </w:rPr>
        <w:t>(1)</w:t>
      </w:r>
      <w:r>
        <w:rPr>
          <w:rFonts w:hint="eastAsia"/>
          <w:sz w:val="24"/>
          <w:szCs w:val="24"/>
          <w:lang w:eastAsia="zh-CN"/>
        </w:rPr>
        <w:t>按照承包方的项目进度分阶段及时向承包方提供相关技术资料。</w:t>
      </w:r>
    </w:p>
    <w:p>
      <w:pPr>
        <w:ind w:firstLine="420"/>
        <w:rPr>
          <w:sz w:val="24"/>
          <w:szCs w:val="24"/>
          <w:lang w:eastAsia="zh-CN"/>
        </w:rPr>
      </w:pPr>
      <w:r>
        <w:rPr>
          <w:sz w:val="24"/>
          <w:szCs w:val="24"/>
          <w:lang w:eastAsia="zh-CN"/>
        </w:rPr>
        <w:t>(2)</w:t>
      </w:r>
      <w:r>
        <w:rPr>
          <w:rFonts w:hint="eastAsia"/>
          <w:sz w:val="24"/>
          <w:szCs w:val="24"/>
          <w:lang w:eastAsia="zh-CN"/>
        </w:rPr>
        <w:t>配合承包方现场工作。</w:t>
      </w:r>
    </w:p>
    <w:p>
      <w:pPr>
        <w:ind w:firstLine="420"/>
        <w:rPr>
          <w:sz w:val="24"/>
          <w:szCs w:val="24"/>
          <w:lang w:eastAsia="zh-CN"/>
        </w:rPr>
      </w:pPr>
      <w:r>
        <w:rPr>
          <w:sz w:val="24"/>
          <w:szCs w:val="24"/>
          <w:lang w:eastAsia="zh-CN"/>
        </w:rPr>
        <w:t>(3)</w:t>
      </w:r>
      <w:r>
        <w:rPr>
          <w:rFonts w:hint="eastAsia"/>
          <w:sz w:val="24"/>
          <w:szCs w:val="24"/>
          <w:lang w:eastAsia="zh-CN"/>
        </w:rPr>
        <w:t>双方应及时就本次技术服务的有关工作情况进行沟通。</w:t>
      </w:r>
    </w:p>
    <w:p>
      <w:pPr>
        <w:ind w:firstLine="420"/>
        <w:rPr>
          <w:sz w:val="24"/>
          <w:szCs w:val="24"/>
          <w:lang w:eastAsia="zh-CN"/>
        </w:rPr>
      </w:pPr>
      <w:r>
        <w:rPr>
          <w:sz w:val="24"/>
          <w:szCs w:val="24"/>
          <w:lang w:eastAsia="zh-CN"/>
        </w:rPr>
        <w:t>(4)</w:t>
      </w:r>
      <w:r>
        <w:rPr>
          <w:rFonts w:hint="eastAsia"/>
          <w:sz w:val="24"/>
          <w:szCs w:val="24"/>
          <w:lang w:eastAsia="zh-CN"/>
        </w:rPr>
        <w:t>双方分别完成本合同各自工作范围内所有责任及相关工作。</w:t>
      </w:r>
    </w:p>
    <w:p>
      <w:pPr>
        <w:ind w:firstLine="420"/>
        <w:rPr>
          <w:sz w:val="24"/>
          <w:szCs w:val="24"/>
          <w:lang w:eastAsia="zh-CN"/>
        </w:rPr>
      </w:pPr>
      <w:r>
        <w:rPr>
          <w:sz w:val="24"/>
          <w:szCs w:val="24"/>
          <w:lang w:eastAsia="zh-CN"/>
        </w:rPr>
        <w:t>(5)</w:t>
      </w:r>
      <w:r>
        <w:rPr>
          <w:rFonts w:hint="eastAsia"/>
          <w:sz w:val="24"/>
          <w:szCs w:val="24"/>
          <w:lang w:eastAsia="zh-CN"/>
        </w:rPr>
        <w:t>应按合同约定时间向承包方支付技术服务费用。</w:t>
      </w:r>
    </w:p>
    <w:p>
      <w:pPr>
        <w:pStyle w:val="4"/>
        <w:spacing w:line="480" w:lineRule="auto"/>
        <w:rPr>
          <w:lang w:eastAsia="zh-CN"/>
        </w:rPr>
      </w:pPr>
      <w:r>
        <w:rPr>
          <w:rFonts w:hint="eastAsia"/>
          <w:lang w:eastAsia="zh-CN"/>
        </w:rPr>
        <w:t>4.2承包方责任</w:t>
      </w:r>
    </w:p>
    <w:p>
      <w:pPr>
        <w:ind w:firstLine="420"/>
        <w:rPr>
          <w:sz w:val="24"/>
          <w:szCs w:val="24"/>
          <w:lang w:eastAsia="zh-CN"/>
        </w:rPr>
      </w:pPr>
      <w:r>
        <w:rPr>
          <w:sz w:val="24"/>
          <w:szCs w:val="24"/>
          <w:lang w:eastAsia="zh-CN"/>
        </w:rPr>
        <w:t>(1)</w:t>
      </w:r>
      <w:r>
        <w:rPr>
          <w:rFonts w:hint="eastAsia"/>
          <w:sz w:val="24"/>
          <w:szCs w:val="24"/>
          <w:lang w:eastAsia="zh-CN"/>
        </w:rPr>
        <w:t>应以全面、及时的方式履行本协议定义的所有工作。</w:t>
      </w:r>
    </w:p>
    <w:p>
      <w:pPr>
        <w:ind w:firstLine="420"/>
        <w:rPr>
          <w:sz w:val="24"/>
          <w:szCs w:val="24"/>
          <w:lang w:eastAsia="zh-CN"/>
        </w:rPr>
      </w:pPr>
      <w:r>
        <w:rPr>
          <w:sz w:val="24"/>
          <w:szCs w:val="24"/>
          <w:lang w:eastAsia="zh-CN"/>
        </w:rPr>
        <w:t>(2)</w:t>
      </w:r>
      <w:r>
        <w:rPr>
          <w:rFonts w:hint="eastAsia"/>
          <w:sz w:val="24"/>
          <w:szCs w:val="24"/>
          <w:lang w:eastAsia="zh-CN"/>
        </w:rPr>
        <w:t>配备足够的人力物力，以合适的工作方式和安排确保合同按时执行。</w:t>
      </w:r>
    </w:p>
    <w:p>
      <w:pPr>
        <w:ind w:firstLine="420"/>
        <w:rPr>
          <w:sz w:val="24"/>
          <w:szCs w:val="24"/>
          <w:lang w:eastAsia="zh-CN"/>
        </w:rPr>
      </w:pPr>
      <w:r>
        <w:rPr>
          <w:sz w:val="24"/>
          <w:szCs w:val="24"/>
          <w:lang w:eastAsia="zh-CN"/>
        </w:rPr>
        <w:t>(3)</w:t>
      </w:r>
      <w:r>
        <w:rPr>
          <w:rFonts w:hint="eastAsia"/>
          <w:sz w:val="24"/>
          <w:szCs w:val="24"/>
          <w:lang w:eastAsia="zh-CN"/>
        </w:rPr>
        <w:t>双方定期沟通工作进展情况，相互协助以便技术服务工作顺利完成。</w:t>
      </w:r>
    </w:p>
    <w:p>
      <w:pPr>
        <w:ind w:firstLine="420"/>
        <w:rPr>
          <w:sz w:val="24"/>
          <w:szCs w:val="24"/>
          <w:lang w:eastAsia="zh-CN"/>
        </w:rPr>
      </w:pPr>
      <w:r>
        <w:rPr>
          <w:sz w:val="24"/>
          <w:szCs w:val="24"/>
          <w:lang w:eastAsia="zh-CN"/>
        </w:rPr>
        <w:t>(4)</w:t>
      </w:r>
      <w:r>
        <w:rPr>
          <w:rFonts w:hint="eastAsia"/>
          <w:sz w:val="24"/>
          <w:szCs w:val="24"/>
          <w:lang w:eastAsia="zh-CN"/>
        </w:rPr>
        <w:t>按合同规定的内容、时间等要求向发包方交付相应的证明和报告文件，并对范围内的技术服务质量负责。</w:t>
      </w:r>
    </w:p>
    <w:p>
      <w:pPr>
        <w:pStyle w:val="4"/>
        <w:spacing w:line="480" w:lineRule="auto"/>
        <w:rPr>
          <w:lang w:eastAsia="zh-CN"/>
        </w:rPr>
      </w:pPr>
      <w:r>
        <w:rPr>
          <w:rFonts w:hint="eastAsia"/>
          <w:lang w:eastAsia="zh-CN"/>
        </w:rPr>
        <w:t>4.3现场HSE管理</w:t>
      </w:r>
    </w:p>
    <w:p>
      <w:pPr>
        <w:ind w:firstLine="420"/>
        <w:rPr>
          <w:sz w:val="24"/>
          <w:szCs w:val="24"/>
          <w:lang w:eastAsia="zh-CN"/>
        </w:rPr>
      </w:pPr>
      <w:r>
        <w:rPr>
          <w:rFonts w:hint="eastAsia"/>
          <w:sz w:val="24"/>
          <w:szCs w:val="24"/>
          <w:lang w:eastAsia="zh-CN"/>
        </w:rPr>
        <w:t>发包方与承包方必须严格执行相关规程规定，任何人不得违章作业和指挥。承包方进入现场前，应接受发包方的入厂教育和人员的资历核实。并把工作班成员名单及资历申报发包方核准。承包方要严格执行发包方的规章制度，对于违章违纪人员，发包方有权视情节停止其工做直至离厂。发包方必须按规程规定做好承包方进入现场工作前的各项安全组织和技术措施，确保承包方作业安全。</w:t>
      </w:r>
    </w:p>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质量检验及验收</w:t>
      </w:r>
    </w:p>
    <w:p>
      <w:pPr>
        <w:ind w:firstLine="420"/>
        <w:rPr>
          <w:sz w:val="24"/>
          <w:szCs w:val="24"/>
          <w:lang w:eastAsia="zh-CN"/>
        </w:rPr>
      </w:pPr>
      <w:r>
        <w:rPr>
          <w:rFonts w:hint="eastAsia"/>
          <w:sz w:val="24"/>
          <w:szCs w:val="24"/>
          <w:lang w:eastAsia="zh-CN"/>
        </w:rPr>
        <w:t>承包方在工程结束后应按第3节的定义提供给发包方相应的报告，满足发包方的技术要求和验收标准，经双方确认后，视为验收合格。</w:t>
      </w:r>
    </w:p>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其他</w:t>
      </w:r>
    </w:p>
    <w:p>
      <w:pPr>
        <w:ind w:firstLine="420"/>
        <w:rPr>
          <w:sz w:val="24"/>
          <w:szCs w:val="24"/>
          <w:lang w:eastAsia="zh-CN"/>
        </w:rPr>
      </w:pPr>
      <w:r>
        <w:rPr>
          <w:sz w:val="24"/>
          <w:szCs w:val="24"/>
          <w:lang w:eastAsia="zh-CN"/>
        </w:rPr>
        <w:t>(1)</w:t>
      </w:r>
      <w:r>
        <w:rPr>
          <w:rFonts w:hint="eastAsia"/>
          <w:sz w:val="24"/>
          <w:szCs w:val="24"/>
          <w:lang w:eastAsia="zh-CN"/>
        </w:rPr>
        <w:t>其他未尽事宜由双方协商定。</w:t>
      </w:r>
    </w:p>
    <w:p>
      <w:pPr>
        <w:ind w:firstLine="420"/>
        <w:rPr>
          <w:sz w:val="24"/>
          <w:szCs w:val="24"/>
          <w:lang w:eastAsia="zh-CN"/>
        </w:rPr>
      </w:pPr>
      <w:r>
        <w:rPr>
          <w:sz w:val="24"/>
          <w:szCs w:val="24"/>
          <w:lang w:eastAsia="zh-CN"/>
        </w:rPr>
        <w:t>(2)</w:t>
      </w:r>
      <w:r>
        <w:rPr>
          <w:rFonts w:hint="eastAsia"/>
          <w:sz w:val="24"/>
          <w:szCs w:val="24"/>
          <w:lang w:eastAsia="zh-CN"/>
        </w:rPr>
        <w:t>本技术协议作为合同的附件，随合同一并生效，具有同等效力。</w:t>
      </w:r>
    </w:p>
    <w:p>
      <w:pPr>
        <w:ind w:firstLine="42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本协议一式两份，由双方共同签署。</w:t>
      </w:r>
    </w:p>
    <w:p>
      <w:pPr>
        <w:rPr>
          <w:sz w:val="24"/>
          <w:szCs w:val="24"/>
        </w:rPr>
      </w:pPr>
      <w:r>
        <w:rPr>
          <w:rFonts w:hint="eastAsia"/>
          <w:sz w:val="24"/>
          <w:szCs w:val="24"/>
        </w:rPr>
        <w:t>7.附件：</w:t>
      </w:r>
    </w:p>
    <w:p>
      <w:pPr>
        <w:pStyle w:val="25"/>
        <w:numPr>
          <w:ilvl w:val="0"/>
          <w:numId w:val="7"/>
        </w:numPr>
        <w:autoSpaceDE/>
        <w:autoSpaceDN/>
        <w:spacing w:before="0"/>
        <w:jc w:val="both"/>
        <w:rPr>
          <w:sz w:val="24"/>
          <w:szCs w:val="24"/>
        </w:rPr>
      </w:pPr>
      <w:r>
        <w:rPr>
          <w:rFonts w:hint="eastAsia"/>
          <w:sz w:val="24"/>
          <w:szCs w:val="24"/>
        </w:rPr>
        <w:t>全厂电气一次主接线图</w:t>
      </w:r>
    </w:p>
    <w:p>
      <w:pPr>
        <w:pStyle w:val="25"/>
        <w:numPr>
          <w:ilvl w:val="0"/>
          <w:numId w:val="7"/>
        </w:numPr>
        <w:autoSpaceDE/>
        <w:autoSpaceDN/>
        <w:spacing w:before="0"/>
        <w:jc w:val="both"/>
        <w:rPr>
          <w:sz w:val="24"/>
          <w:szCs w:val="24"/>
        </w:rPr>
      </w:pPr>
      <w:r>
        <w:rPr>
          <w:rFonts w:hint="eastAsia"/>
          <w:sz w:val="24"/>
          <w:szCs w:val="24"/>
        </w:rPr>
        <w:t>全厂总平图</w:t>
      </w:r>
    </w:p>
    <w:p>
      <w:pPr>
        <w:rPr>
          <w:sz w:val="24"/>
          <w:szCs w:val="24"/>
        </w:rPr>
      </w:pPr>
    </w:p>
    <w:p>
      <w:pPr>
        <w:pStyle w:val="2"/>
        <w:rPr>
          <w:b/>
          <w:bCs/>
          <w:sz w:val="28"/>
          <w:szCs w:val="28"/>
        </w:rPr>
      </w:pPr>
    </w:p>
    <w:p>
      <w:pPr>
        <w:pStyle w:val="2"/>
        <w:rPr>
          <w:b/>
          <w:bCs/>
          <w:sz w:val="28"/>
          <w:szCs w:val="28"/>
        </w:rPr>
      </w:pPr>
      <w:r>
        <w:rPr>
          <w:rFonts w:hint="eastAsia"/>
          <w:b/>
          <w:bCs/>
          <w:sz w:val="28"/>
          <w:szCs w:val="28"/>
        </w:rPr>
        <w:t>附件二参选文件范本</w:t>
      </w:r>
    </w:p>
    <w:p>
      <w:pPr>
        <w:pStyle w:val="10"/>
        <w:jc w:val="center"/>
        <w:rPr>
          <w:rFonts w:ascii="Times New Roman" w:hAnsi="Times New Roman"/>
          <w:b/>
          <w:sz w:val="52"/>
          <w:szCs w:val="52"/>
          <w:lang w:eastAsia="zh-CN"/>
        </w:rPr>
      </w:pPr>
    </w:p>
    <w:p>
      <w:pPr>
        <w:pStyle w:val="10"/>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 xml:space="preserve"> </w:t>
      </w:r>
      <w:r>
        <w:rPr>
          <w:rFonts w:ascii="方正小标宋简体" w:hAnsi="方正小标宋简体" w:eastAsia="方正小标宋简体" w:cs="方正小标宋简体"/>
          <w:b/>
          <w:sz w:val="44"/>
          <w:szCs w:val="44"/>
          <w:lang w:eastAsia="zh-CN"/>
        </w:rPr>
        <w:t xml:space="preserve"> </w:t>
      </w:r>
      <w:r>
        <w:rPr>
          <w:rFonts w:hint="eastAsia" w:ascii="方正小标宋简体" w:hAnsi="方正小标宋简体" w:eastAsia="方正小标宋简体" w:cs="方正小标宋简体"/>
          <w:b/>
          <w:sz w:val="44"/>
          <w:szCs w:val="44"/>
          <w:lang w:eastAsia="zh-CN"/>
        </w:rPr>
        <w:t>全厂电力系统安全稳定评估项目</w:t>
      </w:r>
    </w:p>
    <w:p>
      <w:pPr>
        <w:spacing w:before="38"/>
        <w:ind w:left="172"/>
        <w:jc w:val="center"/>
        <w:rPr>
          <w:rFonts w:ascii="微软雅黑" w:eastAsia="微软雅黑"/>
          <w:b/>
          <w:sz w:val="52"/>
          <w:lang w:eastAsia="zh-CN"/>
        </w:rPr>
      </w:pP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6"/>
          <w:lang w:eastAsia="zh-CN"/>
        </w:rPr>
      </w:pPr>
    </w:p>
    <w:p>
      <w:pPr>
        <w:pStyle w:val="10"/>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p>
    <w:p>
      <w:pPr>
        <w:pStyle w:val="10"/>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 </w:t>
      </w:r>
      <w:r>
        <w:rPr>
          <w:rFonts w:ascii="Times New Roman" w:hAnsi="Times New Roman"/>
          <w:b/>
          <w:bCs/>
          <w:w w:val="95"/>
          <w:sz w:val="32"/>
          <w:lang w:eastAsia="zh-CN"/>
        </w:rPr>
        <w:t>年</w:t>
      </w:r>
      <w:r>
        <w:rPr>
          <w:rFonts w:hint="eastAsia" w:ascii="Times New Roman" w:hAnsi="Times New Roman"/>
          <w:b/>
          <w:bCs/>
          <w:w w:val="95"/>
          <w:sz w:val="32"/>
          <w:lang w:eastAsia="zh-CN"/>
        </w:rPr>
        <w:t>06</w:t>
      </w:r>
      <w:r>
        <w:rPr>
          <w:rFonts w:ascii="Times New Roman" w:hAnsi="Times New Roman"/>
          <w:b/>
          <w:bCs/>
          <w:w w:val="95"/>
          <w:sz w:val="32"/>
          <w:lang w:eastAsia="zh-CN"/>
        </w:rPr>
        <w:t>月</w:t>
      </w:r>
    </w:p>
    <w:p>
      <w:pPr>
        <w:rPr>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pP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 w:val="24"/>
          <w:szCs w:val="24"/>
          <w:lang w:eastAsia="zh-CN"/>
        </w:rPr>
      </w:pPr>
      <w:r>
        <w:rPr>
          <w:rFonts w:ascii="Calibri"/>
          <w:sz w:val="24"/>
          <w:szCs w:val="24"/>
        </w:rPr>
        <w:pict>
          <v:shape id="_x0000_s1026" o:spid="_x0000_s1026" o:spt="202" type="#_x0000_t202" style="position:absolute;left:0pt;margin-left:5.25pt;margin-top:0.5pt;height:119.1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7"/>
        <w:spacing w:beforeLines="0" w:afterLines="0" w:line="240" w:lineRule="auto"/>
        <w:ind w:firstLine="530" w:firstLineChars="221"/>
        <w:rPr>
          <w:rFonts w:cs="Times New Roman"/>
          <w:b/>
          <w:color w:val="C00000"/>
          <w:lang w:eastAsia="zh-CN"/>
        </w:rPr>
      </w:pPr>
      <w:r>
        <w:rPr>
          <w:rFonts w:hint="eastAsia" w:cs="Times New Roman"/>
          <w:color w:val="C00000"/>
          <w:sz w:val="24"/>
          <w:szCs w:val="24"/>
          <w:lang w:eastAsia="zh-CN"/>
        </w:rPr>
        <w:t>8、以下文件中红色字体部分，打印时请删除。</w:t>
      </w:r>
    </w:p>
    <w:p>
      <w:pPr>
        <w:spacing w:line="1000" w:lineRule="exact"/>
        <w:jc w:val="center"/>
        <w:rPr>
          <w:b/>
          <w:sz w:val="44"/>
          <w:szCs w:val="44"/>
          <w:lang w:eastAsia="zh-CN"/>
        </w:rPr>
      </w:pPr>
    </w:p>
    <w:p>
      <w:pPr>
        <w:widowControl/>
        <w:autoSpaceDE/>
        <w:autoSpaceDN/>
        <w:rPr>
          <w:b/>
          <w:sz w:val="44"/>
          <w:szCs w:val="44"/>
          <w:lang w:eastAsia="zh-CN"/>
        </w:rPr>
      </w:pPr>
      <w:r>
        <w:rPr>
          <w:b/>
          <w:sz w:val="44"/>
          <w:szCs w:val="44"/>
          <w:lang w:eastAsia="zh-CN"/>
        </w:rPr>
        <w:br w:type="page"/>
      </w:r>
    </w:p>
    <w:p>
      <w:pPr>
        <w:pStyle w:val="2"/>
        <w:rPr>
          <w:sz w:val="24"/>
          <w:szCs w:val="24"/>
        </w:rPr>
      </w:pPr>
      <w:r>
        <w:rPr>
          <w:rFonts w:hint="eastAsia"/>
          <w:sz w:val="24"/>
          <w:szCs w:val="24"/>
        </w:rPr>
        <w:t>附件1、</w:t>
      </w:r>
    </w:p>
    <w:p>
      <w:pPr>
        <w:pStyle w:val="10"/>
        <w:jc w:val="center"/>
        <w:rPr>
          <w:rFonts w:ascii="Times New Roman" w:hAnsi="Times New Roman"/>
          <w:b/>
          <w:sz w:val="52"/>
          <w:szCs w:val="52"/>
          <w:lang w:eastAsia="zh-CN"/>
        </w:rPr>
      </w:pPr>
    </w:p>
    <w:p>
      <w:pPr>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kern w:val="59"/>
          <w:sz w:val="24"/>
          <w:szCs w:val="24"/>
          <w:u w:val="single"/>
          <w:lang w:eastAsia="zh-CN"/>
        </w:rPr>
        <w:t>全厂电力系统安全稳定评估</w:t>
      </w:r>
      <w:r>
        <w:rPr>
          <w:rFonts w:hint="eastAsia"/>
          <w:sz w:val="24"/>
          <w:lang w:eastAsia="zh-CN"/>
        </w:rPr>
        <w:t>项目公开自主比选，以本公司名义参与报价、合同执行并处理与之有关的其他事务，相关责任及后果由本公司承担。</w:t>
      </w:r>
    </w:p>
    <w:p>
      <w:pPr>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ind w:firstLine="480" w:firstLineChars="200"/>
        <w:rPr>
          <w:sz w:val="24"/>
          <w:szCs w:val="24"/>
          <w:lang w:eastAsia="zh-CN"/>
        </w:rPr>
      </w:pPr>
      <w:r>
        <w:rPr>
          <w:rFonts w:hint="eastAsia"/>
          <w:sz w:val="24"/>
          <w:szCs w:val="24"/>
          <w:lang w:eastAsia="zh-CN"/>
        </w:rPr>
        <w:t>代理人无转委托权，特此委托。</w:t>
      </w:r>
    </w:p>
    <w:p>
      <w:pPr>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ind w:firstLine="480" w:firstLineChars="200"/>
        <w:rPr>
          <w:color w:val="000000"/>
          <w:sz w:val="24"/>
          <w:szCs w:val="24"/>
          <w:lang w:eastAsia="zh-CN"/>
        </w:rPr>
      </w:pPr>
    </w:p>
    <w:p>
      <w:pPr>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附：代理人身份证明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kern w:val="59"/>
          <w:sz w:val="24"/>
          <w:szCs w:val="24"/>
          <w:u w:val="single"/>
          <w:lang w:eastAsia="zh-CN"/>
        </w:rPr>
        <w:t>全厂电力系统安全稳定评估</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（注：本报价单需单独密封）</w:t>
      </w:r>
    </w:p>
    <w:p>
      <w:pPr>
        <w:ind w:firstLine="1970" w:firstLineChars="545"/>
        <w:rPr>
          <w:b/>
          <w:bCs/>
          <w:sz w:val="36"/>
          <w:lang w:eastAsia="zh-CN"/>
        </w:rPr>
      </w:pPr>
      <w:r>
        <w:rPr>
          <w:rFonts w:hint="eastAsia"/>
          <w:b/>
          <w:bCs/>
          <w:sz w:val="36"/>
          <w:lang w:eastAsia="zh-CN"/>
        </w:rPr>
        <w:t xml:space="preserve">   报  价  单</w:t>
      </w:r>
    </w:p>
    <w:p>
      <w:pPr>
        <w:ind w:firstLine="480" w:firstLineChars="200"/>
        <w:rPr>
          <w:sz w:val="24"/>
          <w:szCs w:val="24"/>
          <w:u w:val="single"/>
          <w:lang w:eastAsia="zh-CN"/>
        </w:rPr>
      </w:pPr>
      <w:r>
        <w:rPr>
          <w:rFonts w:hint="eastAsia"/>
          <w:sz w:val="24"/>
          <w:szCs w:val="24"/>
          <w:lang w:eastAsia="zh-CN"/>
        </w:rPr>
        <w:t>参选单位：</w:t>
      </w:r>
      <w:r>
        <w:rPr>
          <w:sz w:val="24"/>
          <w:szCs w:val="24"/>
          <w:lang w:eastAsia="zh-CN"/>
        </w:rPr>
        <w:t xml:space="preserve"> ____________________</w:t>
      </w:r>
    </w:p>
    <w:p>
      <w:pPr>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全厂电力系统安全稳定评估</w:t>
      </w:r>
      <w:r>
        <w:rPr>
          <w:rFonts w:hint="eastAsia" w:asciiTheme="majorEastAsia" w:hAnsiTheme="majorEastAsia" w:eastAsiaTheme="majorEastAsia"/>
          <w:sz w:val="24"/>
          <w:szCs w:val="24"/>
          <w:u w:val="single"/>
          <w:lang w:eastAsia="zh-CN"/>
        </w:rPr>
        <w:t>项目</w:t>
      </w:r>
    </w:p>
    <w:p>
      <w:pPr>
        <w:ind w:firstLine="480" w:firstLineChars="200"/>
        <w:rPr>
          <w:sz w:val="24"/>
          <w:szCs w:val="24"/>
          <w:lang w:eastAsia="zh-CN"/>
        </w:rPr>
      </w:pPr>
      <w:r>
        <w:rPr>
          <w:rFonts w:hint="eastAsia"/>
          <w:sz w:val="24"/>
          <w:szCs w:val="24"/>
          <w:lang w:eastAsia="zh-CN"/>
        </w:rPr>
        <w:t>参选报价：</w:t>
      </w:r>
    </w:p>
    <w:p>
      <w:pPr>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w:t>
      </w:r>
      <w:r>
        <w:rPr>
          <w:rFonts w:hint="eastAsia"/>
          <w:sz w:val="24"/>
          <w:szCs w:val="24"/>
          <w:lang w:eastAsia="zh-CN"/>
        </w:rPr>
        <w:t>元 （分项价格详见附表）</w:t>
      </w:r>
    </w:p>
    <w:p>
      <w:pPr>
        <w:pStyle w:val="2"/>
        <w:spacing w:line="360" w:lineRule="auto"/>
        <w:rPr>
          <w:sz w:val="24"/>
          <w:szCs w:val="24"/>
        </w:rPr>
      </w:pPr>
      <w:r>
        <w:rPr>
          <w:rFonts w:hint="eastAsia"/>
          <w:sz w:val="24"/>
          <w:szCs w:val="24"/>
        </w:rPr>
        <w:t xml:space="preserve">      注： 1、价格为含税价，税率：</w:t>
      </w:r>
      <w:r>
        <w:rPr>
          <w:rFonts w:hint="eastAsia"/>
          <w:sz w:val="24"/>
          <w:szCs w:val="24"/>
          <w:u w:val="single"/>
        </w:rPr>
        <w:t xml:space="preserve">  6  %  </w:t>
      </w:r>
      <w:r>
        <w:rPr>
          <w:rFonts w:hint="eastAsia"/>
          <w:sz w:val="24"/>
          <w:szCs w:val="24"/>
        </w:rPr>
        <w:t xml:space="preserve"> ；</w:t>
      </w:r>
    </w:p>
    <w:p>
      <w:pPr>
        <w:pStyle w:val="10"/>
        <w:rPr>
          <w:sz w:val="24"/>
          <w:szCs w:val="24"/>
          <w:lang w:eastAsia="zh-CN"/>
        </w:rPr>
      </w:pPr>
      <w:r>
        <w:rPr>
          <w:rFonts w:hint="eastAsia"/>
          <w:sz w:val="24"/>
          <w:szCs w:val="24"/>
          <w:lang w:eastAsia="zh-CN"/>
        </w:rPr>
        <w:t xml:space="preserve">           2、付款方式：按照比选文件中要求执行</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90天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ind w:firstLine="451" w:firstLineChars="188"/>
        <w:jc w:val="center"/>
        <w:rPr>
          <w:rFonts w:hAnsi="宋体" w:cs="宋体"/>
          <w:kern w:val="2"/>
          <w:sz w:val="24"/>
          <w:szCs w:val="24"/>
        </w:rPr>
      </w:pP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spacing w:line="360" w:lineRule="auto"/>
        <w:ind w:firstLine="451" w:firstLineChars="188"/>
        <w:jc w:val="center"/>
        <w:rPr>
          <w:rFonts w:hint="eastAsia" w:hAnsi="宋体" w:cs="宋体"/>
          <w:kern w:val="2"/>
          <w:sz w:val="24"/>
          <w:szCs w:val="24"/>
        </w:rPr>
      </w:pPr>
      <w:r>
        <w:rPr>
          <w:rFonts w:hint="eastAsia" w:hAnsi="宋体" w:cs="宋体"/>
          <w:kern w:val="2"/>
          <w:sz w:val="24"/>
          <w:szCs w:val="24"/>
        </w:rPr>
        <w:t>年  月  日</w:t>
      </w:r>
      <w:bookmarkEnd w:id="9"/>
    </w:p>
    <w:p>
      <w:pPr>
        <w:pStyle w:val="2"/>
        <w:spacing w:line="360" w:lineRule="auto"/>
        <w:ind w:firstLine="451" w:firstLineChars="188"/>
        <w:jc w:val="center"/>
        <w:rPr>
          <w:rFonts w:hint="eastAsia" w:hAnsi="宋体" w:cs="宋体"/>
          <w:kern w:val="2"/>
          <w:sz w:val="24"/>
          <w:szCs w:val="24"/>
        </w:rPr>
      </w:pPr>
    </w:p>
    <w:p>
      <w:pPr>
        <w:pStyle w:val="2"/>
        <w:spacing w:line="360" w:lineRule="auto"/>
        <w:jc w:val="left"/>
        <w:rPr>
          <w:rFonts w:hint="eastAsia" w:hAnsi="宋体" w:cs="宋体"/>
          <w:kern w:val="2"/>
          <w:sz w:val="24"/>
          <w:szCs w:val="24"/>
        </w:rPr>
      </w:pPr>
      <w:r>
        <w:rPr>
          <w:rFonts w:hint="eastAsia" w:hAnsi="宋体" w:cs="宋体"/>
          <w:kern w:val="2"/>
          <w:sz w:val="24"/>
          <w:szCs w:val="24"/>
        </w:rPr>
        <w:t>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245"/>
        <w:gridCol w:w="1701"/>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序号</w:t>
            </w:r>
          </w:p>
        </w:tc>
        <w:tc>
          <w:tcPr>
            <w:tcW w:w="5245" w:type="dxa"/>
            <w:vAlign w:val="center"/>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名称</w:t>
            </w:r>
          </w:p>
        </w:tc>
        <w:tc>
          <w:tcPr>
            <w:tcW w:w="1701" w:type="dxa"/>
            <w:vAlign w:val="center"/>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价格（元）</w:t>
            </w:r>
          </w:p>
        </w:tc>
        <w:tc>
          <w:tcPr>
            <w:tcW w:w="1145" w:type="dxa"/>
            <w:vAlign w:val="center"/>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系统隐患（排查）评估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2</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设备隐患（排查）评估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3</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防雷与接地评估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4</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变电所（站）消防评估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5</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电力系统继电保护装置、自动装置与整定评估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6</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综合自动化系统评估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7</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直流电源与电力电子设备评估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8</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运行管理评估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9</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设备管理评估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10</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继电保护及自动装置管理评估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11</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安全管理评估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12</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人员培训评估</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13</w:t>
            </w:r>
          </w:p>
        </w:tc>
        <w:tc>
          <w:tcPr>
            <w:tcW w:w="5245" w:type="dxa"/>
          </w:tcPr>
          <w:p>
            <w:pPr>
              <w:pStyle w:val="2"/>
              <w:spacing w:line="360" w:lineRule="auto"/>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电力系统仿真分析及计算，并提出建设性建议。</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14</w:t>
            </w:r>
          </w:p>
        </w:tc>
        <w:tc>
          <w:tcPr>
            <w:tcW w:w="5245" w:type="dxa"/>
          </w:tcPr>
          <w:p>
            <w:pPr>
              <w:pStyle w:val="2"/>
              <w:spacing w:line="240" w:lineRule="atLeast"/>
              <w:jc w:val="left"/>
              <w:rPr>
                <w:rFonts w:hint="eastAsia"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 xml:space="preserve">对全厂主网系统继电保护的配置方案与当前运行的继电保护定值进行校核。 </w:t>
            </w: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hint="eastAsia" w:cs="宋体" w:asciiTheme="majorEastAsia" w:hAnsiTheme="majorEastAsia" w:eastAsiaTheme="majorEastAsia"/>
                <w:kern w:val="2"/>
                <w:sz w:val="21"/>
                <w:szCs w:val="21"/>
              </w:rPr>
            </w:pPr>
          </w:p>
        </w:tc>
        <w:tc>
          <w:tcPr>
            <w:tcW w:w="5245" w:type="dxa"/>
          </w:tcPr>
          <w:p>
            <w:pPr>
              <w:pStyle w:val="2"/>
              <w:spacing w:line="360" w:lineRule="auto"/>
              <w:jc w:val="left"/>
              <w:rPr>
                <w:rFonts w:hint="eastAsia" w:cs="宋体" w:asciiTheme="majorEastAsia" w:hAnsiTheme="majorEastAsia" w:eastAsiaTheme="majorEastAsia"/>
                <w:kern w:val="2"/>
                <w:sz w:val="21"/>
                <w:szCs w:val="21"/>
              </w:rPr>
            </w:pPr>
          </w:p>
        </w:tc>
        <w:tc>
          <w:tcPr>
            <w:tcW w:w="1701" w:type="dxa"/>
          </w:tcPr>
          <w:p>
            <w:pPr>
              <w:pStyle w:val="2"/>
              <w:spacing w:line="360" w:lineRule="auto"/>
              <w:jc w:val="left"/>
              <w:rPr>
                <w:rFonts w:hint="eastAsia" w:cs="宋体" w:asciiTheme="majorEastAsia" w:hAnsiTheme="majorEastAsia" w:eastAsiaTheme="majorEastAsia"/>
                <w:kern w:val="2"/>
                <w:sz w:val="21"/>
                <w:szCs w:val="21"/>
              </w:rPr>
            </w:pPr>
          </w:p>
        </w:tc>
        <w:tc>
          <w:tcPr>
            <w:tcW w:w="1145" w:type="dxa"/>
          </w:tcPr>
          <w:p>
            <w:pPr>
              <w:pStyle w:val="2"/>
              <w:spacing w:line="360" w:lineRule="auto"/>
              <w:jc w:val="left"/>
              <w:rPr>
                <w:rFonts w:hint="eastAsia" w:cs="宋体" w:asciiTheme="majorEastAsia" w:hAnsiTheme="majorEastAsia" w:eastAsiaTheme="majorEastAsia"/>
                <w:kern w:val="2"/>
                <w:sz w:val="21"/>
                <w:szCs w:val="21"/>
              </w:rPr>
            </w:pPr>
          </w:p>
        </w:tc>
      </w:tr>
    </w:tbl>
    <w:p>
      <w:pPr>
        <w:pStyle w:val="2"/>
        <w:spacing w:line="360" w:lineRule="auto"/>
        <w:jc w:val="left"/>
        <w:rPr>
          <w:rFonts w:hint="eastAsia" w:hAnsi="宋体" w:cs="宋体"/>
          <w:kern w:val="2"/>
          <w:sz w:val="24"/>
          <w:szCs w:val="24"/>
        </w:rPr>
      </w:pPr>
    </w:p>
    <w:p>
      <w:pPr>
        <w:pStyle w:val="2"/>
        <w:spacing w:line="360" w:lineRule="auto"/>
        <w:ind w:firstLine="451" w:firstLineChars="188"/>
        <w:jc w:val="center"/>
        <w:rPr>
          <w:rFonts w:hint="eastAsia" w:hAnsi="宋体" w:cs="宋体"/>
          <w:kern w:val="2"/>
          <w:sz w:val="24"/>
          <w:szCs w:val="24"/>
        </w:rPr>
      </w:pPr>
    </w:p>
    <w:p>
      <w:pPr>
        <w:pStyle w:val="2"/>
        <w:spacing w:line="360" w:lineRule="auto"/>
        <w:ind w:firstLine="451" w:firstLineChars="188"/>
        <w:jc w:val="center"/>
        <w:rPr>
          <w:rFonts w:hint="eastAsia" w:hAnsi="宋体" w:cs="宋体"/>
          <w:kern w:val="2"/>
          <w:sz w:val="24"/>
          <w:szCs w:val="24"/>
        </w:rPr>
      </w:pPr>
    </w:p>
    <w:p>
      <w:pPr>
        <w:pStyle w:val="2"/>
        <w:spacing w:line="360" w:lineRule="auto"/>
        <w:ind w:firstLine="526" w:firstLineChars="188"/>
        <w:jc w:val="center"/>
        <w:rPr>
          <w:rFonts w:hAnsi="宋体" w:cs="宋体"/>
          <w:kern w:val="2"/>
          <w:sz w:val="28"/>
          <w:szCs w:val="28"/>
        </w:rPr>
      </w:pPr>
    </w:p>
    <w:sectPr>
      <w:footerReference r:id="rId8"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9266"/>
      <w:docPartObj>
        <w:docPartGallery w:val="AutoText"/>
      </w:docPartObj>
    </w:sdtPr>
    <w:sdtContent>
      <w:sdt>
        <w:sdtPr>
          <w:id w:val="98381352"/>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27671"/>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8"/>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A51F8"/>
    <w:multiLevelType w:val="multilevel"/>
    <w:tmpl w:val="017A51F8"/>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162C9E"/>
    <w:multiLevelType w:val="multilevel"/>
    <w:tmpl w:val="02162C9E"/>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3">
    <w:nsid w:val="519F12F7"/>
    <w:multiLevelType w:val="multilevel"/>
    <w:tmpl w:val="519F12F7"/>
    <w:lvl w:ilvl="0" w:tentative="0">
      <w:start w:val="1"/>
      <w:numFmt w:val="chineseCountingThousand"/>
      <w:lvlText w:val="%1."/>
      <w:lvlJc w:val="center"/>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8B44D5B"/>
    <w:multiLevelType w:val="multilevel"/>
    <w:tmpl w:val="58B44D5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C336C4"/>
    <w:multiLevelType w:val="multilevel"/>
    <w:tmpl w:val="77C336C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6E7779"/>
    <w:multiLevelType w:val="multilevel"/>
    <w:tmpl w:val="7F6E777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967702"/>
    <w:rsid w:val="00000DD4"/>
    <w:rsid w:val="00011407"/>
    <w:rsid w:val="0001646D"/>
    <w:rsid w:val="00036F9A"/>
    <w:rsid w:val="0005617A"/>
    <w:rsid w:val="00056334"/>
    <w:rsid w:val="000679D6"/>
    <w:rsid w:val="00071B25"/>
    <w:rsid w:val="00072774"/>
    <w:rsid w:val="00080812"/>
    <w:rsid w:val="000914CE"/>
    <w:rsid w:val="00096304"/>
    <w:rsid w:val="00096FA0"/>
    <w:rsid w:val="00097881"/>
    <w:rsid w:val="000A0820"/>
    <w:rsid w:val="000A0B41"/>
    <w:rsid w:val="000B0660"/>
    <w:rsid w:val="0015691F"/>
    <w:rsid w:val="0015730E"/>
    <w:rsid w:val="00166C0E"/>
    <w:rsid w:val="00193817"/>
    <w:rsid w:val="001A3E35"/>
    <w:rsid w:val="001A4283"/>
    <w:rsid w:val="001B0034"/>
    <w:rsid w:val="001B698B"/>
    <w:rsid w:val="001D3581"/>
    <w:rsid w:val="001F0CEE"/>
    <w:rsid w:val="001F2FE5"/>
    <w:rsid w:val="001F35BB"/>
    <w:rsid w:val="0020750C"/>
    <w:rsid w:val="00214E06"/>
    <w:rsid w:val="00217FB9"/>
    <w:rsid w:val="00220E3C"/>
    <w:rsid w:val="00227556"/>
    <w:rsid w:val="002323C2"/>
    <w:rsid w:val="0025561A"/>
    <w:rsid w:val="00260CCA"/>
    <w:rsid w:val="00274096"/>
    <w:rsid w:val="00275301"/>
    <w:rsid w:val="002814C9"/>
    <w:rsid w:val="0028464C"/>
    <w:rsid w:val="0028648A"/>
    <w:rsid w:val="00292A4F"/>
    <w:rsid w:val="00297ECA"/>
    <w:rsid w:val="002B21E2"/>
    <w:rsid w:val="002C2335"/>
    <w:rsid w:val="002C4D01"/>
    <w:rsid w:val="002C50B1"/>
    <w:rsid w:val="002D31F1"/>
    <w:rsid w:val="002E240C"/>
    <w:rsid w:val="002E4DA5"/>
    <w:rsid w:val="002E74B5"/>
    <w:rsid w:val="002E787B"/>
    <w:rsid w:val="002F23FF"/>
    <w:rsid w:val="002F5451"/>
    <w:rsid w:val="002F781F"/>
    <w:rsid w:val="00315A3D"/>
    <w:rsid w:val="00322549"/>
    <w:rsid w:val="00344A4E"/>
    <w:rsid w:val="00354A2A"/>
    <w:rsid w:val="003569D4"/>
    <w:rsid w:val="00361FCC"/>
    <w:rsid w:val="00365EBB"/>
    <w:rsid w:val="00383BF7"/>
    <w:rsid w:val="003850AC"/>
    <w:rsid w:val="00385255"/>
    <w:rsid w:val="00391B4E"/>
    <w:rsid w:val="003921AC"/>
    <w:rsid w:val="003928C8"/>
    <w:rsid w:val="003B2198"/>
    <w:rsid w:val="003B4EC5"/>
    <w:rsid w:val="003C21C9"/>
    <w:rsid w:val="003D0571"/>
    <w:rsid w:val="003D678E"/>
    <w:rsid w:val="003F0053"/>
    <w:rsid w:val="003F43B1"/>
    <w:rsid w:val="0040417A"/>
    <w:rsid w:val="004102A6"/>
    <w:rsid w:val="004109C6"/>
    <w:rsid w:val="004138FE"/>
    <w:rsid w:val="004146F2"/>
    <w:rsid w:val="00427728"/>
    <w:rsid w:val="004442E7"/>
    <w:rsid w:val="00447C71"/>
    <w:rsid w:val="00451042"/>
    <w:rsid w:val="00453194"/>
    <w:rsid w:val="00457500"/>
    <w:rsid w:val="00460D79"/>
    <w:rsid w:val="0047282D"/>
    <w:rsid w:val="0047773A"/>
    <w:rsid w:val="004826C0"/>
    <w:rsid w:val="004835AF"/>
    <w:rsid w:val="004849FD"/>
    <w:rsid w:val="00492047"/>
    <w:rsid w:val="004B1066"/>
    <w:rsid w:val="004B144F"/>
    <w:rsid w:val="004B1DD8"/>
    <w:rsid w:val="004C3AF4"/>
    <w:rsid w:val="004C6BF7"/>
    <w:rsid w:val="004D0D80"/>
    <w:rsid w:val="004D34F3"/>
    <w:rsid w:val="004D3571"/>
    <w:rsid w:val="004D5630"/>
    <w:rsid w:val="004E1FBD"/>
    <w:rsid w:val="004F3B24"/>
    <w:rsid w:val="004F5E80"/>
    <w:rsid w:val="00500FC0"/>
    <w:rsid w:val="00505A38"/>
    <w:rsid w:val="00514188"/>
    <w:rsid w:val="005158CB"/>
    <w:rsid w:val="00515FEE"/>
    <w:rsid w:val="00527BB2"/>
    <w:rsid w:val="00535736"/>
    <w:rsid w:val="00552A74"/>
    <w:rsid w:val="00553A22"/>
    <w:rsid w:val="00556574"/>
    <w:rsid w:val="00557069"/>
    <w:rsid w:val="00570107"/>
    <w:rsid w:val="005709F6"/>
    <w:rsid w:val="005742D0"/>
    <w:rsid w:val="00585A33"/>
    <w:rsid w:val="00586FE6"/>
    <w:rsid w:val="00587FE3"/>
    <w:rsid w:val="00595F8F"/>
    <w:rsid w:val="00596C39"/>
    <w:rsid w:val="005A5310"/>
    <w:rsid w:val="005B4BA0"/>
    <w:rsid w:val="005B50B3"/>
    <w:rsid w:val="005D0B52"/>
    <w:rsid w:val="005D1B67"/>
    <w:rsid w:val="005D47FB"/>
    <w:rsid w:val="005D58C4"/>
    <w:rsid w:val="005E5C97"/>
    <w:rsid w:val="005F141D"/>
    <w:rsid w:val="005F261C"/>
    <w:rsid w:val="006046FB"/>
    <w:rsid w:val="0061544E"/>
    <w:rsid w:val="00633387"/>
    <w:rsid w:val="00636649"/>
    <w:rsid w:val="00646EC8"/>
    <w:rsid w:val="00653120"/>
    <w:rsid w:val="0066438C"/>
    <w:rsid w:val="00667F1D"/>
    <w:rsid w:val="0067550B"/>
    <w:rsid w:val="006773E6"/>
    <w:rsid w:val="00684DAC"/>
    <w:rsid w:val="006937BE"/>
    <w:rsid w:val="006957A7"/>
    <w:rsid w:val="006A2CC5"/>
    <w:rsid w:val="006A36AF"/>
    <w:rsid w:val="006B1DD1"/>
    <w:rsid w:val="006B2672"/>
    <w:rsid w:val="006B2863"/>
    <w:rsid w:val="006B28E9"/>
    <w:rsid w:val="006C4ED8"/>
    <w:rsid w:val="006E07D8"/>
    <w:rsid w:val="006E5F75"/>
    <w:rsid w:val="006E72DD"/>
    <w:rsid w:val="007108B9"/>
    <w:rsid w:val="007212E4"/>
    <w:rsid w:val="00723977"/>
    <w:rsid w:val="00735199"/>
    <w:rsid w:val="007531B8"/>
    <w:rsid w:val="0076017A"/>
    <w:rsid w:val="00764FA8"/>
    <w:rsid w:val="00766668"/>
    <w:rsid w:val="007815E0"/>
    <w:rsid w:val="00785D1B"/>
    <w:rsid w:val="007947F9"/>
    <w:rsid w:val="007A235C"/>
    <w:rsid w:val="007A5D50"/>
    <w:rsid w:val="007B6101"/>
    <w:rsid w:val="007B6F0A"/>
    <w:rsid w:val="007C1B01"/>
    <w:rsid w:val="007C79EE"/>
    <w:rsid w:val="007D3315"/>
    <w:rsid w:val="007D398A"/>
    <w:rsid w:val="007E3EF5"/>
    <w:rsid w:val="00804E85"/>
    <w:rsid w:val="00824119"/>
    <w:rsid w:val="00835E9C"/>
    <w:rsid w:val="00854829"/>
    <w:rsid w:val="00855BA1"/>
    <w:rsid w:val="00861D75"/>
    <w:rsid w:val="008671DE"/>
    <w:rsid w:val="008702B4"/>
    <w:rsid w:val="00872EC2"/>
    <w:rsid w:val="00875AF4"/>
    <w:rsid w:val="00876BD4"/>
    <w:rsid w:val="008A191D"/>
    <w:rsid w:val="008B3F8D"/>
    <w:rsid w:val="008B7944"/>
    <w:rsid w:val="008D126B"/>
    <w:rsid w:val="008E107A"/>
    <w:rsid w:val="008E17CD"/>
    <w:rsid w:val="008F0413"/>
    <w:rsid w:val="008F5317"/>
    <w:rsid w:val="008F7AE5"/>
    <w:rsid w:val="009013B6"/>
    <w:rsid w:val="0090206D"/>
    <w:rsid w:val="009172FC"/>
    <w:rsid w:val="009312CA"/>
    <w:rsid w:val="00932015"/>
    <w:rsid w:val="009421B0"/>
    <w:rsid w:val="009428FE"/>
    <w:rsid w:val="00951102"/>
    <w:rsid w:val="0095556D"/>
    <w:rsid w:val="00955B5E"/>
    <w:rsid w:val="00956747"/>
    <w:rsid w:val="00967702"/>
    <w:rsid w:val="00981E93"/>
    <w:rsid w:val="00983954"/>
    <w:rsid w:val="009947C4"/>
    <w:rsid w:val="009B6212"/>
    <w:rsid w:val="009C0F2F"/>
    <w:rsid w:val="009C2DD0"/>
    <w:rsid w:val="009C5294"/>
    <w:rsid w:val="009D16B8"/>
    <w:rsid w:val="009D51FB"/>
    <w:rsid w:val="009E658E"/>
    <w:rsid w:val="009F25C2"/>
    <w:rsid w:val="009F4939"/>
    <w:rsid w:val="009F5B1F"/>
    <w:rsid w:val="00A016A8"/>
    <w:rsid w:val="00A0663A"/>
    <w:rsid w:val="00A13C33"/>
    <w:rsid w:val="00A13E67"/>
    <w:rsid w:val="00A26F27"/>
    <w:rsid w:val="00A3071D"/>
    <w:rsid w:val="00A372FD"/>
    <w:rsid w:val="00A42218"/>
    <w:rsid w:val="00A4425C"/>
    <w:rsid w:val="00A46063"/>
    <w:rsid w:val="00A51DBD"/>
    <w:rsid w:val="00A55AFA"/>
    <w:rsid w:val="00A72525"/>
    <w:rsid w:val="00A9677B"/>
    <w:rsid w:val="00AA0ED3"/>
    <w:rsid w:val="00AA7284"/>
    <w:rsid w:val="00AB7A1A"/>
    <w:rsid w:val="00AD23CF"/>
    <w:rsid w:val="00AD246B"/>
    <w:rsid w:val="00AD7833"/>
    <w:rsid w:val="00AD79B2"/>
    <w:rsid w:val="00AE3D6C"/>
    <w:rsid w:val="00AF1527"/>
    <w:rsid w:val="00AF1AA4"/>
    <w:rsid w:val="00B016E6"/>
    <w:rsid w:val="00B169F6"/>
    <w:rsid w:val="00B26F91"/>
    <w:rsid w:val="00B35AE9"/>
    <w:rsid w:val="00B40916"/>
    <w:rsid w:val="00B42F6B"/>
    <w:rsid w:val="00B44FC3"/>
    <w:rsid w:val="00B54AC6"/>
    <w:rsid w:val="00B63148"/>
    <w:rsid w:val="00B7354F"/>
    <w:rsid w:val="00B740DE"/>
    <w:rsid w:val="00B914C4"/>
    <w:rsid w:val="00B95390"/>
    <w:rsid w:val="00BA43E5"/>
    <w:rsid w:val="00BA6F1C"/>
    <w:rsid w:val="00BB0BE1"/>
    <w:rsid w:val="00BC508A"/>
    <w:rsid w:val="00BC74FB"/>
    <w:rsid w:val="00BD05C2"/>
    <w:rsid w:val="00BD0E2D"/>
    <w:rsid w:val="00BF21AF"/>
    <w:rsid w:val="00C00630"/>
    <w:rsid w:val="00C10D4E"/>
    <w:rsid w:val="00C31868"/>
    <w:rsid w:val="00C344E2"/>
    <w:rsid w:val="00C40813"/>
    <w:rsid w:val="00C47989"/>
    <w:rsid w:val="00C52299"/>
    <w:rsid w:val="00C67700"/>
    <w:rsid w:val="00C67890"/>
    <w:rsid w:val="00C67897"/>
    <w:rsid w:val="00C721A6"/>
    <w:rsid w:val="00C74B28"/>
    <w:rsid w:val="00C95FDD"/>
    <w:rsid w:val="00CA4F31"/>
    <w:rsid w:val="00CB2773"/>
    <w:rsid w:val="00CB2E01"/>
    <w:rsid w:val="00CB3337"/>
    <w:rsid w:val="00CB5AC9"/>
    <w:rsid w:val="00CC034A"/>
    <w:rsid w:val="00CC0DB2"/>
    <w:rsid w:val="00CC5C3D"/>
    <w:rsid w:val="00CE08FB"/>
    <w:rsid w:val="00CF78A1"/>
    <w:rsid w:val="00D11B76"/>
    <w:rsid w:val="00D16B99"/>
    <w:rsid w:val="00D201C8"/>
    <w:rsid w:val="00D22A6E"/>
    <w:rsid w:val="00D2565F"/>
    <w:rsid w:val="00D418CF"/>
    <w:rsid w:val="00D52B1C"/>
    <w:rsid w:val="00D62EAC"/>
    <w:rsid w:val="00D65FBC"/>
    <w:rsid w:val="00D71D8E"/>
    <w:rsid w:val="00D749CB"/>
    <w:rsid w:val="00D87A95"/>
    <w:rsid w:val="00D947D8"/>
    <w:rsid w:val="00DA20C9"/>
    <w:rsid w:val="00DA3CA7"/>
    <w:rsid w:val="00DA6512"/>
    <w:rsid w:val="00DB061F"/>
    <w:rsid w:val="00DC4B21"/>
    <w:rsid w:val="00DC4EE8"/>
    <w:rsid w:val="00DD0909"/>
    <w:rsid w:val="00DD56C2"/>
    <w:rsid w:val="00DD61B1"/>
    <w:rsid w:val="00DF062C"/>
    <w:rsid w:val="00DF1BFD"/>
    <w:rsid w:val="00DF7A10"/>
    <w:rsid w:val="00E15F12"/>
    <w:rsid w:val="00E165C7"/>
    <w:rsid w:val="00E3279B"/>
    <w:rsid w:val="00E36DAF"/>
    <w:rsid w:val="00E47EF8"/>
    <w:rsid w:val="00E5138B"/>
    <w:rsid w:val="00E55BF0"/>
    <w:rsid w:val="00E57297"/>
    <w:rsid w:val="00E607BF"/>
    <w:rsid w:val="00E61853"/>
    <w:rsid w:val="00E62C5E"/>
    <w:rsid w:val="00E70394"/>
    <w:rsid w:val="00E73BE8"/>
    <w:rsid w:val="00E77813"/>
    <w:rsid w:val="00E86367"/>
    <w:rsid w:val="00E92DDC"/>
    <w:rsid w:val="00ED1BF8"/>
    <w:rsid w:val="00EE4441"/>
    <w:rsid w:val="00EE6090"/>
    <w:rsid w:val="00EF2696"/>
    <w:rsid w:val="00F0678C"/>
    <w:rsid w:val="00F14572"/>
    <w:rsid w:val="00F22509"/>
    <w:rsid w:val="00F322B9"/>
    <w:rsid w:val="00F40AD6"/>
    <w:rsid w:val="00F54418"/>
    <w:rsid w:val="00F6409E"/>
    <w:rsid w:val="00F66B51"/>
    <w:rsid w:val="00F67994"/>
    <w:rsid w:val="00F701B4"/>
    <w:rsid w:val="00F74A7A"/>
    <w:rsid w:val="00F8634D"/>
    <w:rsid w:val="00F963AF"/>
    <w:rsid w:val="00F96FF0"/>
    <w:rsid w:val="00F976D3"/>
    <w:rsid w:val="00FA36C5"/>
    <w:rsid w:val="00FA7916"/>
    <w:rsid w:val="00FB0A0B"/>
    <w:rsid w:val="00FB45D7"/>
    <w:rsid w:val="00FC18DD"/>
    <w:rsid w:val="00FC37B1"/>
    <w:rsid w:val="00FD4B68"/>
    <w:rsid w:val="00FD7AB3"/>
    <w:rsid w:val="00FF1E2A"/>
    <w:rsid w:val="00FF396F"/>
    <w:rsid w:val="00FF797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2F8E0D8F"/>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58"/>
    <w:qFormat/>
    <w:uiPriority w:val="0"/>
    <w:pPr>
      <w:ind w:left="629"/>
      <w:outlineLvl w:val="1"/>
    </w:pPr>
    <w:rPr>
      <w:b/>
      <w:bCs/>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annotation text"/>
    <w:basedOn w:val="1"/>
    <w:link w:val="33"/>
    <w:unhideWhenUsed/>
    <w:qFormat/>
    <w:uiPriority w:val="99"/>
    <w:pPr>
      <w:autoSpaceDE/>
      <w:autoSpaceDN/>
    </w:pPr>
    <w:rPr>
      <w:rFonts w:ascii="Times New Roman" w:hAnsi="Times New Roman" w:cs="Times New Roman"/>
      <w:kern w:val="2"/>
      <w:sz w:val="21"/>
      <w:szCs w:val="24"/>
      <w:lang w:eastAsia="zh-CN"/>
    </w:rPr>
  </w:style>
  <w:style w:type="paragraph" w:styleId="7">
    <w:name w:val="Closing"/>
    <w:basedOn w:val="1"/>
    <w:link w:val="62"/>
    <w:uiPriority w:val="99"/>
    <w:pPr>
      <w:autoSpaceDE/>
      <w:autoSpaceDN/>
      <w:spacing w:line="240" w:lineRule="auto"/>
      <w:ind w:left="100" w:leftChars="2100"/>
      <w:jc w:val="both"/>
    </w:pPr>
    <w:rPr>
      <w:rFonts w:ascii="Times New Roman" w:hAnsi="Times New Roman" w:cs="Times New Roman"/>
      <w:b/>
      <w:kern w:val="2"/>
      <w:sz w:val="21"/>
      <w:szCs w:val="20"/>
      <w:lang w:eastAsia="zh-CN"/>
    </w:rPr>
  </w:style>
  <w:style w:type="paragraph" w:styleId="8">
    <w:name w:val="Body Text"/>
    <w:basedOn w:val="1"/>
    <w:link w:val="36"/>
    <w:qFormat/>
    <w:uiPriority w:val="1"/>
    <w:rPr>
      <w:sz w:val="24"/>
      <w:szCs w:val="24"/>
    </w:rPr>
  </w:style>
  <w:style w:type="paragraph" w:styleId="9">
    <w:name w:val="Body Text Indent"/>
    <w:basedOn w:val="1"/>
    <w:link w:val="57"/>
    <w:uiPriority w:val="0"/>
    <w:pPr>
      <w:spacing w:after="120"/>
      <w:ind w:left="420" w:leftChars="200"/>
    </w:pPr>
  </w:style>
  <w:style w:type="paragraph" w:styleId="10">
    <w:name w:val="Plain Text"/>
    <w:basedOn w:val="1"/>
    <w:link w:val="29"/>
    <w:qFormat/>
    <w:uiPriority w:val="0"/>
    <w:rPr>
      <w:rFonts w:hAnsi="Courier New" w:cs="Courier New"/>
      <w:szCs w:val="21"/>
    </w:rPr>
  </w:style>
  <w:style w:type="paragraph" w:styleId="11">
    <w:name w:val="Balloon Text"/>
    <w:basedOn w:val="1"/>
    <w:link w:val="30"/>
    <w:uiPriority w:val="99"/>
    <w:rPr>
      <w:sz w:val="18"/>
      <w:szCs w:val="18"/>
    </w:rPr>
  </w:style>
  <w:style w:type="paragraph" w:styleId="12">
    <w:name w:val="footer"/>
    <w:basedOn w:val="1"/>
    <w:link w:val="28"/>
    <w:qFormat/>
    <w:uiPriority w:val="99"/>
    <w:pPr>
      <w:tabs>
        <w:tab w:val="center" w:pos="4153"/>
        <w:tab w:val="right" w:pos="8306"/>
      </w:tabs>
      <w:snapToGrid w:val="0"/>
    </w:pPr>
    <w:rPr>
      <w:sz w:val="18"/>
      <w:szCs w:val="18"/>
    </w:rPr>
  </w:style>
  <w:style w:type="paragraph" w:styleId="13">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15">
    <w:name w:val="Title"/>
    <w:basedOn w:val="1"/>
    <w:next w:val="1"/>
    <w:link w:val="55"/>
    <w:qFormat/>
    <w:uiPriority w:val="10"/>
    <w:pPr>
      <w:autoSpaceDE/>
      <w:autoSpaceDN/>
      <w:spacing w:before="240" w:after="60"/>
      <w:jc w:val="center"/>
      <w:outlineLvl w:val="0"/>
    </w:pPr>
    <w:rPr>
      <w:rFonts w:ascii="Cambria" w:hAnsi="Cambria" w:cs="Times New Roman"/>
      <w:b/>
      <w:bCs/>
      <w:kern w:val="2"/>
      <w:sz w:val="32"/>
      <w:szCs w:val="32"/>
      <w:lang w:eastAsia="zh-CN"/>
    </w:rPr>
  </w:style>
  <w:style w:type="paragraph" w:styleId="16">
    <w:name w:val="annotation subject"/>
    <w:basedOn w:val="6"/>
    <w:next w:val="6"/>
    <w:link w:val="34"/>
    <w:unhideWhenUsed/>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uiPriority w:val="99"/>
    <w:rPr>
      <w:color w:val="800080"/>
      <w:u w:val="single"/>
    </w:rPr>
  </w:style>
  <w:style w:type="character" w:styleId="22">
    <w:name w:val="Hyperlink"/>
    <w:basedOn w:val="19"/>
    <w:qFormat/>
    <w:uiPriority w:val="99"/>
    <w:rPr>
      <w:color w:val="0000FF"/>
      <w:u w:val="single"/>
    </w:rPr>
  </w:style>
  <w:style w:type="character" w:styleId="23">
    <w:name w:val="annotation reference"/>
    <w:basedOn w:val="19"/>
    <w:unhideWhenUsed/>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ind w:firstLine="560" w:firstLineChars="200"/>
    </w:pPr>
    <w:rPr>
      <w:rFonts w:cs="Arial"/>
      <w:bCs/>
      <w:sz w:val="28"/>
      <w:szCs w:val="28"/>
    </w:rPr>
  </w:style>
  <w:style w:type="character" w:customStyle="1" w:styleId="28">
    <w:name w:val="页脚 Char"/>
    <w:basedOn w:val="19"/>
    <w:link w:val="12"/>
    <w:qFormat/>
    <w:uiPriority w:val="99"/>
    <w:rPr>
      <w:rFonts w:ascii="宋体" w:hAnsi="宋体" w:cs="宋体"/>
      <w:sz w:val="18"/>
      <w:szCs w:val="18"/>
      <w:lang w:eastAsia="en-US"/>
    </w:rPr>
  </w:style>
  <w:style w:type="character" w:customStyle="1" w:styleId="29">
    <w:name w:val="纯文本 Char"/>
    <w:basedOn w:val="19"/>
    <w:link w:val="10"/>
    <w:qFormat/>
    <w:uiPriority w:val="0"/>
    <w:rPr>
      <w:rFonts w:ascii="宋体" w:hAnsi="Courier New" w:cs="Courier New"/>
      <w:sz w:val="22"/>
      <w:szCs w:val="21"/>
      <w:lang w:eastAsia="en-US"/>
    </w:rPr>
  </w:style>
  <w:style w:type="character" w:customStyle="1" w:styleId="30">
    <w:name w:val="批注框文本 Char"/>
    <w:basedOn w:val="19"/>
    <w:link w:val="11"/>
    <w:uiPriority w:val="99"/>
    <w:rPr>
      <w:rFonts w:ascii="宋体" w:hAnsi="宋体" w:cs="宋体"/>
      <w:sz w:val="18"/>
      <w:szCs w:val="18"/>
      <w:lang w:eastAsia="en-US"/>
    </w:rPr>
  </w:style>
  <w:style w:type="character" w:customStyle="1" w:styleId="31">
    <w:name w:val="正文缩进 Char"/>
    <w:link w:val="5"/>
    <w:qFormat/>
    <w:uiPriority w:val="0"/>
    <w:rPr>
      <w:kern w:val="2"/>
      <w:sz w:val="21"/>
    </w:rPr>
  </w:style>
  <w:style w:type="character" w:customStyle="1" w:styleId="32">
    <w:name w:val="页眉 Char"/>
    <w:basedOn w:val="19"/>
    <w:link w:val="13"/>
    <w:uiPriority w:val="0"/>
    <w:rPr>
      <w:rFonts w:ascii="宋体" w:hAnsi="宋体" w:cs="宋体"/>
      <w:sz w:val="18"/>
      <w:szCs w:val="22"/>
      <w:lang w:eastAsia="en-US"/>
    </w:rPr>
  </w:style>
  <w:style w:type="character" w:customStyle="1" w:styleId="33">
    <w:name w:val="批注文字 Char"/>
    <w:basedOn w:val="19"/>
    <w:link w:val="6"/>
    <w:uiPriority w:val="99"/>
    <w:rPr>
      <w:kern w:val="2"/>
      <w:sz w:val="21"/>
      <w:szCs w:val="24"/>
    </w:rPr>
  </w:style>
  <w:style w:type="character" w:customStyle="1" w:styleId="34">
    <w:name w:val="批注主题 Char"/>
    <w:basedOn w:val="33"/>
    <w:link w:val="16"/>
    <w:uiPriority w:val="99"/>
    <w:rPr>
      <w:b/>
      <w:bCs/>
    </w:rPr>
  </w:style>
  <w:style w:type="character" w:customStyle="1" w:styleId="35">
    <w:name w:val="标题 1 Char"/>
    <w:basedOn w:val="19"/>
    <w:link w:val="3"/>
    <w:uiPriority w:val="0"/>
    <w:rPr>
      <w:rFonts w:ascii="宋体" w:hAnsi="宋体" w:cs="宋体"/>
      <w:b/>
      <w:bCs/>
      <w:sz w:val="28"/>
      <w:szCs w:val="28"/>
      <w:lang w:eastAsia="en-US"/>
    </w:rPr>
  </w:style>
  <w:style w:type="character" w:customStyle="1" w:styleId="36">
    <w:name w:val="正文文本 Char"/>
    <w:basedOn w:val="19"/>
    <w:link w:val="8"/>
    <w:qFormat/>
    <w:uiPriority w:val="0"/>
    <w:rPr>
      <w:rFonts w:ascii="宋体" w:hAnsi="宋体" w:cs="宋体"/>
      <w:sz w:val="24"/>
      <w:szCs w:val="24"/>
      <w:lang w:eastAsia="en-US"/>
    </w:rPr>
  </w:style>
  <w:style w:type="character" w:customStyle="1" w:styleId="37">
    <w:name w:val="xdrichtextbox2"/>
    <w:basedOn w:val="19"/>
    <w:uiPriority w:val="0"/>
    <w:rPr>
      <w:color w:val="0000FF"/>
      <w:sz w:val="18"/>
      <w:szCs w:val="18"/>
      <w:u w:val="none"/>
      <w:bdr w:val="single" w:color="DCDCDC" w:sz="8" w:space="0"/>
      <w:shd w:val="clear" w:color="auto" w:fill="FFFFFF"/>
    </w:rPr>
  </w:style>
  <w:style w:type="paragraph" w:customStyle="1" w:styleId="38">
    <w:name w:val="font0"/>
    <w:basedOn w:val="1"/>
    <w:uiPriority w:val="0"/>
    <w:pPr>
      <w:widowControl/>
      <w:autoSpaceDE/>
      <w:autoSpaceDN/>
      <w:spacing w:before="100" w:beforeAutospacing="1" w:after="100" w:afterAutospacing="1"/>
    </w:pPr>
    <w:rPr>
      <w:color w:val="000000"/>
      <w:lang w:eastAsia="zh-CN"/>
    </w:rPr>
  </w:style>
  <w:style w:type="paragraph" w:customStyle="1" w:styleId="39">
    <w:name w:val="font5"/>
    <w:basedOn w:val="1"/>
    <w:uiPriority w:val="0"/>
    <w:pPr>
      <w:widowControl/>
      <w:autoSpaceDE/>
      <w:autoSpaceDN/>
      <w:spacing w:before="100" w:beforeAutospacing="1" w:after="100" w:afterAutospacing="1"/>
    </w:pPr>
    <w:rPr>
      <w:color w:val="000000"/>
      <w:sz w:val="24"/>
      <w:szCs w:val="24"/>
      <w:lang w:eastAsia="zh-CN"/>
    </w:rPr>
  </w:style>
  <w:style w:type="paragraph" w:customStyle="1" w:styleId="40">
    <w:name w:val="xl67"/>
    <w:basedOn w:val="1"/>
    <w:uiPriority w:val="0"/>
    <w:pPr>
      <w:widowControl/>
      <w:autoSpaceDE/>
      <w:autoSpaceDN/>
      <w:spacing w:before="100" w:beforeAutospacing="1" w:after="100" w:afterAutospacing="1"/>
    </w:pPr>
    <w:rPr>
      <w:sz w:val="24"/>
      <w:szCs w:val="24"/>
      <w:lang w:eastAsia="zh-CN"/>
    </w:rPr>
  </w:style>
  <w:style w:type="paragraph" w:customStyle="1" w:styleId="41">
    <w:name w:val="xl68"/>
    <w:basedOn w:val="1"/>
    <w:uiPriority w:val="0"/>
    <w:pPr>
      <w:widowControl/>
      <w:autoSpaceDE/>
      <w:autoSpaceDN/>
      <w:spacing w:before="100" w:beforeAutospacing="1" w:after="100" w:afterAutospacing="1"/>
    </w:pPr>
    <w:rPr>
      <w:b/>
      <w:bCs/>
      <w:sz w:val="24"/>
      <w:szCs w:val="24"/>
      <w:lang w:eastAsia="zh-CN"/>
    </w:rPr>
  </w:style>
  <w:style w:type="paragraph" w:customStyle="1" w:styleId="42">
    <w:name w:val="xl69"/>
    <w:basedOn w:val="1"/>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3">
    <w:name w:val="xl70"/>
    <w:basedOn w:val="1"/>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4">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5">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6">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47">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8">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9">
    <w:name w:val="xl7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50">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51">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52">
    <w:name w:val="xl79"/>
    <w:basedOn w:val="1"/>
    <w:uiPriority w:val="0"/>
    <w:pPr>
      <w:widowControl/>
      <w:pBdr>
        <w:bottom w:val="single" w:color="auto" w:sz="4" w:space="0"/>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53">
    <w:name w:val="wz141"/>
    <w:uiPriority w:val="0"/>
    <w:rPr>
      <w:rFonts w:hint="default" w:ascii="Arial" w:hAnsi="Arial" w:cs="Arial"/>
      <w:color w:val="000000"/>
      <w:sz w:val="21"/>
      <w:szCs w:val="21"/>
    </w:rPr>
  </w:style>
  <w:style w:type="character" w:customStyle="1" w:styleId="54">
    <w:name w:val="apple-converted-space"/>
    <w:basedOn w:val="19"/>
    <w:qFormat/>
    <w:uiPriority w:val="0"/>
  </w:style>
  <w:style w:type="character" w:customStyle="1" w:styleId="55">
    <w:name w:val="标题 Char"/>
    <w:basedOn w:val="19"/>
    <w:link w:val="15"/>
    <w:uiPriority w:val="10"/>
    <w:rPr>
      <w:rFonts w:ascii="Cambria" w:hAnsi="Cambria"/>
      <w:b/>
      <w:bCs/>
      <w:kern w:val="2"/>
      <w:sz w:val="32"/>
      <w:szCs w:val="32"/>
    </w:rPr>
  </w:style>
  <w:style w:type="character" w:customStyle="1" w:styleId="56">
    <w:name w:val="纯文本 Char1"/>
    <w:qFormat/>
    <w:uiPriority w:val="0"/>
    <w:rPr>
      <w:rFonts w:ascii="宋体" w:hAnsi="Courier New" w:cs="Courier New"/>
      <w:sz w:val="22"/>
      <w:szCs w:val="21"/>
      <w:lang w:eastAsia="en-US"/>
    </w:rPr>
  </w:style>
  <w:style w:type="character" w:customStyle="1" w:styleId="57">
    <w:name w:val="正文文本缩进 Char"/>
    <w:basedOn w:val="19"/>
    <w:link w:val="9"/>
    <w:uiPriority w:val="0"/>
    <w:rPr>
      <w:rFonts w:ascii="宋体" w:hAnsi="宋体" w:cs="宋体"/>
      <w:sz w:val="22"/>
      <w:szCs w:val="22"/>
      <w:lang w:eastAsia="en-US"/>
    </w:rPr>
  </w:style>
  <w:style w:type="character" w:customStyle="1" w:styleId="58">
    <w:name w:val="标题 2 Char"/>
    <w:basedOn w:val="19"/>
    <w:link w:val="4"/>
    <w:uiPriority w:val="0"/>
    <w:rPr>
      <w:rFonts w:ascii="宋体" w:hAnsi="宋体" w:cs="宋体"/>
      <w:b/>
      <w:bCs/>
      <w:sz w:val="24"/>
      <w:szCs w:val="24"/>
      <w:lang w:eastAsia="en-US"/>
    </w:rPr>
  </w:style>
  <w:style w:type="character" w:customStyle="1" w:styleId="59">
    <w:name w:val="正文1 Char"/>
    <w:basedOn w:val="19"/>
    <w:link w:val="2"/>
    <w:locked/>
    <w:uiPriority w:val="0"/>
    <w:rPr>
      <w:rFonts w:ascii="宋体" w:hAnsi="Calibri"/>
      <w:sz w:val="34"/>
      <w:szCs w:val="22"/>
    </w:rPr>
  </w:style>
  <w:style w:type="paragraph" w:customStyle="1" w:styleId="60">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61">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62">
    <w:name w:val="结束语 Char"/>
    <w:basedOn w:val="19"/>
    <w:link w:val="7"/>
    <w:qFormat/>
    <w:uiPriority w:val="99"/>
    <w:rPr>
      <w:b/>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6DFC3-A03D-4B0D-9B44-93A0F60D2E1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3110</Words>
  <Characters>17732</Characters>
  <Lines>147</Lines>
  <Paragraphs>41</Paragraphs>
  <TotalTime>153</TotalTime>
  <ScaleCrop>false</ScaleCrop>
  <LinksUpToDate>false</LinksUpToDate>
  <CharactersWithSpaces>20801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2021-05-27T01:01:00Z</dcterms:created>
  <dc:creator>CGC</dc:creator>
  <cp:lastModifiedBy>潘骏</cp:lastModifiedBy>
  <cp:lastPrinted>2019-10-12T01:19:00Z</cp:lastPrinted>
  <dcterms:modified xsi:type="dcterms:W3CDTF">2021-06-07T01:28:52Z</dcterms:modified>
  <dc:title>公开招标文件（货物服务类）</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2052-11.1.0.10577</vt:lpwstr>
  </property>
  <property fmtid="{D5CDD505-2E9C-101B-9397-08002B2CF9AE}" pid="6" name="ICV">
    <vt:lpwstr>ADEE910FAA524AC1B3E5E26B5F5BADC6</vt:lpwstr>
  </property>
</Properties>
</file>