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ascii="微软雅黑" w:eastAsia="微软雅黑"/>
          <w:b/>
          <w:sz w:val="44"/>
          <w:szCs w:val="44"/>
          <w:u w:val="single"/>
        </w:rPr>
        <w:t>PTA海关AEO高级认证辅导发包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20210428002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10：30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1、中选人：厦门红大税务师事务所有限公司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2、综合得分：8</w:t>
      </w:r>
      <w:r>
        <w:rPr>
          <w:rFonts w:cs="Helvetica" w:asciiTheme="minorEastAsia" w:hAnsiTheme="minorEastAsia" w:eastAsiaTheme="minorEastAsia"/>
          <w:sz w:val="28"/>
          <w:szCs w:val="28"/>
        </w:rPr>
        <w:t>9.33分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MB80,000.00元，含6%增值税专用发票。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cs="Helvetic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cs="Helvetic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26</w:t>
      </w:r>
      <w:r>
        <w:rPr>
          <w:rFonts w:cs="Helvetic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 xml:space="preserve">021年  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cs="Helvetic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A325A"/>
    <w:rsid w:val="005D0332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A7B55"/>
    <w:rsid w:val="00FB4364"/>
    <w:rsid w:val="00FB54AA"/>
    <w:rsid w:val="00FE37E3"/>
    <w:rsid w:val="00FE4858"/>
    <w:rsid w:val="00FF6DF6"/>
    <w:rsid w:val="4E02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221</TotalTime>
  <ScaleCrop>false</ScaleCrop>
  <LinksUpToDate>false</LinksUpToDate>
  <CharactersWithSpaces>428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2021-05-26T07:47:51Z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515928DE0BCC42D1A9EED21D51B67B34</vt:lpwstr>
  </property>
</Properties>
</file>