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lang w:eastAsia="zh-CN"/>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阀门、压力表、控制仪、流量计及变送器等采购</w:t>
      </w:r>
      <w:r>
        <w:rPr>
          <w:rFonts w:hint="eastAsia" w:ascii="微软雅黑" w:eastAsia="微软雅黑"/>
          <w:b/>
          <w:sz w:val="36"/>
          <w:szCs w:val="36"/>
          <w:lang w:eastAsia="zh-CN"/>
        </w:rPr>
        <w:t>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FHC-PTCG20210421002 </w:t>
      </w:r>
      <w:r>
        <w:rPr>
          <w:rFonts w:hint="eastAsia"/>
          <w:sz w:val="28"/>
          <w:szCs w:val="28"/>
        </w:rPr>
        <w:t>）</w:t>
      </w:r>
    </w:p>
    <w:p>
      <w:pPr>
        <w:pStyle w:val="8"/>
        <w:rPr>
          <w:rFonts w:ascii="微软雅黑"/>
          <w:b/>
          <w:sz w:val="94"/>
          <w:lang w:eastAsia="zh-CN"/>
        </w:rPr>
      </w:pPr>
    </w:p>
    <w:p>
      <w:pPr>
        <w:pStyle w:val="8"/>
        <w:rPr>
          <w:rFonts w:ascii="微软雅黑"/>
          <w:b/>
          <w:sz w:val="94"/>
          <w:lang w:eastAsia="zh-CN"/>
        </w:rPr>
      </w:pPr>
    </w:p>
    <w:p>
      <w:pPr>
        <w:pStyle w:val="8"/>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二〇二一年四月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8"/>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sz w:val="28"/>
          <w:szCs w:val="28"/>
          <w:lang w:eastAsia="zh-CN"/>
        </w:rPr>
      </w:pPr>
    </w:p>
    <w:p>
      <w:pPr>
        <w:tabs>
          <w:tab w:val="left" w:pos="1272"/>
        </w:tabs>
        <w:spacing w:line="360" w:lineRule="auto"/>
        <w:ind w:left="9"/>
        <w:jc w:val="center"/>
        <w:rPr>
          <w:b/>
          <w:sz w:val="28"/>
          <w:lang w:eastAsia="zh-CN"/>
        </w:rPr>
      </w:pPr>
    </w:p>
    <w:p>
      <w:pPr>
        <w:pStyle w:val="2"/>
      </w:pPr>
    </w:p>
    <w:p>
      <w:pPr>
        <w:pStyle w:val="2"/>
      </w:pPr>
    </w:p>
    <w:p>
      <w:pPr>
        <w:pStyle w:val="2"/>
      </w:pPr>
    </w:p>
    <w:p>
      <w:pPr>
        <w:pStyle w:val="2"/>
      </w:pPr>
    </w:p>
    <w:p>
      <w:pPr>
        <w:pStyle w:val="2"/>
      </w:pPr>
    </w:p>
    <w:p>
      <w:pPr>
        <w:pStyle w:val="2"/>
      </w:pPr>
    </w:p>
    <w:p>
      <w:pPr>
        <w:pStyle w:val="2"/>
      </w:pPr>
    </w:p>
    <w:p>
      <w:pPr>
        <w:pStyle w:val="26"/>
        <w:numPr>
          <w:ilvl w:val="0"/>
          <w:numId w:val="1"/>
        </w:numPr>
        <w:tabs>
          <w:tab w:val="left" w:pos="1272"/>
        </w:tabs>
        <w:spacing w:line="360" w:lineRule="auto"/>
        <w:jc w:val="center"/>
        <w:rPr>
          <w:b/>
          <w:sz w:val="28"/>
          <w:szCs w:val="28"/>
          <w:lang w:eastAsia="zh-CN"/>
        </w:rPr>
      </w:pPr>
      <w:r>
        <w:rPr>
          <w:b/>
          <w:spacing w:val="-1"/>
          <w:w w:val="95"/>
          <w:sz w:val="28"/>
          <w:szCs w:val="28"/>
          <w:lang w:eastAsia="zh-CN"/>
        </w:rPr>
        <w:t>比选公</w:t>
      </w:r>
      <w:r>
        <w:rPr>
          <w:b/>
          <w:w w:val="95"/>
          <w:sz w:val="28"/>
          <w:szCs w:val="28"/>
          <w:lang w:eastAsia="zh-CN"/>
        </w:rPr>
        <w:t>告</w:t>
      </w:r>
    </w:p>
    <w:p>
      <w:pPr>
        <w:pStyle w:val="8"/>
        <w:spacing w:line="360"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 xml:space="preserve"> 阀门、压力表、控制仪、流量计及变送器等采购项目（项目编号：FHC-PTCG20210421002）</w:t>
      </w:r>
      <w:r>
        <w:rPr>
          <w:lang w:eastAsia="zh-CN"/>
        </w:rPr>
        <w:t>进行</w:t>
      </w:r>
      <w:r>
        <w:rPr>
          <w:rFonts w:hint="eastAsia"/>
          <w:lang w:eastAsia="zh-CN"/>
        </w:rPr>
        <w:t>国内</w:t>
      </w:r>
      <w:r>
        <w:rPr>
          <w:lang w:eastAsia="zh-CN"/>
        </w:rPr>
        <w:t>公开比选。为了“公开、公平、公正、透明”，引导参选人进行正确参选，特制定本规定文件</w:t>
      </w:r>
      <w:r>
        <w:rPr>
          <w:rFonts w:hint="eastAsia"/>
          <w:lang w:eastAsia="zh-CN"/>
        </w:rPr>
        <w:t>，欢迎国内符合条件的供应商积极参选</w:t>
      </w:r>
      <w:r>
        <w:rPr>
          <w:lang w:eastAsia="zh-CN"/>
        </w:rPr>
        <w:t>。</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w:t>
      </w:r>
      <w:r>
        <w:rPr>
          <w:rFonts w:hint="eastAsia" w:asciiTheme="majorEastAsia" w:hAnsiTheme="majorEastAsia" w:eastAsiaTheme="majorEastAsia"/>
          <w:sz w:val="24"/>
          <w:szCs w:val="24"/>
          <w:u w:val="single"/>
          <w:lang w:eastAsia="zh-CN"/>
        </w:rPr>
        <w:t>阀门、压力表、控制仪、流量计及变送器等</w:t>
      </w:r>
      <w:r>
        <w:rPr>
          <w:rFonts w:hint="eastAsia" w:asciiTheme="majorEastAsia" w:hAnsiTheme="majorEastAsia" w:eastAsiaTheme="majorEastAsia"/>
          <w:bCs/>
          <w:sz w:val="24"/>
          <w:szCs w:val="24"/>
          <w:u w:val="single"/>
          <w:lang w:eastAsia="zh-CN"/>
        </w:rPr>
        <w:t xml:space="preserve">采购 </w:t>
      </w:r>
    </w:p>
    <w:p>
      <w:pPr>
        <w:pStyle w:val="4"/>
        <w:spacing w:line="360" w:lineRule="auto"/>
        <w:ind w:left="0" w:firstLine="475" w:firstLineChars="198"/>
        <w:rPr>
          <w:b w:val="0"/>
          <w:shd w:val="clear" w:color="auto" w:fill="FFFFFF"/>
          <w:lang w:eastAsia="zh-CN"/>
        </w:rPr>
      </w:pPr>
      <w:r>
        <w:rPr>
          <w:rFonts w:hint="eastAsia" w:asciiTheme="majorEastAsia" w:hAnsiTheme="majorEastAsia" w:eastAsiaTheme="majorEastAsia"/>
          <w:b w:val="0"/>
          <w:lang w:eastAsia="zh-CN"/>
        </w:rPr>
        <w:t>2. 比选项目简要说明：</w:t>
      </w:r>
      <w:r>
        <w:rPr>
          <w:rFonts w:hint="eastAsia"/>
          <w:b w:val="0"/>
          <w:shd w:val="clear" w:color="auto" w:fill="FFFFFF"/>
          <w:lang w:eastAsia="zh-CN"/>
        </w:rPr>
        <w:t>依据化工技改项目需要采购设备，本项目分为两个包段。</w:t>
      </w:r>
    </w:p>
    <w:p>
      <w:pPr>
        <w:spacing w:line="360" w:lineRule="auto"/>
        <w:ind w:left="2400" w:hanging="2400" w:hangingChars="1000"/>
        <w:rPr>
          <w:sz w:val="24"/>
          <w:szCs w:val="24"/>
          <w:lang w:eastAsia="zh-CN"/>
        </w:rPr>
      </w:pPr>
      <w:r>
        <w:rPr>
          <w:rFonts w:hint="eastAsia"/>
          <w:sz w:val="24"/>
          <w:szCs w:val="24"/>
          <w:lang w:eastAsia="zh-CN"/>
        </w:rPr>
        <w:t xml:space="preserve">            包段</w:t>
      </w:r>
      <w:r>
        <w:rPr>
          <w:sz w:val="24"/>
          <w:szCs w:val="24"/>
          <w:lang w:eastAsia="zh-CN"/>
        </w:rPr>
        <w:t>I（阀门采购部分）：包括自力式调节阀4台、智能型压力变送器4台、数控电液阀1台气动球阀1台及电动调节闸阀3台。</w:t>
      </w:r>
    </w:p>
    <w:p>
      <w:pPr>
        <w:spacing w:line="360" w:lineRule="auto"/>
        <w:ind w:left="2412" w:leftChars="660" w:hanging="960" w:hangingChars="400"/>
        <w:rPr>
          <w:sz w:val="24"/>
          <w:szCs w:val="24"/>
          <w:lang w:eastAsia="zh-CN"/>
        </w:rPr>
      </w:pPr>
      <w:r>
        <w:rPr>
          <w:rFonts w:hint="eastAsia"/>
          <w:sz w:val="24"/>
          <w:szCs w:val="24"/>
          <w:lang w:eastAsia="zh-CN"/>
        </w:rPr>
        <w:t>包段</w:t>
      </w:r>
      <w:r>
        <w:rPr>
          <w:sz w:val="24"/>
          <w:szCs w:val="24"/>
          <w:lang w:eastAsia="zh-CN"/>
        </w:rPr>
        <w:t>II（其他采购部分）：包括不锈钢压力表2台、定量装车控制仪3台、质量流量计1台及操作柱3台。</w:t>
      </w:r>
    </w:p>
    <w:p>
      <w:pPr>
        <w:spacing w:line="360" w:lineRule="auto"/>
        <w:rPr>
          <w:sz w:val="24"/>
          <w:szCs w:val="24"/>
          <w:lang w:eastAsia="zh-CN"/>
        </w:rPr>
      </w:pPr>
      <w:r>
        <w:rPr>
          <w:rFonts w:hint="eastAsia"/>
          <w:sz w:val="24"/>
          <w:szCs w:val="24"/>
          <w:lang w:eastAsia="zh-CN"/>
        </w:rPr>
        <w:t xml:space="preserve">     3. 项目控制价格：包段I：300000.00元</w:t>
      </w:r>
    </w:p>
    <w:p>
      <w:pPr>
        <w:pStyle w:val="2"/>
        <w:spacing w:line="360" w:lineRule="auto"/>
        <w:rPr>
          <w:sz w:val="24"/>
          <w:szCs w:val="24"/>
        </w:rPr>
      </w:pPr>
      <w:r>
        <w:rPr>
          <w:rFonts w:hint="eastAsia"/>
          <w:sz w:val="24"/>
          <w:szCs w:val="24"/>
        </w:rPr>
        <w:t xml:space="preserve">                      包段II：350000.00元</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具备独立的企业法人资格、具备有效的企业法人营业执照，信誉良好；</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asciiTheme="minorEastAsia" w:hAnsiTheme="minorEastAsia"/>
          <w:sz w:val="24"/>
          <w:szCs w:val="24"/>
          <w:lang w:eastAsia="zh-CN"/>
        </w:rPr>
        <w:t>提供相对应的资格证书及近三年业绩表</w:t>
      </w:r>
      <w:r>
        <w:rPr>
          <w:rFonts w:hint="eastAsia"/>
          <w:sz w:val="24"/>
          <w:lang w:eastAsia="zh-CN"/>
        </w:rPr>
        <w:t>；</w:t>
      </w:r>
    </w:p>
    <w:p>
      <w:pPr>
        <w:autoSpaceDE/>
        <w:autoSpaceDN/>
        <w:spacing w:line="360" w:lineRule="auto"/>
        <w:ind w:firstLine="480" w:firstLineChars="200"/>
        <w:jc w:val="both"/>
        <w:rPr>
          <w:sz w:val="24"/>
          <w:lang w:eastAsia="zh-CN"/>
        </w:rPr>
      </w:pPr>
      <w:r>
        <w:rPr>
          <w:rFonts w:hint="eastAsia"/>
          <w:sz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firstLine="480" w:firstLineChars="200"/>
        <w:jc w:val="both"/>
        <w:rPr>
          <w:sz w:val="24"/>
          <w:szCs w:val="24"/>
          <w:lang w:eastAsia="zh-CN"/>
        </w:rPr>
      </w:pPr>
      <w:r>
        <w:rPr>
          <w:rFonts w:hint="eastAsia"/>
          <w:sz w:val="24"/>
          <w:lang w:eastAsia="zh-CN"/>
        </w:rPr>
        <w:t>4.</w:t>
      </w:r>
      <w:r>
        <w:rPr>
          <w:sz w:val="24"/>
          <w:lang w:eastAsia="zh-CN"/>
        </w:rPr>
        <w:t xml:space="preserve">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rPr>
          <w:rFonts w:asciiTheme="majorEastAsia" w:hAnsiTheme="majorEastAsia" w:eastAsiaTheme="majorEastAsia"/>
          <w:b/>
          <w:bCs/>
          <w:sz w:val="24"/>
          <w:szCs w:val="24"/>
        </w:rPr>
      </w:pPr>
      <w:r>
        <w:rPr>
          <w:rFonts w:hint="eastAsia"/>
          <w:sz w:val="24"/>
          <w:szCs w:val="24"/>
        </w:rPr>
        <w:t xml:space="preserve">    </w:t>
      </w:r>
      <w:r>
        <w:rPr>
          <w:rFonts w:hint="eastAsia" w:asciiTheme="majorEastAsia" w:hAnsiTheme="majorEastAsia" w:eastAsiaTheme="majorEastAsia"/>
          <w:b/>
          <w:bCs/>
          <w:sz w:val="24"/>
          <w:szCs w:val="24"/>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2021年5月</w:t>
      </w:r>
      <w:r>
        <w:rPr>
          <w:rFonts w:hint="eastAsia" w:asciiTheme="majorEastAsia" w:hAnsiTheme="majorEastAsia" w:eastAsiaTheme="majorEastAsia"/>
          <w:sz w:val="24"/>
          <w:szCs w:val="24"/>
          <w:lang w:val="en-US" w:eastAsia="zh-CN"/>
        </w:rPr>
        <w:t>8</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17</w:t>
      </w:r>
      <w:bookmarkStart w:id="61" w:name="_GoBack"/>
      <w:bookmarkEnd w:id="61"/>
      <w:r>
        <w:rPr>
          <w:rFonts w:hint="eastAsia" w:asciiTheme="majorEastAsia" w:hAnsiTheme="majorEastAsia" w:eastAsiaTheme="majorEastAsia"/>
          <w:sz w:val="24"/>
          <w:szCs w:val="24"/>
          <w:lang w:eastAsia="zh-CN"/>
        </w:rPr>
        <w:t>日（共10天）</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24"/>
          <w:rFonts w:hint="eastAsia" w:asciiTheme="majorEastAsia" w:hAnsiTheme="majorEastAsia" w:eastAsiaTheme="majorEastAsia"/>
          <w:bCs/>
          <w:sz w:val="24"/>
          <w:szCs w:val="24"/>
          <w:lang w:eastAsia="zh-CN"/>
        </w:rPr>
        <w:t>hzji@fhcpec.com.cn</w:t>
      </w:r>
      <w:r>
        <w:rPr>
          <w:rStyle w:val="24"/>
          <w:rFonts w:hint="eastAsia" w:asciiTheme="majorEastAsia" w:hAnsiTheme="majorEastAsia" w:eastAsiaTheme="majorEastAsia"/>
          <w:bCs/>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。未报名的参选人不能参加本项目比选，两个包段可以分别报名参选。</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阀门部分和定量装车控制仪需进行技术交流，签订技术协议书。</w:t>
      </w:r>
    </w:p>
    <w:p>
      <w:pPr>
        <w:pStyle w:val="3"/>
        <w:spacing w:line="360" w:lineRule="auto"/>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纪检监察室电话：0596-6311774  邮箱：</w:t>
      </w:r>
      <w:r>
        <w:fldChar w:fldCharType="begin"/>
      </w:r>
      <w:r>
        <w:instrText xml:space="preserve"> HYPERLINK "mailto:fhcjc@fhcpec.com.cn" </w:instrText>
      </w:r>
      <w:r>
        <w:fldChar w:fldCharType="separate"/>
      </w:r>
      <w:r>
        <w:rPr>
          <w:rStyle w:val="24"/>
          <w:rFonts w:hint="eastAsia" w:asciiTheme="majorEastAsia" w:hAnsiTheme="majorEastAsia" w:eastAsiaTheme="majorEastAsia"/>
          <w:bCs/>
          <w:szCs w:val="24"/>
        </w:rPr>
        <w:t>fhcjc</w:t>
      </w:r>
      <w:r>
        <w:rPr>
          <w:rStyle w:val="24"/>
          <w:rFonts w:asciiTheme="majorEastAsia" w:hAnsiTheme="majorEastAsia" w:eastAsiaTheme="majorEastAsia"/>
          <w:bCs/>
          <w:szCs w:val="24"/>
        </w:rPr>
        <w:t>@fhcpec.com.cn</w:t>
      </w:r>
      <w:r>
        <w:rPr>
          <w:rStyle w:val="24"/>
          <w:rFonts w:asciiTheme="majorEastAsia" w:hAnsiTheme="majorEastAsia" w:eastAsiaTheme="majorEastAsia"/>
          <w:bCs/>
          <w:szCs w:val="24"/>
        </w:rPr>
        <w:fldChar w:fldCharType="end"/>
      </w:r>
    </w:p>
    <w:p>
      <w:pPr>
        <w:pStyle w:val="6"/>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5040" w:firstLineChars="2100"/>
        <w:rPr>
          <w:sz w:val="24"/>
          <w:szCs w:val="24"/>
          <w:lang w:eastAsia="zh-CN"/>
        </w:rPr>
      </w:pPr>
      <w:r>
        <w:rPr>
          <w:rFonts w:hint="eastAsia"/>
          <w:sz w:val="24"/>
          <w:szCs w:val="24"/>
          <w:lang w:eastAsia="zh-CN"/>
        </w:rPr>
        <w:t>2021.05.07</w:t>
      </w:r>
    </w:p>
    <w:p>
      <w:pPr>
        <w:pStyle w:val="3"/>
        <w:tabs>
          <w:tab w:val="left" w:pos="1262"/>
        </w:tabs>
        <w:spacing w:line="355" w:lineRule="exact"/>
        <w:ind w:left="0" w:right="108"/>
        <w:jc w:val="center"/>
        <w:rPr>
          <w:lang w:eastAsia="zh-CN"/>
        </w:rPr>
        <w:sectPr>
          <w:footerReference r:id="rId3" w:type="default"/>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阀门、压力表、控制仪、流量计及变送器等</w:t>
      </w:r>
      <w:r>
        <w:rPr>
          <w:rFonts w:hint="eastAsia" w:asciiTheme="majorEastAsia" w:hAnsiTheme="majorEastAsia" w:eastAsiaTheme="majorEastAsia"/>
          <w:bCs/>
          <w:u w:val="single"/>
          <w:lang w:eastAsia="zh-CN"/>
        </w:rPr>
        <w:t>采购</w:t>
      </w:r>
      <w:r>
        <w:rPr>
          <w:rFonts w:hint="eastAsia" w:asciiTheme="majorEastAsia" w:hAnsiTheme="majorEastAsia" w:eastAsiaTheme="majorEastAsia"/>
          <w:u w:val="single"/>
          <w:lang w:eastAsia="zh-CN"/>
        </w:rPr>
        <w:t xml:space="preserve">项目  </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漳州市漳浦县古雷开发区腾龙路86号</w:t>
      </w:r>
    </w:p>
    <w:p>
      <w:pPr>
        <w:pStyle w:val="8"/>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采用总价包干的</w:t>
      </w:r>
      <w:r>
        <w:rPr>
          <w:rFonts w:hint="eastAsia" w:asciiTheme="majorEastAsia" w:hAnsiTheme="majorEastAsia" w:eastAsiaTheme="majorEastAsia"/>
          <w:lang w:eastAsia="zh-CN"/>
        </w:rPr>
        <w:t>方式。</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w:t>
      </w:r>
      <w:r>
        <w:rPr>
          <w:rFonts w:hint="eastAsia"/>
          <w:sz w:val="24"/>
          <w:szCs w:val="24"/>
          <w:u w:val="single"/>
          <w:shd w:val="clear" w:color="auto" w:fill="FFFFFF"/>
          <w:lang w:eastAsia="zh-CN"/>
        </w:rPr>
        <w:t>化工技改项目需要采购设备</w:t>
      </w:r>
      <w:r>
        <w:rPr>
          <w:rFonts w:hint="eastAsia" w:asciiTheme="majorEastAsia" w:hAnsiTheme="majorEastAsia" w:eastAsiaTheme="majorEastAsia"/>
          <w:snapToGrid w:val="0"/>
          <w:spacing w:val="8"/>
          <w:sz w:val="24"/>
          <w:szCs w:val="24"/>
          <w:u w:val="single"/>
          <w:lang w:eastAsia="zh-CN"/>
        </w:rPr>
        <w:t xml:space="preserve"> </w:t>
      </w:r>
    </w:p>
    <w:p>
      <w:pPr>
        <w:spacing w:line="360" w:lineRule="auto"/>
        <w:ind w:left="2404" w:leftChars="220" w:hanging="1920" w:hangingChars="8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p>
    <w:p>
      <w:pPr>
        <w:spacing w:line="360" w:lineRule="auto"/>
        <w:ind w:left="2404" w:leftChars="220" w:hanging="1920" w:hangingChars="800"/>
        <w:rPr>
          <w:sz w:val="24"/>
          <w:szCs w:val="24"/>
          <w:lang w:eastAsia="zh-CN"/>
        </w:rPr>
      </w:pPr>
      <w:r>
        <w:rPr>
          <w:rFonts w:hint="eastAsia"/>
          <w:sz w:val="24"/>
          <w:szCs w:val="24"/>
          <w:lang w:eastAsia="zh-CN"/>
        </w:rPr>
        <w:t>包段</w:t>
      </w:r>
      <w:r>
        <w:rPr>
          <w:sz w:val="24"/>
          <w:szCs w:val="24"/>
          <w:lang w:eastAsia="zh-CN"/>
        </w:rPr>
        <w:t>I（阀门采购部分）：包括自力式调节阀4台、智能型压力变送器4台、数控电液阀1台气动球阀1台及电动调节闸阀3台。</w:t>
      </w:r>
    </w:p>
    <w:p>
      <w:pPr>
        <w:spacing w:line="360" w:lineRule="auto"/>
        <w:ind w:left="2404" w:leftChars="220" w:hanging="1920" w:hangingChars="800"/>
        <w:rPr>
          <w:rFonts w:asciiTheme="majorEastAsia" w:hAnsiTheme="majorEastAsia" w:eastAsiaTheme="majorEastAsia"/>
          <w:sz w:val="24"/>
          <w:szCs w:val="24"/>
          <w:lang w:eastAsia="zh-CN"/>
        </w:rPr>
      </w:pPr>
      <w:r>
        <w:rPr>
          <w:rFonts w:hint="eastAsia"/>
          <w:sz w:val="24"/>
          <w:szCs w:val="24"/>
          <w:lang w:eastAsia="zh-CN"/>
        </w:rPr>
        <w:t>包段</w:t>
      </w:r>
      <w:r>
        <w:rPr>
          <w:sz w:val="24"/>
          <w:szCs w:val="24"/>
          <w:lang w:eastAsia="zh-CN"/>
        </w:rPr>
        <w:t>II（其他采购部分）：包括不锈钢压力表2台、定量装车控制仪3台、质量流量计1台及操作柱3台。</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(五)设备质量：</w:t>
      </w:r>
      <w:r>
        <w:rPr>
          <w:rFonts w:hint="eastAsia" w:asciiTheme="majorEastAsia" w:hAnsiTheme="majorEastAsia" w:eastAsiaTheme="majorEastAsia" w:cstheme="minorEastAsia"/>
          <w:kern w:val="59"/>
          <w:sz w:val="24"/>
          <w:szCs w:val="24"/>
          <w:lang w:eastAsia="zh-CN"/>
        </w:rPr>
        <w:t>全优</w:t>
      </w:r>
    </w:p>
    <w:p>
      <w:pPr>
        <w:pStyle w:val="8"/>
        <w:spacing w:line="360" w:lineRule="auto"/>
        <w:ind w:right="222" w:firstLine="236" w:firstLineChars="98"/>
        <w:rPr>
          <w:rFonts w:asciiTheme="majorEastAsia" w:hAnsiTheme="majorEastAsia" w:eastAsiaTheme="majorEastAsia"/>
          <w:lang w:eastAsia="zh-CN"/>
        </w:rPr>
      </w:pPr>
      <w:r>
        <w:rPr>
          <w:rFonts w:hint="eastAsia" w:asciiTheme="majorEastAsia" w:hAnsiTheme="majorEastAsia" w:eastAsiaTheme="majorEastAsia"/>
          <w:b/>
          <w:bCs/>
          <w:lang w:eastAsia="zh-CN"/>
        </w:rPr>
        <w:t>备注：参选人可以对各包段分别报名参选，但必须对同一个包段中的全部货物与服务进行投标，不得仅对同一包段中的部分货物或服务进行投标，否则其投标文件将被拒绝。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spacing w:line="360" w:lineRule="auto"/>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8"/>
        <w:spacing w:line="360" w:lineRule="auto"/>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8"/>
        <w:spacing w:line="360" w:lineRule="auto"/>
        <w:ind w:left="118" w:right="-49"/>
        <w:rPr>
          <w:rFonts w:asciiTheme="majorEastAsia" w:hAnsiTheme="majorEastAsia" w:eastAsiaTheme="majorEastAsia"/>
          <w:spacing w:val="-10"/>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8"/>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具备独立的企业法人资格、具备有效的企业法人营业执照，信誉良好；</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asciiTheme="minorEastAsia" w:hAnsiTheme="minorEastAsia"/>
          <w:sz w:val="24"/>
          <w:szCs w:val="24"/>
          <w:lang w:eastAsia="zh-CN"/>
        </w:rPr>
        <w:t>提供相对应的资格证书及近三年业绩表</w:t>
      </w:r>
      <w:r>
        <w:rPr>
          <w:rFonts w:hint="eastAsia"/>
          <w:sz w:val="24"/>
          <w:lang w:eastAsia="zh-CN"/>
        </w:rPr>
        <w:t>；</w:t>
      </w:r>
    </w:p>
    <w:p>
      <w:pPr>
        <w:autoSpaceDE/>
        <w:autoSpaceDN/>
        <w:spacing w:line="360" w:lineRule="auto"/>
        <w:ind w:firstLine="480" w:firstLineChars="200"/>
        <w:jc w:val="both"/>
        <w:rPr>
          <w:sz w:val="24"/>
          <w:lang w:eastAsia="zh-CN"/>
        </w:rPr>
      </w:pPr>
      <w:r>
        <w:rPr>
          <w:rFonts w:hint="eastAsia"/>
          <w:sz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firstLine="480" w:firstLineChars="200"/>
        <w:jc w:val="both"/>
        <w:rPr>
          <w:sz w:val="24"/>
          <w:szCs w:val="24"/>
          <w:lang w:eastAsia="zh-CN"/>
        </w:rPr>
      </w:pPr>
      <w:r>
        <w:rPr>
          <w:rFonts w:hint="eastAsia"/>
          <w:sz w:val="24"/>
          <w:lang w:eastAsia="zh-CN"/>
        </w:rPr>
        <w:t>4.</w:t>
      </w:r>
      <w:r>
        <w:rPr>
          <w:sz w:val="24"/>
          <w:lang w:eastAsia="zh-CN"/>
        </w:rPr>
        <w:t xml:space="preserve">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1、参选保证金的金额为：人民币壹万叁仟元整（13000.00元），其中包段I为0.6万元，包段II为0.7万元；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4065 7481 6628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阀门及变送器等采购项目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，最迟不超过规定的比选有效期满后的20天；</w:t>
      </w:r>
    </w:p>
    <w:p>
      <w:pPr>
        <w:pStyle w:val="8"/>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8"/>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技术联系人：黄志明     电话：0596-6088535 </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8"/>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1、本项目最高限价：包段I为人民币</w:t>
      </w:r>
      <w:r>
        <w:rPr>
          <w:rFonts w:hint="eastAsia"/>
          <w:b/>
          <w:sz w:val="24"/>
          <w:szCs w:val="24"/>
          <w:lang w:eastAsia="zh-CN"/>
        </w:rPr>
        <w:t>300000.00元</w:t>
      </w:r>
      <w:r>
        <w:rPr>
          <w:rFonts w:hint="eastAsia" w:asciiTheme="majorEastAsia" w:hAnsiTheme="majorEastAsia" w:eastAsiaTheme="majorEastAsia"/>
          <w:bCs/>
          <w:sz w:val="24"/>
          <w:szCs w:val="24"/>
          <w:lang w:eastAsia="zh-CN"/>
        </w:rPr>
        <w:t>，包段II为人民币</w:t>
      </w:r>
      <w:r>
        <w:rPr>
          <w:rFonts w:hint="eastAsia"/>
          <w:b/>
          <w:sz w:val="24"/>
          <w:szCs w:val="24"/>
          <w:lang w:eastAsia="zh-CN"/>
        </w:rPr>
        <w:t>350000.00元</w:t>
      </w:r>
      <w:r>
        <w:rPr>
          <w:rFonts w:hint="eastAsia" w:asciiTheme="majorEastAsia" w:hAnsiTheme="majorEastAsia" w:eastAsiaTheme="majorEastAsia"/>
          <w:bCs/>
          <w:sz w:val="24"/>
          <w:szCs w:val="24"/>
          <w:lang w:eastAsia="zh-CN"/>
        </w:rPr>
        <w:t>。参选人所填报的各包段参选总价高于各包段最高限价的，其参选将被评标委员会予以否决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仪表数据表中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具体见附件报价表中的说明）。</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2"/>
        <w:spacing w:line="360" w:lineRule="auto"/>
        <w:rPr>
          <w:rFonts w:asciiTheme="majorEastAsia" w:hAnsiTheme="majorEastAsia" w:eastAsiaTheme="majorEastAsia"/>
          <w:sz w:val="24"/>
          <w:szCs w:val="24"/>
        </w:rPr>
      </w:pPr>
    </w:p>
    <w:p>
      <w:pPr>
        <w:pStyle w:val="2"/>
        <w:spacing w:line="360" w:lineRule="auto"/>
        <w:rPr>
          <w:rFonts w:asciiTheme="majorEastAsia" w:hAnsiTheme="majorEastAsia" w:eastAsiaTheme="majorEastAsia"/>
          <w:sz w:val="24"/>
          <w:szCs w:val="24"/>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8"/>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6"/>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5）按本须知规定提供的其它资料</w:t>
      </w:r>
      <w:r>
        <w:rPr>
          <w:rFonts w:hint="eastAsia" w:asciiTheme="majorEastAsia" w:hAnsiTheme="majorEastAsia" w:eastAsiaTheme="majorEastAsia"/>
          <w:kern w:val="59"/>
          <w:sz w:val="24"/>
          <w:szCs w:val="24"/>
          <w:lang w:eastAsia="zh-CN"/>
        </w:rPr>
        <w:t>。</w:t>
      </w:r>
    </w:p>
    <w:p>
      <w:pPr>
        <w:pStyle w:val="8"/>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8"/>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8"/>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8"/>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8"/>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177186249"/>
      <w:bookmarkStart w:id="1" w:name="_Toc304357904"/>
      <w:bookmarkStart w:id="2" w:name="_Toc430490619"/>
      <w:bookmarkStart w:id="3" w:name="_Toc430489126"/>
      <w:bookmarkStart w:id="4" w:name="_Toc430422420"/>
      <w:bookmarkStart w:id="5" w:name="_Toc430488651"/>
      <w:bookmarkStart w:id="6" w:name="_Toc430488858"/>
      <w:bookmarkStart w:id="7" w:name="_Toc415567504"/>
      <w:bookmarkStart w:id="8" w:name="_Toc430492133"/>
    </w:p>
    <w:p>
      <w:pPr>
        <w:pStyle w:val="8"/>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8"/>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sz w:val="24"/>
          <w:szCs w:val="24"/>
          <w:lang w:eastAsia="zh-CN"/>
        </w:rPr>
      </w:pPr>
      <w:r>
        <w:rPr>
          <w:rFonts w:hint="eastAsia"/>
          <w:sz w:val="24"/>
          <w:szCs w:val="24"/>
          <w:lang w:eastAsia="zh-CN"/>
        </w:rPr>
        <w:t>9.</w:t>
      </w:r>
      <w:r>
        <w:rPr>
          <w:sz w:val="24"/>
          <w:szCs w:val="24"/>
          <w:lang w:eastAsia="zh-CN"/>
        </w:rPr>
        <w:t xml:space="preserve"> </w:t>
      </w:r>
      <w:r>
        <w:rPr>
          <w:rFonts w:hint="eastAsia"/>
          <w:lang w:eastAsia="zh-CN"/>
        </w:rPr>
        <w:t>参选文件正本应按要求由经正式授权的参选人代表签字并加盖参选人公章。副本可以用复印件。</w:t>
      </w:r>
    </w:p>
    <w:p>
      <w:pPr>
        <w:pStyle w:val="2"/>
        <w:rPr>
          <w:b/>
          <w:sz w:val="28"/>
          <w:szCs w:val="28"/>
        </w:rPr>
      </w:pPr>
    </w:p>
    <w:p>
      <w:pPr>
        <w:pStyle w:val="3"/>
        <w:tabs>
          <w:tab w:val="left" w:pos="1488"/>
        </w:tabs>
        <w:spacing w:line="355" w:lineRule="exact"/>
        <w:ind w:left="365"/>
        <w:jc w:val="center"/>
        <w:rPr>
          <w:w w:val="95"/>
          <w:lang w:eastAsia="zh-CN"/>
        </w:rPr>
      </w:pPr>
      <w:r>
        <w:rPr>
          <w:lang w:eastAsia="zh-CN"/>
        </w:rPr>
        <w:t>第</w:t>
      </w:r>
      <w:r>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8"/>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8"/>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8"/>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8"/>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8"/>
        <w:spacing w:line="360" w:lineRule="auto"/>
        <w:ind w:right="121" w:firstLine="480" w:firstLineChars="200"/>
        <w:jc w:val="both"/>
        <w:rPr>
          <w:lang w:eastAsia="zh-CN"/>
        </w:rPr>
      </w:pPr>
      <w:r>
        <w:rPr>
          <w:rFonts w:hint="eastAsia"/>
          <w:lang w:eastAsia="zh-CN"/>
        </w:rPr>
        <w:t>本项目设置最高控制价：</w:t>
      </w:r>
      <w:r>
        <w:rPr>
          <w:rFonts w:hint="eastAsia" w:asciiTheme="majorEastAsia" w:hAnsiTheme="majorEastAsia" w:eastAsiaTheme="majorEastAsia"/>
          <w:bCs/>
          <w:lang w:eastAsia="zh-CN"/>
        </w:rPr>
        <w:t>包段I为人民币</w:t>
      </w:r>
      <w:r>
        <w:rPr>
          <w:rFonts w:hint="eastAsia"/>
          <w:b/>
          <w:lang w:eastAsia="zh-CN"/>
        </w:rPr>
        <w:t>300000.00元</w:t>
      </w:r>
      <w:r>
        <w:rPr>
          <w:rFonts w:hint="eastAsia" w:asciiTheme="majorEastAsia" w:hAnsiTheme="majorEastAsia" w:eastAsiaTheme="majorEastAsia"/>
          <w:bCs/>
          <w:lang w:eastAsia="zh-CN"/>
        </w:rPr>
        <w:t>，包段II为人民币</w:t>
      </w:r>
      <w:r>
        <w:rPr>
          <w:rFonts w:hint="eastAsia"/>
          <w:b/>
          <w:lang w:eastAsia="zh-CN"/>
        </w:rPr>
        <w:t>350000.00元</w:t>
      </w:r>
      <w:r>
        <w:rPr>
          <w:rFonts w:hint="eastAsia" w:asciiTheme="majorEastAsia" w:hAnsiTheme="majorEastAsia" w:eastAsiaTheme="majorEastAsia"/>
          <w:bCs/>
          <w:lang w:eastAsia="zh-CN"/>
        </w:rPr>
        <w:t>。</w:t>
      </w:r>
      <w:r>
        <w:rPr>
          <w:rFonts w:hint="eastAsia"/>
          <w:b/>
          <w:lang w:eastAsia="zh-CN"/>
        </w:rPr>
        <w:t>（含税价）</w:t>
      </w:r>
      <w:r>
        <w:rPr>
          <w:rFonts w:hint="eastAsia"/>
          <w:lang w:eastAsia="zh-CN"/>
        </w:rPr>
        <w:t>。参选人所填报的报价高于本项目各包段最高限价的，其参选将被否决。</w:t>
      </w:r>
    </w:p>
    <w:p>
      <w:pPr>
        <w:pStyle w:val="8"/>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分别对两个包段进行商务报价的评选，未税总价最低者作为中选单位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8"/>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8"/>
        <w:spacing w:line="360" w:lineRule="auto"/>
        <w:ind w:right="121" w:firstLine="480" w:firstLineChars="200"/>
        <w:jc w:val="both"/>
        <w:rPr>
          <w:lang w:eastAsia="zh-CN"/>
        </w:rPr>
      </w:pPr>
      <w:r>
        <w:rPr>
          <w:lang w:eastAsia="zh-CN"/>
        </w:rPr>
        <w:t>2.参选文件存在重大偏差的。</w:t>
      </w:r>
    </w:p>
    <w:p>
      <w:pPr>
        <w:pStyle w:val="8"/>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8"/>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8"/>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8"/>
        <w:spacing w:line="360" w:lineRule="auto"/>
        <w:ind w:right="121" w:firstLine="480" w:firstLineChars="200"/>
        <w:jc w:val="both"/>
        <w:rPr>
          <w:lang w:eastAsia="zh-CN"/>
        </w:rPr>
      </w:pPr>
      <w:r>
        <w:rPr>
          <w:lang w:eastAsia="zh-CN"/>
        </w:rPr>
        <w:t>2.在开选时没有启封和读出的参选文件，在评选时将不予考虑。</w:t>
      </w:r>
    </w:p>
    <w:p>
      <w:pPr>
        <w:pStyle w:val="8"/>
        <w:spacing w:line="360" w:lineRule="auto"/>
        <w:ind w:right="121" w:firstLine="480" w:firstLineChars="200"/>
        <w:jc w:val="both"/>
        <w:rPr>
          <w:lang w:eastAsia="zh-CN"/>
        </w:rPr>
      </w:pPr>
      <w:r>
        <w:rPr>
          <w:lang w:eastAsia="zh-CN"/>
        </w:rPr>
        <w:t>3.比选人将做开选记录。</w:t>
      </w:r>
    </w:p>
    <w:p>
      <w:pPr>
        <w:pStyle w:val="2"/>
        <w:spacing w:line="360" w:lineRule="auto"/>
        <w:ind w:firstLine="480" w:firstLineChars="200"/>
        <w:rPr>
          <w:b/>
          <w:sz w:val="24"/>
          <w:szCs w:val="24"/>
        </w:rPr>
      </w:pPr>
      <w:r>
        <w:rPr>
          <w:rFonts w:hint="eastAsia"/>
          <w:sz w:val="24"/>
          <w:szCs w:val="24"/>
        </w:rPr>
        <w:t>4.业主将根据评选结果与中选人签订合同。</w:t>
      </w:r>
    </w:p>
    <w:p>
      <w:pPr>
        <w:pStyle w:val="2"/>
        <w:spacing w:line="360" w:lineRule="auto"/>
        <w:rPr>
          <w:b/>
          <w:sz w:val="28"/>
          <w:szCs w:val="28"/>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spacing w:before="12"/>
        <w:rPr>
          <w:b/>
          <w:sz w:val="33"/>
          <w:lang w:eastAsia="zh-CN"/>
        </w:rPr>
      </w:pPr>
    </w:p>
    <w:p>
      <w:pPr>
        <w:pStyle w:val="8"/>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8"/>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23"/>
          <w:rFonts w:hint="eastAsia"/>
          <w:sz w:val="24"/>
          <w:szCs w:val="24"/>
        </w:rPr>
        <w:t>福建福海创石油化工有限公司的权属子公司“翔鹭石化（漳州）有限公司”作为合同执行主体，将于中选通知书发出之日起20日内与中选人完成合同签订事宜。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spacing w:before="12"/>
        <w:rPr>
          <w:b/>
          <w:sz w:val="33"/>
          <w:lang w:eastAsia="zh-CN"/>
        </w:rPr>
      </w:pPr>
    </w:p>
    <w:p>
      <w:pPr>
        <w:pStyle w:val="8"/>
        <w:spacing w:line="360" w:lineRule="auto"/>
        <w:ind w:right="108" w:firstLine="480" w:firstLineChars="20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pPr>
        <w:pStyle w:val="8"/>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u w:val="single"/>
          <w:lang w:eastAsia="zh-CN"/>
        </w:rPr>
        <w:t>阀门、压力表、控制仪、流量计及变送器等采购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539" w:leftChars="245" w:firstLine="2502" w:firstLineChars="89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rPr>
          <w:b/>
          <w:sz w:val="28"/>
          <w:lang w:eastAsia="zh-CN"/>
        </w:rPr>
      </w:pPr>
    </w:p>
    <w:p>
      <w:pPr>
        <w:pStyle w:val="8"/>
        <w:spacing w:before="12" w:line="360" w:lineRule="auto"/>
        <w:rPr>
          <w:b/>
          <w:sz w:val="33"/>
          <w:lang w:eastAsia="zh-CN"/>
        </w:rPr>
      </w:pPr>
    </w:p>
    <w:p>
      <w:pPr>
        <w:pStyle w:val="8"/>
        <w:spacing w:line="360" w:lineRule="auto"/>
        <w:ind w:firstLine="480" w:firstLineChars="20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8"/>
        <w:spacing w:before="108" w:line="360" w:lineRule="auto"/>
        <w:ind w:firstLine="480" w:firstLineChars="200"/>
        <w:rPr>
          <w:lang w:eastAsia="zh-CN"/>
        </w:rPr>
      </w:pPr>
      <w:r>
        <w:rPr>
          <w:lang w:eastAsia="zh-CN"/>
        </w:rPr>
        <w:t>2.比选人郑重承诺：参选人所提交的参选文件及相关资料不向第三方泄露。</w:t>
      </w:r>
    </w:p>
    <w:p>
      <w:pPr>
        <w:pStyle w:val="8"/>
        <w:spacing w:before="106" w:line="360" w:lineRule="auto"/>
        <w:ind w:firstLine="480" w:firstLineChars="200"/>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8"/>
        <w:spacing w:before="106" w:line="360" w:lineRule="auto"/>
        <w:ind w:left="567"/>
        <w:rPr>
          <w:lang w:eastAsia="zh-CN"/>
        </w:rPr>
      </w:pPr>
      <w:r>
        <w:rPr>
          <w:lang w:eastAsia="zh-CN"/>
        </w:rPr>
        <w:br w:type="page"/>
      </w:r>
    </w:p>
    <w:p>
      <w:pPr>
        <w:pStyle w:val="8"/>
        <w:rPr>
          <w:rFonts w:ascii="Times New Roman"/>
          <w:b/>
          <w:bCs/>
          <w:lang w:eastAsia="zh-CN"/>
        </w:rPr>
      </w:pPr>
      <w:r>
        <w:rPr>
          <w:rFonts w:hint="eastAsia" w:ascii="Times New Roman"/>
          <w:b/>
          <w:bCs/>
          <w:lang w:eastAsia="zh-CN"/>
        </w:rPr>
        <w:t>附件一、</w:t>
      </w:r>
    </w:p>
    <w:p>
      <w:pPr>
        <w:spacing w:line="200" w:lineRule="atLeast"/>
        <w:jc w:val="center"/>
        <w:rPr>
          <w:b/>
          <w:sz w:val="30"/>
          <w:szCs w:val="30"/>
          <w:lang w:eastAsia="zh-CN"/>
        </w:rPr>
      </w:pPr>
      <w:bookmarkStart w:id="9" w:name="_Toc251742852"/>
      <w:r>
        <w:rPr>
          <w:rFonts w:hint="eastAsia"/>
          <w:b/>
          <w:sz w:val="30"/>
          <w:szCs w:val="30"/>
          <w:lang w:eastAsia="zh-CN"/>
        </w:rPr>
        <w:t>翔鹭石化（漳州）有限公司</w:t>
      </w:r>
    </w:p>
    <w:p>
      <w:pPr>
        <w:pStyle w:val="2"/>
        <w:spacing w:line="200" w:lineRule="atLeast"/>
        <w:jc w:val="center"/>
        <w:rPr>
          <w:b/>
          <w:sz w:val="28"/>
          <w:szCs w:val="28"/>
        </w:rPr>
      </w:pPr>
      <w:r>
        <w:rPr>
          <w:rFonts w:hint="eastAsia" w:asciiTheme="minorEastAsia" w:hAnsiTheme="minorEastAsia" w:eastAsiaTheme="minorEastAsia"/>
          <w:b/>
          <w:sz w:val="28"/>
          <w:szCs w:val="28"/>
        </w:rPr>
        <w:t>阀门及智能压力变送器等</w:t>
      </w:r>
      <w:r>
        <w:rPr>
          <w:rFonts w:hint="eastAsia" w:asciiTheme="majorEastAsia" w:hAnsiTheme="majorEastAsia" w:eastAsiaTheme="majorEastAsia"/>
          <w:b/>
          <w:sz w:val="28"/>
          <w:szCs w:val="28"/>
        </w:rPr>
        <w:t>采购</w:t>
      </w:r>
      <w:r>
        <w:rPr>
          <w:rFonts w:hint="eastAsia"/>
          <w:b/>
          <w:sz w:val="28"/>
          <w:szCs w:val="28"/>
        </w:rPr>
        <w:t>合同</w:t>
      </w:r>
    </w:p>
    <w:tbl>
      <w:tblPr>
        <w:tblStyle w:val="21"/>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567"/>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61" w:type="dxa"/>
          </w:tcPr>
          <w:p>
            <w:pPr>
              <w:spacing w:line="360" w:lineRule="auto"/>
              <w:jc w:val="both"/>
              <w:rPr>
                <w:sz w:val="24"/>
                <w:lang w:eastAsia="zh-CN"/>
              </w:rPr>
            </w:pPr>
            <w:r>
              <w:rPr>
                <w:rFonts w:hint="eastAsia"/>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合同编号：</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甲方：翔鹭石化（漳州）有限公司</w:t>
            </w:r>
          </w:p>
        </w:tc>
        <w:tc>
          <w:tcPr>
            <w:tcW w:w="567" w:type="dxa"/>
          </w:tcPr>
          <w:p>
            <w:pPr>
              <w:spacing w:line="360" w:lineRule="auto"/>
              <w:jc w:val="both"/>
              <w:rPr>
                <w:sz w:val="24"/>
                <w:lang w:eastAsia="zh-CN"/>
              </w:rPr>
            </w:pPr>
            <w:r>
              <w:rPr>
                <w:rFonts w:hint="eastAsia"/>
                <w:sz w:val="24"/>
                <w:lang w:eastAsia="zh-CN"/>
              </w:rPr>
              <w:t xml:space="preserve">                                     </w:t>
            </w:r>
          </w:p>
        </w:tc>
        <w:tc>
          <w:tcPr>
            <w:tcW w:w="1418" w:type="dxa"/>
          </w:tcPr>
          <w:p>
            <w:pPr>
              <w:spacing w:line="360" w:lineRule="auto"/>
              <w:jc w:val="both"/>
              <w:rPr>
                <w:szCs w:val="21"/>
              </w:rPr>
            </w:pPr>
            <w:r>
              <w:rPr>
                <w:rFonts w:hint="eastAsia"/>
                <w:szCs w:val="21"/>
              </w:rPr>
              <w:t>签订地点：</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乙方：</w:t>
            </w:r>
            <w:r>
              <w:rPr>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签订日期：</w:t>
            </w:r>
          </w:p>
        </w:tc>
        <w:tc>
          <w:tcPr>
            <w:tcW w:w="3649" w:type="dxa"/>
          </w:tcPr>
          <w:p>
            <w:pPr>
              <w:spacing w:line="360" w:lineRule="auto"/>
              <w:jc w:val="both"/>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根据甲方采购项目需求，经双方友好协商，就甲方向乙方采购本合同第1条所列产品相关事宜，依据《中华人民共和国民典法》及其他相关法律法规规定，双方签订如下协议：</w:t>
      </w:r>
    </w:p>
    <w:p>
      <w:pPr>
        <w:pStyle w:val="26"/>
        <w:numPr>
          <w:ilvl w:val="0"/>
          <w:numId w:val="3"/>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p>
      <w:pPr>
        <w:pStyle w:val="26"/>
        <w:spacing w:before="0" w:line="360" w:lineRule="auto"/>
        <w:ind w:left="360" w:firstLine="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w:t>
      </w:r>
    </w:p>
    <w:tbl>
      <w:tblPr>
        <w:tblStyle w:val="20"/>
        <w:tblW w:w="9356" w:type="dxa"/>
        <w:tblInd w:w="0" w:type="dxa"/>
        <w:tblLayout w:type="autofit"/>
        <w:tblCellMar>
          <w:top w:w="0" w:type="dxa"/>
          <w:left w:w="108" w:type="dxa"/>
          <w:bottom w:w="0" w:type="dxa"/>
          <w:right w:w="108" w:type="dxa"/>
        </w:tblCellMar>
      </w:tblPr>
      <w:tblGrid>
        <w:gridCol w:w="426"/>
        <w:gridCol w:w="958"/>
        <w:gridCol w:w="3861"/>
        <w:gridCol w:w="709"/>
        <w:gridCol w:w="851"/>
        <w:gridCol w:w="850"/>
        <w:gridCol w:w="1701"/>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95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86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958"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Cs/>
                <w:color w:val="000000"/>
                <w:sz w:val="21"/>
                <w:szCs w:val="21"/>
                <w:lang w:eastAsia="zh-CN"/>
              </w:rPr>
              <w:t>自力式调节阀</w:t>
            </w:r>
          </w:p>
        </w:tc>
        <w:tc>
          <w:tcPr>
            <w:tcW w:w="3861"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尺寸DN25/压力等级150LB/阀前压力0.7MPa/阀后压力0.5KPa/阀后调节范围0.25KPa开启、0.5KPa关闭/阀芯阀杆材质316SS/全金属减压阀</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4台</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配相应同材质法兰、螺栓螺母、垫片等</w:t>
            </w:r>
          </w:p>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2.见数据表及技术协议</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95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智能压力变送器</w:t>
            </w:r>
          </w:p>
        </w:tc>
        <w:tc>
          <w:tcPr>
            <w:tcW w:w="386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量程-1.0~2.0Kpa/输出信号4~20mA+HART/过程连接1/2"NPT(F)/膜片材质316L/防爆等级Exd IIBT4/带现场显示、二阀组、位号牌</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1.见数据表</w:t>
            </w:r>
          </w:p>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2.品牌：罗斯蒙特</w:t>
            </w:r>
            <w:r>
              <w:rPr>
                <w:rFonts w:asciiTheme="majorEastAsia" w:hAnsiTheme="majorEastAsia" w:eastAsiaTheme="majorEastAsia"/>
                <w:sz w:val="21"/>
                <w:szCs w:val="21"/>
                <w:shd w:val="clear" w:color="auto" w:fill="FFFFFF"/>
                <w:lang w:eastAsia="zh-CN"/>
              </w:rPr>
              <w:t>/横河</w:t>
            </w:r>
          </w:p>
          <w:p>
            <w:pPr>
              <w:pStyle w:val="2"/>
              <w:spacing w:line="240" w:lineRule="atLeast"/>
              <w:rPr>
                <w:sz w:val="21"/>
                <w:szCs w:val="21"/>
              </w:rPr>
            </w:pPr>
            <w:r>
              <w:rPr>
                <w:rFonts w:hint="eastAsia"/>
                <w:sz w:val="21"/>
                <w:szCs w:val="21"/>
              </w:rPr>
              <w:t>3. 配套二阀组</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95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数控电液阀</w:t>
            </w:r>
          </w:p>
        </w:tc>
        <w:tc>
          <w:tcPr>
            <w:tcW w:w="386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材质316SS\尺寸：法兰连接4”150LB\配防爆电磁阀\电源24VDC\</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配相应同材质法兰、螺栓螺母、垫片等</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2.见数据表及技术协议</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3.</w:t>
            </w:r>
            <w:r>
              <w:rPr>
                <w:rFonts w:hint="eastAsia"/>
                <w:sz w:val="21"/>
                <w:szCs w:val="21"/>
                <w:lang w:eastAsia="zh-CN"/>
              </w:rPr>
              <w:t>现场服务调试</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95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气动球阀（开关阀）</w:t>
            </w:r>
          </w:p>
        </w:tc>
        <w:tc>
          <w:tcPr>
            <w:tcW w:w="386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 xml:space="preserve">全通径球阀\连接形式：法兰连接8"150lB\材质：316L SS\单作用,气开\故障关\ </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配相应同材质法兰、螺栓螺母、垫片等</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2.见数据表及技术协议</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95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电动调节闸阀</w:t>
            </w:r>
          </w:p>
        </w:tc>
        <w:tc>
          <w:tcPr>
            <w:tcW w:w="386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材质316L SS\连接形式：法兰\材质316L SS\尺寸4" 150LB\调节型4~20mA输入和反馈\防爆等级EXdII BT4\</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jc w:val="both"/>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配相应同材质法兰、螺栓螺母、垫片等</w:t>
            </w:r>
          </w:p>
          <w:p>
            <w:pPr>
              <w:widowControl/>
              <w:autoSpaceDE/>
              <w:autoSpaceDN/>
              <w:jc w:val="both"/>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2.见数据表及技术协议</w:t>
            </w:r>
          </w:p>
          <w:p>
            <w:pPr>
              <w:widowControl/>
              <w:autoSpaceDE/>
              <w:autoSpaceDN/>
              <w:jc w:val="both"/>
              <w:rPr>
                <w:sz w:val="21"/>
                <w:szCs w:val="21"/>
                <w:lang w:eastAsia="zh-CN"/>
              </w:rPr>
            </w:pPr>
            <w:r>
              <w:rPr>
                <w:rFonts w:hint="eastAsia" w:asciiTheme="majorEastAsia" w:hAnsiTheme="majorEastAsia" w:eastAsiaTheme="majorEastAsia"/>
                <w:sz w:val="21"/>
                <w:szCs w:val="21"/>
                <w:shd w:val="clear" w:color="auto" w:fill="FFFFFF"/>
                <w:lang w:eastAsia="zh-CN"/>
              </w:rPr>
              <w:t>3.</w:t>
            </w:r>
            <w:r>
              <w:rPr>
                <w:rFonts w:hint="eastAsia"/>
                <w:sz w:val="21"/>
                <w:szCs w:val="21"/>
                <w:lang w:eastAsia="zh-CN"/>
              </w:rPr>
              <w:t>现场服务调试</w:t>
            </w:r>
          </w:p>
          <w:p>
            <w:pPr>
              <w:jc w:val="both"/>
              <w:rPr>
                <w:lang w:eastAsia="zh-CN"/>
              </w:rPr>
            </w:pPr>
            <w:r>
              <w:rPr>
                <w:rFonts w:hint="eastAsia"/>
                <w:sz w:val="21"/>
                <w:szCs w:val="21"/>
                <w:lang w:eastAsia="zh-CN"/>
              </w:rPr>
              <w:t>4.执行机构品牌：浙江瑞机，扬州电力修造厂，扬州恒春</w:t>
            </w:r>
          </w:p>
        </w:tc>
      </w:tr>
      <w:tr>
        <w:tblPrEx>
          <w:tblCellMar>
            <w:top w:w="0" w:type="dxa"/>
            <w:left w:w="108" w:type="dxa"/>
            <w:bottom w:w="0" w:type="dxa"/>
            <w:right w:w="108" w:type="dxa"/>
          </w:tblCellMar>
        </w:tblPrEx>
        <w:trPr>
          <w:trHeight w:val="720" w:hRule="atLeast"/>
        </w:trPr>
        <w:tc>
          <w:tcPr>
            <w:tcW w:w="68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26"/>
        <w:spacing w:line="360" w:lineRule="auto"/>
        <w:ind w:left="360" w:firstLine="0"/>
        <w:rPr>
          <w:rFonts w:asciiTheme="majorEastAsia" w:hAnsiTheme="majorEastAsia" w:eastAsiaTheme="majorEastAsia"/>
          <w:sz w:val="24"/>
          <w:lang w:eastAsia="zh-CN"/>
        </w:rPr>
      </w:pPr>
    </w:p>
    <w:p>
      <w:pPr>
        <w:pStyle w:val="26"/>
        <w:spacing w:line="360" w:lineRule="auto"/>
        <w:ind w:left="360" w:firstLine="0"/>
        <w:rPr>
          <w:rFonts w:asciiTheme="majorEastAsia" w:hAnsiTheme="majorEastAsia" w:eastAsiaTheme="majorEastAsia"/>
          <w:sz w:val="24"/>
          <w:lang w:eastAsia="zh-CN"/>
        </w:rPr>
      </w:pPr>
    </w:p>
    <w:p>
      <w:pPr>
        <w:pStyle w:val="26"/>
        <w:spacing w:before="0" w:line="360" w:lineRule="auto"/>
        <w:ind w:left="360" w:firstLine="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包段II：</w:t>
      </w:r>
    </w:p>
    <w:tbl>
      <w:tblPr>
        <w:tblStyle w:val="20"/>
        <w:tblW w:w="9322" w:type="dxa"/>
        <w:tblInd w:w="0" w:type="dxa"/>
        <w:tblLayout w:type="autofit"/>
        <w:tblCellMar>
          <w:top w:w="0" w:type="dxa"/>
          <w:left w:w="108" w:type="dxa"/>
          <w:bottom w:w="0" w:type="dxa"/>
          <w:right w:w="108" w:type="dxa"/>
        </w:tblCellMar>
      </w:tblPr>
      <w:tblGrid>
        <w:gridCol w:w="580"/>
        <w:gridCol w:w="946"/>
        <w:gridCol w:w="3685"/>
        <w:gridCol w:w="709"/>
        <w:gridCol w:w="851"/>
        <w:gridCol w:w="850"/>
        <w:gridCol w:w="1701"/>
      </w:tblGrid>
      <w:tr>
        <w:tblPrEx>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9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946"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Cs/>
                <w:color w:val="000000"/>
                <w:sz w:val="21"/>
                <w:szCs w:val="21"/>
                <w:lang w:eastAsia="zh-CN"/>
              </w:rPr>
              <w:t>不锈钢压力表</w:t>
            </w:r>
          </w:p>
        </w:tc>
        <w:tc>
          <w:tcPr>
            <w:tcW w:w="3685"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量程0~1.6Mpa/径向/测量元件：弹簧管、材质:316L/螺纹连接1/2"NPT(M)/精度：1.6</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1.见附件数据表</w:t>
            </w:r>
          </w:p>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2.品牌：布莱迪或上海自仪四厂或威卡</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946"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不锈钢压力表</w:t>
            </w:r>
          </w:p>
        </w:tc>
        <w:tc>
          <w:tcPr>
            <w:tcW w:w="36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量程0~6Kpa/径向/测量元件：膜盒波纹、材质:316L/表盘充油/螺纹连接1/2"NPT(M)/精度：2.5</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1.见附件数据表</w:t>
            </w:r>
          </w:p>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shd w:val="clear" w:color="auto" w:fill="FFFFFF"/>
                <w:lang w:eastAsia="zh-CN"/>
              </w:rPr>
              <w:t>2.品牌：布莱迪或上海自仪四厂或威卡</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946"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定量装车控制仪</w:t>
            </w:r>
          </w:p>
        </w:tc>
        <w:tc>
          <w:tcPr>
            <w:tcW w:w="36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类型：液下装车式\防护等级IP65\防爆等级</w:t>
            </w:r>
            <w:r>
              <w:rPr>
                <w:rFonts w:hint="eastAsia"/>
                <w:sz w:val="21"/>
                <w:szCs w:val="21"/>
                <w:lang w:eastAsia="zh-CN"/>
              </w:rPr>
              <w:t>不低于ExdⅡBT4</w:t>
            </w:r>
            <w:r>
              <w:rPr>
                <w:rFonts w:hint="eastAsia" w:asciiTheme="majorEastAsia" w:hAnsiTheme="majorEastAsia" w:eastAsiaTheme="majorEastAsia"/>
                <w:sz w:val="21"/>
                <w:szCs w:val="21"/>
                <w:shd w:val="clear" w:color="auto" w:fill="FFFFFF"/>
                <w:lang w:eastAsia="zh-CN"/>
              </w:rPr>
              <w:t>\通讯形式RS485\</w:t>
            </w:r>
            <w:r>
              <w:rPr>
                <w:rFonts w:hint="eastAsia"/>
                <w:sz w:val="21"/>
                <w:szCs w:val="21"/>
                <w:lang w:eastAsia="zh-CN"/>
              </w:rPr>
              <w:t>通讯协议MODBUS RTU，并提供所有需求地址和硬件与DCS进行通讯</w:t>
            </w:r>
            <w:r>
              <w:rPr>
                <w:rFonts w:hint="eastAsia" w:asciiTheme="majorEastAsia" w:hAnsiTheme="majorEastAsia" w:eastAsiaTheme="majorEastAsia"/>
                <w:sz w:val="21"/>
                <w:szCs w:val="21"/>
                <w:shd w:val="clear" w:color="auto" w:fill="FFFFFF"/>
                <w:lang w:eastAsia="zh-CN"/>
              </w:rPr>
              <w:t>\接收流量计信号4~20mA\</w:t>
            </w:r>
            <w:r>
              <w:rPr>
                <w:rFonts w:hint="eastAsia"/>
                <w:sz w:val="21"/>
                <w:szCs w:val="21"/>
                <w:lang w:eastAsia="zh-CN"/>
              </w:rPr>
              <w:t>系统刷卡登记必须同我司无人值守刷卡系统（软件为用友）联通使用。\注意定量装车控制仪</w:t>
            </w:r>
            <w:r>
              <w:rPr>
                <w:sz w:val="21"/>
                <w:szCs w:val="21"/>
                <w:lang w:eastAsia="zh-CN"/>
              </w:rPr>
              <w:t>UISA-8321</w:t>
            </w:r>
            <w:r>
              <w:rPr>
                <w:rFonts w:hint="eastAsia"/>
                <w:sz w:val="21"/>
                <w:szCs w:val="21"/>
                <w:lang w:eastAsia="zh-CN"/>
              </w:rPr>
              <w:t>，为控制电液阀切断（两DO），而定量装车控制仪</w:t>
            </w:r>
            <w:r>
              <w:rPr>
                <w:sz w:val="21"/>
                <w:szCs w:val="21"/>
                <w:lang w:eastAsia="zh-CN"/>
              </w:rPr>
              <w:t>UISA-832</w:t>
            </w:r>
            <w:r>
              <w:rPr>
                <w:rFonts w:hint="eastAsia"/>
                <w:sz w:val="21"/>
                <w:szCs w:val="21"/>
                <w:lang w:eastAsia="zh-CN"/>
              </w:rPr>
              <w:t>2、</w:t>
            </w:r>
            <w:r>
              <w:rPr>
                <w:sz w:val="21"/>
                <w:szCs w:val="21"/>
                <w:lang w:eastAsia="zh-CN"/>
              </w:rPr>
              <w:t>UISA-832</w:t>
            </w:r>
            <w:r>
              <w:rPr>
                <w:rFonts w:hint="eastAsia"/>
                <w:sz w:val="21"/>
                <w:szCs w:val="21"/>
                <w:lang w:eastAsia="zh-CN"/>
              </w:rPr>
              <w:t>3为利旧改造，控制信号有所不同为（一DO两DI）\提供</w:t>
            </w:r>
            <w:r>
              <w:rPr>
                <w:rFonts w:hint="eastAsia"/>
                <w:color w:val="111111"/>
                <w:sz w:val="21"/>
                <w:szCs w:val="21"/>
                <w:lang w:eastAsia="zh-CN"/>
              </w:rPr>
              <w:t>防爆证书，使用说明书，安装说明书，合格证，详细规格书等文件\</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 含静电溢油保护器,防爆箱，防静电导电安全系统及防爆声光报警防溢系统等</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2.见数据表及</w:t>
            </w:r>
            <w:r>
              <w:rPr>
                <w:rFonts w:hint="eastAsia"/>
                <w:sz w:val="21"/>
                <w:szCs w:val="21"/>
                <w:lang w:eastAsia="zh-CN"/>
              </w:rPr>
              <w:t>技术协议</w:t>
            </w:r>
          </w:p>
          <w:p>
            <w:pPr>
              <w:pStyle w:val="2"/>
              <w:rPr>
                <w:sz w:val="21"/>
                <w:szCs w:val="21"/>
              </w:rPr>
            </w:pPr>
            <w:r>
              <w:rPr>
                <w:rFonts w:hint="eastAsia"/>
                <w:sz w:val="21"/>
                <w:szCs w:val="21"/>
              </w:rPr>
              <w:t>3.品牌：重庆耐德</w:t>
            </w:r>
            <w:r>
              <w:rPr>
                <w:sz w:val="21"/>
                <w:szCs w:val="21"/>
              </w:rPr>
              <w:t>/梅特勒-托利多/用友</w:t>
            </w:r>
          </w:p>
          <w:p>
            <w:pPr>
              <w:pStyle w:val="2"/>
              <w:rPr>
                <w:sz w:val="21"/>
                <w:szCs w:val="21"/>
              </w:rPr>
            </w:pPr>
            <w:r>
              <w:rPr>
                <w:rFonts w:hint="eastAsia"/>
                <w:sz w:val="21"/>
                <w:szCs w:val="21"/>
              </w:rPr>
              <w:t>4.现场服务调试。</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946"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质量流量计</w:t>
            </w:r>
          </w:p>
        </w:tc>
        <w:tc>
          <w:tcPr>
            <w:tcW w:w="36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一体式\量程0~100m3/h\四线制\尺寸4" 150LB\精度0.1级\材质316LSS\输出4~20mA\电源24VDC\防爆等级</w:t>
            </w:r>
            <w:r>
              <w:rPr>
                <w:rFonts w:hint="eastAsia"/>
                <w:sz w:val="21"/>
                <w:szCs w:val="21"/>
                <w:lang w:eastAsia="zh-CN"/>
              </w:rPr>
              <w:t>不低于ExdⅡBT4</w:t>
            </w:r>
            <w:r>
              <w:rPr>
                <w:rFonts w:hint="eastAsia" w:asciiTheme="majorEastAsia" w:hAnsiTheme="majorEastAsia" w:eastAsiaTheme="majorEastAsia"/>
                <w:sz w:val="21"/>
                <w:szCs w:val="21"/>
                <w:shd w:val="clear" w:color="auto" w:fill="FFFFFF"/>
                <w:lang w:eastAsia="zh-CN"/>
              </w:rPr>
              <w:t xml:space="preserve">\ </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配套同材质法兰、螺栓螺母、垫片等</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2.见附件数据表</w:t>
            </w:r>
          </w:p>
          <w:p>
            <w:pPr>
              <w:pStyle w:val="2"/>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rPr>
              <w:t>3.</w:t>
            </w:r>
            <w:r>
              <w:rPr>
                <w:color w:val="111111"/>
                <w:sz w:val="24"/>
                <w:szCs w:val="24"/>
              </w:rPr>
              <w:t xml:space="preserve"> </w:t>
            </w:r>
            <w:r>
              <w:rPr>
                <w:color w:val="111111"/>
                <w:sz w:val="21"/>
                <w:szCs w:val="21"/>
              </w:rPr>
              <w:t>《特种设备生产许可证》（压力管道元件制造许可），随机应提供《特种设备监督检验证书》（压力管道元件制造）</w:t>
            </w:r>
            <w:r>
              <w:rPr>
                <w:rFonts w:hint="eastAsia"/>
                <w:color w:val="111111"/>
                <w:sz w:val="21"/>
                <w:szCs w:val="21"/>
              </w:rPr>
              <w:t>，</w:t>
            </w:r>
            <w:r>
              <w:rPr>
                <w:rFonts w:hint="eastAsia" w:asciiTheme="majorEastAsia" w:hAnsiTheme="majorEastAsia" w:eastAsiaTheme="majorEastAsia"/>
                <w:sz w:val="21"/>
                <w:szCs w:val="21"/>
                <w:shd w:val="clear" w:color="auto" w:fill="FFFFFF"/>
              </w:rPr>
              <w:t>提供含第三方检定证书及监检报告</w:t>
            </w:r>
          </w:p>
          <w:p>
            <w:pPr>
              <w:pStyle w:val="2"/>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4.品牌：罗斯蒙特</w:t>
            </w:r>
            <w:r>
              <w:rPr>
                <w:rFonts w:asciiTheme="majorEastAsia" w:hAnsiTheme="majorEastAsia" w:eastAsiaTheme="majorEastAsia"/>
                <w:sz w:val="21"/>
                <w:szCs w:val="21"/>
                <w:shd w:val="clear" w:color="auto" w:fill="FFFFFF"/>
              </w:rPr>
              <w:t>/横河/科隆</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946"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操作柱</w:t>
            </w:r>
          </w:p>
        </w:tc>
        <w:tc>
          <w:tcPr>
            <w:tcW w:w="36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带防爆按钮(红色）\触点1NO和1NC\触点形式SPDT\下方出线\防爆等级</w:t>
            </w:r>
            <w:r>
              <w:rPr>
                <w:rFonts w:hint="eastAsia"/>
                <w:sz w:val="21"/>
                <w:szCs w:val="21"/>
                <w:lang w:eastAsia="zh-CN"/>
              </w:rPr>
              <w:t>不低于ExdⅡBT4</w:t>
            </w:r>
            <w:r>
              <w:rPr>
                <w:rFonts w:hint="eastAsia" w:asciiTheme="majorEastAsia" w:hAnsiTheme="majorEastAsia" w:eastAsiaTheme="majorEastAsia"/>
                <w:sz w:val="21"/>
                <w:szCs w:val="21"/>
                <w:shd w:val="clear" w:color="auto" w:fill="FFFFFF"/>
                <w:lang w:eastAsia="zh-CN"/>
              </w:rPr>
              <w:t>\</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详见附件数据表</w:t>
            </w:r>
          </w:p>
        </w:tc>
      </w:tr>
      <w:tr>
        <w:tblPrEx>
          <w:tblCellMar>
            <w:top w:w="0" w:type="dxa"/>
            <w:left w:w="108" w:type="dxa"/>
            <w:bottom w:w="0" w:type="dxa"/>
            <w:right w:w="108" w:type="dxa"/>
          </w:tblCellMar>
        </w:tblPrEx>
        <w:trPr>
          <w:trHeight w:val="720" w:hRule="atLeast"/>
        </w:trPr>
        <w:tc>
          <w:tcPr>
            <w:tcW w:w="67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8"/>
        <w:ind w:left="360"/>
        <w:rPr>
          <w:rFonts w:ascii="Times New Roman"/>
          <w:b/>
          <w:bCs/>
          <w:lang w:eastAsia="zh-CN"/>
        </w:rPr>
      </w:pP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翔鹭石化（漳州）有限公司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合同生效后2个月内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w:t>
      </w:r>
      <w:r>
        <w:rPr>
          <w:rFonts w:hint="eastAsia"/>
          <w:bCs/>
          <w:sz w:val="24"/>
          <w:szCs w:val="24"/>
          <w:lang w:eastAsia="zh-CN"/>
        </w:rPr>
        <w:t>收到乙方提交合同总价</w:t>
      </w:r>
      <w:r>
        <w:rPr>
          <w:rFonts w:hint="eastAsia"/>
          <w:bCs/>
          <w:sz w:val="24"/>
          <w:szCs w:val="24"/>
          <w:u w:val="single"/>
          <w:lang w:eastAsia="zh-CN"/>
        </w:rPr>
        <w:t>20%</w:t>
      </w:r>
      <w:r>
        <w:rPr>
          <w:rFonts w:hint="eastAsia"/>
          <w:bCs/>
          <w:sz w:val="24"/>
          <w:szCs w:val="24"/>
          <w:lang w:eastAsia="zh-CN"/>
        </w:rPr>
        <w:t>的履约保函后并在合同签订后</w:t>
      </w:r>
      <w:r>
        <w:rPr>
          <w:rFonts w:hint="eastAsia"/>
          <w:bCs/>
          <w:sz w:val="24"/>
          <w:szCs w:val="24"/>
          <w:u w:val="single"/>
          <w:lang w:eastAsia="zh-CN"/>
        </w:rPr>
        <w:t>14</w:t>
      </w:r>
      <w:r>
        <w:rPr>
          <w:rFonts w:hint="eastAsia"/>
          <w:bCs/>
          <w:sz w:val="24"/>
          <w:szCs w:val="24"/>
          <w:lang w:eastAsia="zh-CN"/>
        </w:rPr>
        <w:t>天内，甲方按合同总价的</w:t>
      </w:r>
      <w:r>
        <w:rPr>
          <w:rFonts w:hint="eastAsia"/>
          <w:bCs/>
          <w:sz w:val="24"/>
          <w:szCs w:val="24"/>
          <w:u w:val="single"/>
          <w:lang w:eastAsia="zh-CN"/>
        </w:rPr>
        <w:t>20%</w:t>
      </w:r>
      <w:r>
        <w:rPr>
          <w:rFonts w:hint="eastAsia"/>
          <w:bCs/>
          <w:sz w:val="24"/>
          <w:szCs w:val="24"/>
          <w:lang w:eastAsia="zh-CN"/>
        </w:rPr>
        <w:t>支付给乙方作为预付款。</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70%</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质保款：合同总价10%作为质保款，质保期为12个月，期满后无任何质量问题，甲方20个工作日内无息返还。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Theme="majorEastAsia" w:hAnsiTheme="majorEastAsia" w:eastAsiaTheme="majorEastAsia"/>
          <w:sz w:val="24"/>
          <w:u w:val="single"/>
        </w:rPr>
        <w:t>12个月</w:t>
      </w:r>
      <w:r>
        <w:rPr>
          <w:rFonts w:hint="eastAsia" w:asciiTheme="majorEastAsia" w:hAnsiTheme="majorEastAsia" w:eastAsiaTheme="majorEastAsia"/>
          <w:sz w:val="24"/>
        </w:rPr>
        <w:t>）内，乙方应当对其交付的产品承担质量保证责任，所需费用由乙方承担。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货物的货到验收包括：型号、规格、数量、外观质量、及货物包装是否完好。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p>
      <w:pPr>
        <w:pStyle w:val="2"/>
        <w:spacing w:line="360" w:lineRule="auto"/>
        <w:rPr>
          <w:sz w:val="24"/>
          <w:szCs w:val="24"/>
        </w:rPr>
      </w:pPr>
      <w:r>
        <w:rPr>
          <w:rFonts w:hint="eastAsia"/>
          <w:sz w:val="24"/>
          <w:szCs w:val="24"/>
        </w:rPr>
        <w:t>13、附件</w:t>
      </w:r>
    </w:p>
    <w:p>
      <w:pPr>
        <w:pStyle w:val="2"/>
        <w:spacing w:line="360" w:lineRule="auto"/>
        <w:rPr>
          <w:sz w:val="24"/>
          <w:szCs w:val="24"/>
        </w:rPr>
      </w:pPr>
      <w:r>
        <w:rPr>
          <w:rFonts w:hint="eastAsia"/>
          <w:sz w:val="24"/>
          <w:szCs w:val="24"/>
        </w:rPr>
        <w:t xml:space="preserve">    附件1：技术协议（阀门及装车控制仪）</w:t>
      </w:r>
    </w:p>
    <w:p>
      <w:pPr>
        <w:pStyle w:val="2"/>
        <w:spacing w:line="360" w:lineRule="auto"/>
        <w:rPr>
          <w:sz w:val="24"/>
          <w:szCs w:val="24"/>
        </w:rPr>
      </w:pPr>
      <w:r>
        <w:rPr>
          <w:rFonts w:hint="eastAsia"/>
          <w:sz w:val="24"/>
          <w:szCs w:val="24"/>
        </w:rPr>
        <w:t xml:space="preserve">    附件2：仪表规格书</w:t>
      </w:r>
    </w:p>
    <w:p>
      <w:pPr>
        <w:pStyle w:val="2"/>
        <w:spacing w:line="360" w:lineRule="auto"/>
        <w:rPr>
          <w:sz w:val="24"/>
          <w:szCs w:val="24"/>
        </w:rPr>
      </w:pPr>
      <w:r>
        <w:rPr>
          <w:rFonts w:hint="eastAsia"/>
          <w:sz w:val="24"/>
          <w:szCs w:val="24"/>
        </w:rPr>
        <w:t xml:space="preserve">    </w:t>
      </w:r>
    </w:p>
    <w:tbl>
      <w:tblPr>
        <w:tblStyle w:val="21"/>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甲方：</w:t>
            </w:r>
          </w:p>
          <w:p>
            <w:pPr>
              <w:spacing w:line="360" w:lineRule="auto"/>
              <w:ind w:firstLine="723" w:firstLineChars="300"/>
              <w:jc w:val="both"/>
              <w:rPr>
                <w:rFonts w:asciiTheme="majorEastAsia" w:hAnsiTheme="majorEastAsia" w:eastAsiaTheme="majorEastAsia"/>
                <w:sz w:val="24"/>
                <w:lang w:eastAsia="zh-CN"/>
              </w:rPr>
            </w:pPr>
            <w:r>
              <w:rPr>
                <w:rFonts w:hint="eastAsia" w:asciiTheme="majorEastAsia" w:hAnsiTheme="majorEastAsia" w:eastAsiaTheme="majorEastAsia"/>
                <w:b/>
                <w:sz w:val="24"/>
                <w:lang w:eastAsia="zh-CN"/>
              </w:rPr>
              <w:t>翔鹭石化（漳州）有限公司</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乙方：</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960"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地址：福建省漳州市古雷港经济开发区腾龙路86号</w:t>
            </w:r>
          </w:p>
        </w:tc>
        <w:tc>
          <w:tcPr>
            <w:tcW w:w="4821"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电话：0592-6808888</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ind w:left="1200" w:hanging="1200" w:hangingChars="5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开户银行：中国银行漳州分行</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szCs w:val="24"/>
              </w:rPr>
            </w:pPr>
            <w:r>
              <w:rPr>
                <w:rFonts w:hint="eastAsia" w:asciiTheme="majorEastAsia" w:hAnsiTheme="majorEastAsia" w:eastAsiaTheme="majorEastAsia"/>
                <w:sz w:val="24"/>
                <w:szCs w:val="24"/>
              </w:rPr>
              <w:t>账号：4169</w:t>
            </w: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5836</w:t>
            </w: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9985</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税号：</w:t>
            </w:r>
            <w:r>
              <w:rPr>
                <w:rFonts w:hint="eastAsia" w:asciiTheme="majorEastAsia" w:hAnsiTheme="majorEastAsia" w:eastAsiaTheme="majorEastAsia"/>
                <w:sz w:val="24"/>
                <w:szCs w:val="24"/>
              </w:rPr>
              <w:t>9135</w:t>
            </w: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0600</w:t>
            </w: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6765</w:t>
            </w: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3922</w:t>
            </w: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55</w:t>
            </w:r>
          </w:p>
        </w:tc>
        <w:tc>
          <w:tcPr>
            <w:tcW w:w="4821" w:type="dxa"/>
            <w:vAlign w:val="center"/>
          </w:tcPr>
          <w:p>
            <w:pPr>
              <w:spacing w:line="360" w:lineRule="auto"/>
              <w:jc w:val="both"/>
              <w:rPr>
                <w:rFonts w:asciiTheme="majorEastAsia" w:hAnsiTheme="majorEastAsia" w:eastAsiaTheme="majorEastAsia"/>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p>
        </w:tc>
        <w:tc>
          <w:tcPr>
            <w:tcW w:w="4821" w:type="dxa"/>
            <w:vAlign w:val="center"/>
          </w:tcPr>
          <w:p>
            <w:pPr>
              <w:spacing w:line="360" w:lineRule="auto"/>
              <w:jc w:val="both"/>
              <w:rPr>
                <w:rFonts w:asciiTheme="majorEastAsia" w:hAnsiTheme="majorEastAsia" w:eastAsiaTheme="majorEastAsia"/>
                <w:sz w:val="24"/>
              </w:rPr>
            </w:pPr>
          </w:p>
        </w:tc>
      </w:tr>
      <w:bookmarkEnd w:id="9"/>
    </w:tbl>
    <w:p>
      <w:pPr>
        <w:rPr>
          <w:rFonts w:hAnsi="Calibri" w:cs="Times New Roman"/>
          <w:b/>
          <w:bCs/>
          <w:sz w:val="32"/>
          <w:szCs w:val="32"/>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hAnsi="Calibri" w:cs="Times New Roman"/>
          <w:b/>
          <w:bCs/>
          <w:sz w:val="32"/>
          <w:szCs w:val="32"/>
          <w:lang w:eastAsia="zh-CN"/>
        </w:rPr>
      </w:pPr>
      <w:r>
        <w:rPr>
          <w:rFonts w:hint="eastAsia" w:hAnsi="Calibri" w:cs="Times New Roman"/>
          <w:b/>
          <w:bCs/>
          <w:sz w:val="32"/>
          <w:szCs w:val="32"/>
          <w:lang w:eastAsia="zh-CN"/>
        </w:rPr>
        <w:t>附件1：技术协议书</w:t>
      </w:r>
    </w:p>
    <w:p>
      <w:pPr>
        <w:ind w:firstLine="16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工厂名称：翔鹭石化（漳州）有限公司</w:t>
      </w:r>
    </w:p>
    <w:p>
      <w:pPr>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 xml:space="preserve">  装置名称：</w:t>
      </w:r>
      <w:r>
        <w:rPr>
          <w:rFonts w:asciiTheme="majorEastAsia" w:hAnsiTheme="majorEastAsia" w:eastAsiaTheme="majorEastAsia"/>
          <w:b/>
          <w:sz w:val="32"/>
          <w:szCs w:val="32"/>
          <w:lang w:eastAsia="zh-CN"/>
        </w:rPr>
        <w:t xml:space="preserve"> </w:t>
      </w:r>
      <w:r>
        <w:rPr>
          <w:rFonts w:hint="eastAsia" w:asciiTheme="majorEastAsia" w:hAnsiTheme="majorEastAsia" w:eastAsiaTheme="majorEastAsia"/>
          <w:b/>
          <w:sz w:val="32"/>
          <w:szCs w:val="32"/>
          <w:lang w:eastAsia="zh-CN"/>
        </w:rPr>
        <w:t>PTA工厂</w:t>
      </w:r>
    </w:p>
    <w:p>
      <w:pPr>
        <w:rPr>
          <w:rFonts w:asciiTheme="majorEastAsia" w:hAnsiTheme="majorEastAsia" w:eastAsiaTheme="majorEastAsia"/>
          <w:b/>
          <w:sz w:val="32"/>
          <w:szCs w:val="32"/>
          <w:lang w:eastAsia="zh-CN"/>
        </w:rPr>
      </w:pPr>
    </w:p>
    <w:p>
      <w:pPr>
        <w:rPr>
          <w:rFonts w:asciiTheme="majorEastAsia" w:hAnsiTheme="majorEastAsia" w:eastAsiaTheme="majorEastAsia"/>
          <w:b/>
          <w:sz w:val="32"/>
          <w:szCs w:val="32"/>
          <w:lang w:eastAsia="zh-CN"/>
        </w:rPr>
      </w:pPr>
    </w:p>
    <w:p>
      <w:pPr>
        <w:ind w:firstLine="1446" w:firstLineChars="300"/>
        <w:rPr>
          <w:rFonts w:asciiTheme="majorEastAsia" w:hAnsiTheme="majorEastAsia" w:eastAsiaTheme="majorEastAsia"/>
          <w:b/>
          <w:sz w:val="48"/>
          <w:szCs w:val="48"/>
          <w:lang w:eastAsia="zh-CN"/>
        </w:rPr>
      </w:pPr>
    </w:p>
    <w:p>
      <w:pPr>
        <w:ind w:firstLine="1446" w:firstLineChars="300"/>
        <w:rPr>
          <w:rFonts w:asciiTheme="majorEastAsia" w:hAnsiTheme="majorEastAsia" w:eastAsiaTheme="majorEastAsia"/>
          <w:b/>
          <w:sz w:val="48"/>
          <w:szCs w:val="48"/>
          <w:lang w:eastAsia="zh-CN"/>
        </w:rPr>
      </w:pPr>
    </w:p>
    <w:p>
      <w:pPr>
        <w:ind w:firstLine="1928" w:firstLineChars="400"/>
        <w:rPr>
          <w:rFonts w:asciiTheme="majorEastAsia" w:hAnsiTheme="majorEastAsia" w:eastAsiaTheme="majorEastAsia"/>
          <w:b/>
          <w:sz w:val="48"/>
          <w:szCs w:val="48"/>
          <w:lang w:eastAsia="zh-CN"/>
        </w:rPr>
      </w:pPr>
      <w:r>
        <w:rPr>
          <w:rFonts w:hint="eastAsia" w:asciiTheme="majorEastAsia" w:hAnsiTheme="majorEastAsia" w:eastAsiaTheme="majorEastAsia"/>
          <w:b/>
          <w:sz w:val="48"/>
          <w:szCs w:val="48"/>
          <w:lang w:eastAsia="zh-CN"/>
        </w:rPr>
        <w:t>控制阀技术要求</w:t>
      </w:r>
    </w:p>
    <w:p>
      <w:pPr>
        <w:ind w:firstLine="1446" w:firstLineChars="300"/>
        <w:rPr>
          <w:rFonts w:asciiTheme="majorEastAsia" w:hAnsiTheme="majorEastAsia" w:eastAsiaTheme="majorEastAsia"/>
          <w:b/>
          <w:sz w:val="48"/>
          <w:szCs w:val="48"/>
          <w:lang w:eastAsia="zh-CN"/>
        </w:rPr>
      </w:pP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lang w:eastAsia="zh-CN"/>
        </w:rPr>
      </w:pPr>
    </w:p>
    <w:p>
      <w:pPr>
        <w:rPr>
          <w:rFonts w:asciiTheme="majorEastAsia" w:hAnsiTheme="majorEastAsia" w:eastAsiaTheme="majorEastAsia"/>
          <w:b/>
          <w:sz w:val="28"/>
          <w:szCs w:val="28"/>
          <w:lang w:eastAsia="zh-CN"/>
        </w:rPr>
      </w:pPr>
    </w:p>
    <w:p>
      <w:pPr>
        <w:ind w:firstLine="14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28"/>
          <w:szCs w:val="28"/>
          <w:lang w:eastAsia="zh-CN"/>
        </w:rPr>
        <w:t xml:space="preserve">    最 终 用 户：  </w:t>
      </w:r>
      <w:r>
        <w:rPr>
          <w:rFonts w:hint="eastAsia" w:asciiTheme="majorEastAsia" w:hAnsiTheme="majorEastAsia" w:eastAsiaTheme="majorEastAsia"/>
          <w:b/>
          <w:sz w:val="32"/>
          <w:szCs w:val="32"/>
          <w:lang w:eastAsia="zh-CN"/>
        </w:rPr>
        <w:t>翔鹭石化（漳州）有限公司</w:t>
      </w: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 xml:space="preserve">    </w:t>
      </w:r>
      <w:r>
        <w:rPr>
          <w:rFonts w:hint="eastAsia" w:asciiTheme="majorEastAsia" w:hAnsiTheme="majorEastAsia" w:eastAsiaTheme="majorEastAsia"/>
          <w:b/>
          <w:sz w:val="28"/>
          <w:szCs w:val="28"/>
        </w:rPr>
        <w:t xml:space="preserve">卖 方/制 造 商：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日     期：</w:t>
      </w:r>
    </w:p>
    <w:p>
      <w:pPr>
        <w:rPr>
          <w:rFonts w:asciiTheme="majorEastAsia" w:hAnsiTheme="majorEastAsia" w:eastAsiaTheme="majorEastAsia"/>
          <w:b/>
          <w:sz w:val="28"/>
          <w:szCs w:val="28"/>
        </w:rPr>
      </w:pPr>
    </w:p>
    <w:p>
      <w:pPr>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rPr>
      </w:pPr>
    </w:p>
    <w:p>
      <w:pPr>
        <w:pStyle w:val="26"/>
        <w:numPr>
          <w:ilvl w:val="0"/>
          <w:numId w:val="4"/>
        </w:numPr>
        <w:autoSpaceDE/>
        <w:autoSpaceDN/>
        <w:spacing w:before="0" w:line="360" w:lineRule="auto"/>
        <w:jc w:val="both"/>
        <w:rPr>
          <w:rFonts w:asciiTheme="minorEastAsia" w:hAnsiTheme="minorEastAsia"/>
          <w:sz w:val="24"/>
          <w:szCs w:val="24"/>
        </w:rPr>
      </w:pPr>
      <w:r>
        <w:rPr>
          <w:rFonts w:hint="eastAsia" w:asciiTheme="minorEastAsia" w:hAnsiTheme="minorEastAsia"/>
          <w:sz w:val="24"/>
          <w:szCs w:val="24"/>
        </w:rPr>
        <w:t>范围</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福建福海创石油化工有限公司技术协议包含： 控制阀技术要求、阀门规格书（数据表）、请购清单。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 规范及标准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调节阀（开关阀）应满足或优于下面列出的规范、标准的最新版本。如果几种规范与标准适用于同一情况，则应遵循最为严格的规范。若规格书与相关的规范和标准文件有冲突，则应向用户提出并征得业主书面认可方能开展工作。</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调节阀（开关阀）应满足以下相关规范标准：</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ASME B16.5        管法兰和法兰管件</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API550 1-6        调节阀及附件</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API 598           阀门检验及测试</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S75.01        调节阀流通能量计算公式</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S75.02        调节阀流通能量测试步骤</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S75.03        法兰连接直通式调节阀体的端面与端面间距</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 xml:space="preserve">                  （ANSI125,150,250,300,600</w:t>
      </w:r>
      <w:r>
        <w:rPr>
          <w:rFonts w:asciiTheme="minorEastAsia" w:hAnsiTheme="minorEastAsia"/>
          <w:sz w:val="24"/>
          <w:szCs w:val="24"/>
          <w:lang w:eastAsia="zh-CN"/>
        </w:rPr>
        <w:t>）</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S75.07        调节阀产生的气体动力学噪音实验测量</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S75.11        调节阀固有流量特性及可调范围</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S75.13        用模拟输入和气动输出评估定位器性能的方法</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S75.17        调节阀气动力学噪音预估</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S75.19        调节阀的液体静态测试</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FCI 70-2          调节阀阀座泄漏量</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MSS SP-25         阀门、管件、法兰和连接件的标准及系统</w:t>
      </w:r>
    </w:p>
    <w:p>
      <w:pPr>
        <w:spacing w:line="360" w:lineRule="auto"/>
        <w:ind w:firstLine="465"/>
        <w:rPr>
          <w:rFonts w:asciiTheme="minorEastAsia" w:hAnsiTheme="minorEastAsia"/>
          <w:sz w:val="24"/>
          <w:szCs w:val="24"/>
        </w:rPr>
      </w:pPr>
      <w:r>
        <w:rPr>
          <w:rFonts w:hint="eastAsia" w:asciiTheme="minorEastAsia" w:hAnsiTheme="minorEastAsia"/>
          <w:sz w:val="24"/>
          <w:szCs w:val="24"/>
        </w:rPr>
        <w:t>NACE MR0175       抗硫化的标准材料要求</w:t>
      </w:r>
    </w:p>
    <w:p>
      <w:pPr>
        <w:spacing w:line="360" w:lineRule="auto"/>
        <w:ind w:firstLine="465"/>
        <w:rPr>
          <w:rFonts w:asciiTheme="minorEastAsia" w:hAnsiTheme="minorEastAsia"/>
          <w:sz w:val="24"/>
          <w:szCs w:val="24"/>
        </w:rPr>
      </w:pPr>
      <w:r>
        <w:rPr>
          <w:rFonts w:hint="eastAsia" w:asciiTheme="minorEastAsia" w:hAnsiTheme="minorEastAsia"/>
          <w:sz w:val="24"/>
          <w:szCs w:val="24"/>
        </w:rPr>
        <w:t>IEC 60529         外壳提供的防护程度</w:t>
      </w:r>
    </w:p>
    <w:p>
      <w:pPr>
        <w:spacing w:line="360" w:lineRule="auto"/>
        <w:ind w:firstLine="465"/>
        <w:rPr>
          <w:rFonts w:asciiTheme="minorEastAsia" w:hAnsiTheme="minorEastAsia"/>
          <w:sz w:val="24"/>
          <w:szCs w:val="24"/>
        </w:rPr>
      </w:pPr>
      <w:r>
        <w:rPr>
          <w:rFonts w:hint="eastAsia" w:asciiTheme="minorEastAsia" w:hAnsiTheme="minorEastAsia"/>
          <w:sz w:val="24"/>
          <w:szCs w:val="24"/>
        </w:rPr>
        <w:t>IEC60079-0        爆炸性气体环境用电气设备 第1部分：通用要求</w:t>
      </w:r>
    </w:p>
    <w:p>
      <w:pPr>
        <w:spacing w:line="360" w:lineRule="auto"/>
        <w:ind w:firstLine="465"/>
        <w:rPr>
          <w:rFonts w:asciiTheme="minorEastAsia" w:hAnsiTheme="minorEastAsia"/>
          <w:sz w:val="24"/>
          <w:szCs w:val="24"/>
        </w:rPr>
      </w:pPr>
      <w:r>
        <w:rPr>
          <w:rFonts w:hint="eastAsia" w:asciiTheme="minorEastAsia" w:hAnsiTheme="minorEastAsia"/>
          <w:sz w:val="24"/>
          <w:szCs w:val="24"/>
        </w:rPr>
        <w:t>IEC60079-1        爆炸性气体环境用电气设备 第2部分：隔爆型“d”</w:t>
      </w:r>
    </w:p>
    <w:p>
      <w:pPr>
        <w:spacing w:line="360" w:lineRule="auto"/>
        <w:ind w:firstLine="465"/>
        <w:rPr>
          <w:rFonts w:asciiTheme="minorEastAsia" w:hAnsiTheme="minorEastAsia"/>
          <w:sz w:val="24"/>
          <w:szCs w:val="24"/>
        </w:rPr>
      </w:pPr>
      <w:r>
        <w:rPr>
          <w:rFonts w:hint="eastAsia" w:asciiTheme="minorEastAsia" w:hAnsiTheme="minorEastAsia"/>
          <w:sz w:val="24"/>
          <w:szCs w:val="24"/>
        </w:rPr>
        <w:t>IEC60079-4        爆炸性气体环境用电气设备 第1部分：本安型“i”</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SH/T 3005-2016    石油化工自动化仪表选型设计规范</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其他未列出的与本产品有关的规范及标准，供应商有义务在投标文件中列出。</w:t>
      </w:r>
    </w:p>
    <w:p>
      <w:pPr>
        <w:pStyle w:val="26"/>
        <w:numPr>
          <w:ilvl w:val="0"/>
          <w:numId w:val="5"/>
        </w:numPr>
        <w:autoSpaceDE/>
        <w:autoSpaceDN/>
        <w:spacing w:before="0" w:line="360" w:lineRule="auto"/>
        <w:jc w:val="both"/>
        <w:rPr>
          <w:rFonts w:asciiTheme="minorEastAsia" w:hAnsiTheme="minorEastAsia"/>
          <w:sz w:val="24"/>
          <w:szCs w:val="24"/>
        </w:rPr>
      </w:pPr>
      <w:r>
        <w:rPr>
          <w:rFonts w:hint="eastAsia" w:asciiTheme="minorEastAsia" w:hAnsiTheme="minorEastAsia"/>
          <w:sz w:val="24"/>
          <w:szCs w:val="24"/>
        </w:rPr>
        <w:t>现场环境</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调节阀阀体、执行机构、附件（包含定位器、电磁阀、阀位指示开关、气动</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元件、手轮等）选型应满足如下环境条件：</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调节阀安装场合的极端最低温度为：+4.7℃</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调节阀安装场合的极端最高温度为：+38.2℃</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调节阀安装场合平均相对湿度：80%</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气动调节阀供电：24V DC  电动阀供电：380V AC</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调节阀室外安装，安装区域为防爆区，按IEC标准区分为：2区：气体组别为IIC;温度级别：T4。</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气动调节阀供风压力（G）：最小0.4MPa;正常0.6MPa;最大0.7MPa。</w:t>
      </w:r>
    </w:p>
    <w:p>
      <w:pPr>
        <w:pStyle w:val="26"/>
        <w:numPr>
          <w:ilvl w:val="0"/>
          <w:numId w:val="5"/>
        </w:numPr>
        <w:autoSpaceDE/>
        <w:autoSpaceDN/>
        <w:spacing w:before="0" w:line="360" w:lineRule="auto"/>
        <w:jc w:val="both"/>
        <w:rPr>
          <w:rFonts w:asciiTheme="minorEastAsia" w:hAnsiTheme="minorEastAsia"/>
          <w:sz w:val="24"/>
          <w:szCs w:val="24"/>
        </w:rPr>
      </w:pPr>
      <w:r>
        <w:rPr>
          <w:rFonts w:hint="eastAsia" w:asciiTheme="minorEastAsia" w:hAnsiTheme="minorEastAsia"/>
          <w:sz w:val="24"/>
          <w:szCs w:val="24"/>
        </w:rPr>
        <w:t>对供应商的基本要求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4.1供应商提供的调节阀应该是成熟可靠、技术先进、在国内同类型、同规模装置中至少有3处3年以上的应用业绩。</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4.2 供应商提供的产品与询价书要求不同的部分应以偏差表的形式详细说明。</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4.3 供应商提供的产品和配置，必须是完整的，有任何缺陷或遗漏，供应商都必须无偿补足。</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4.4 供应商最终报价技术文件中的条款，技术规格，数字等出现前后不一致或矛盾之处，原则上以对买方有利的条款，技术规格及数字为准。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5、控制阀技术要求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5.1控制阀</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1）阀门口径DN要与规格书上（数据表）的要求一致，不允许缩径，内件dn可以根据厂家计算适当调整，调整数据应告知用户。</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2）调节阀选用的流通能力应使调节阀的正常开度在15%-85%。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3) 调节阀在操作条件最大的允许噪音应限制在85dBA以内。</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4）阀门材料应满足相关标准。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5）流速要求：</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液态：（一般工况，对正常流量）</w:t>
      </w:r>
    </w:p>
    <w:p>
      <w:pPr>
        <w:spacing w:line="360" w:lineRule="auto"/>
        <w:ind w:firstLine="465"/>
        <w:rPr>
          <w:rFonts w:asciiTheme="minorEastAsia" w:hAnsiTheme="minorEastAsia"/>
          <w:sz w:val="24"/>
          <w:szCs w:val="24"/>
        </w:rPr>
      </w:pPr>
      <w:r>
        <w:rPr>
          <w:rFonts w:hint="eastAsia" w:asciiTheme="minorEastAsia" w:hAnsiTheme="minorEastAsia"/>
          <w:sz w:val="24"/>
          <w:szCs w:val="24"/>
          <w:lang w:eastAsia="zh-CN"/>
        </w:rPr>
        <w:t xml:space="preserve">  </w:t>
      </w:r>
      <w:r>
        <w:rPr>
          <w:rFonts w:hint="eastAsia" w:asciiTheme="minorEastAsia" w:hAnsiTheme="minorEastAsia"/>
          <w:sz w:val="24"/>
          <w:szCs w:val="24"/>
        </w:rPr>
        <w:t>DN≤2</w:t>
      </w:r>
      <w:r>
        <w:rPr>
          <w:rFonts w:asciiTheme="minorEastAsia" w:hAnsiTheme="minorEastAsia"/>
          <w:sz w:val="24"/>
          <w:szCs w:val="24"/>
        </w:rPr>
        <w:t>″</w:t>
      </w:r>
      <w:r>
        <w:rPr>
          <w:rFonts w:hint="eastAsia" w:asciiTheme="minorEastAsia" w:hAnsiTheme="minorEastAsia"/>
          <w:sz w:val="24"/>
          <w:szCs w:val="24"/>
        </w:rPr>
        <w:t>,流速≤10m/s</w:t>
      </w:r>
    </w:p>
    <w:p>
      <w:pPr>
        <w:spacing w:line="360" w:lineRule="auto"/>
        <w:rPr>
          <w:rFonts w:asciiTheme="minorEastAsia" w:hAnsiTheme="minorEastAsia"/>
          <w:sz w:val="24"/>
          <w:szCs w:val="24"/>
        </w:rPr>
      </w:pPr>
      <w:r>
        <w:rPr>
          <w:rFonts w:hint="eastAsia" w:asciiTheme="minorEastAsia" w:hAnsiTheme="minorEastAsia"/>
          <w:sz w:val="24"/>
          <w:szCs w:val="24"/>
        </w:rPr>
        <w:t xml:space="preserve">      DN3～6</w:t>
      </w:r>
      <w:r>
        <w:rPr>
          <w:rFonts w:asciiTheme="minorEastAsia" w:hAnsiTheme="minorEastAsia"/>
          <w:sz w:val="24"/>
          <w:szCs w:val="24"/>
        </w:rPr>
        <w:t>″</w:t>
      </w:r>
      <w:r>
        <w:rPr>
          <w:rFonts w:hint="eastAsia" w:asciiTheme="minorEastAsia" w:hAnsiTheme="minorEastAsia"/>
          <w:sz w:val="24"/>
          <w:szCs w:val="24"/>
        </w:rPr>
        <w:t>, 流速≤8m/s</w:t>
      </w:r>
    </w:p>
    <w:p>
      <w:pPr>
        <w:spacing w:line="360" w:lineRule="auto"/>
        <w:rPr>
          <w:rFonts w:asciiTheme="minorEastAsia" w:hAnsiTheme="minorEastAsia"/>
          <w:sz w:val="24"/>
          <w:szCs w:val="24"/>
        </w:rPr>
      </w:pPr>
      <w:r>
        <w:rPr>
          <w:rFonts w:hint="eastAsia" w:asciiTheme="minorEastAsia" w:hAnsiTheme="minorEastAsia"/>
          <w:sz w:val="24"/>
          <w:szCs w:val="24"/>
        </w:rPr>
        <w:t xml:space="preserve">      DN﹥6</w:t>
      </w:r>
      <w:r>
        <w:rPr>
          <w:rFonts w:asciiTheme="minorEastAsia" w:hAnsiTheme="minorEastAsia"/>
          <w:sz w:val="24"/>
          <w:szCs w:val="24"/>
        </w:rPr>
        <w:t>″</w:t>
      </w:r>
      <w:r>
        <w:rPr>
          <w:rFonts w:hint="eastAsia" w:asciiTheme="minorEastAsia" w:hAnsiTheme="minorEastAsia"/>
          <w:sz w:val="24"/>
          <w:szCs w:val="24"/>
        </w:rPr>
        <w:t>, 流速≤6m/s</w:t>
      </w:r>
    </w:p>
    <w:p>
      <w:pPr>
        <w:spacing w:line="360" w:lineRule="auto"/>
        <w:ind w:firstLine="465"/>
        <w:rPr>
          <w:rFonts w:asciiTheme="minorEastAsia" w:hAnsiTheme="minorEastAsia"/>
          <w:sz w:val="24"/>
          <w:szCs w:val="24"/>
        </w:rPr>
      </w:pPr>
      <w:r>
        <w:rPr>
          <w:rFonts w:hint="eastAsia" w:asciiTheme="minorEastAsia" w:hAnsiTheme="minorEastAsia"/>
          <w:sz w:val="24"/>
          <w:szCs w:val="24"/>
        </w:rPr>
        <w:t>液体（闪蒸工况，对最大流量）</w:t>
      </w:r>
    </w:p>
    <w:p>
      <w:pPr>
        <w:spacing w:line="360" w:lineRule="auto"/>
        <w:ind w:firstLine="465"/>
        <w:rPr>
          <w:rFonts w:asciiTheme="minorEastAsia" w:hAnsiTheme="minorEastAsia"/>
          <w:sz w:val="24"/>
          <w:szCs w:val="24"/>
        </w:rPr>
      </w:pPr>
      <w:r>
        <w:rPr>
          <w:rFonts w:hint="eastAsia" w:asciiTheme="minorEastAsia" w:hAnsiTheme="minorEastAsia"/>
          <w:sz w:val="24"/>
          <w:szCs w:val="24"/>
        </w:rPr>
        <w:t xml:space="preserve">  DN≤2</w:t>
      </w:r>
      <w:r>
        <w:rPr>
          <w:rFonts w:asciiTheme="minorEastAsia" w:hAnsiTheme="minorEastAsia"/>
          <w:sz w:val="24"/>
          <w:szCs w:val="24"/>
        </w:rPr>
        <w:t>″</w:t>
      </w:r>
      <w:r>
        <w:rPr>
          <w:rFonts w:hint="eastAsia" w:asciiTheme="minorEastAsia" w:hAnsiTheme="minorEastAsia"/>
          <w:sz w:val="24"/>
          <w:szCs w:val="24"/>
        </w:rPr>
        <w:t>,流速≤5m/s</w:t>
      </w:r>
    </w:p>
    <w:p>
      <w:pPr>
        <w:spacing w:line="360" w:lineRule="auto"/>
        <w:rPr>
          <w:rFonts w:asciiTheme="minorEastAsia" w:hAnsiTheme="minorEastAsia"/>
          <w:sz w:val="24"/>
          <w:szCs w:val="24"/>
        </w:rPr>
      </w:pPr>
      <w:r>
        <w:rPr>
          <w:rFonts w:hint="eastAsia" w:asciiTheme="minorEastAsia" w:hAnsiTheme="minorEastAsia"/>
          <w:sz w:val="24"/>
          <w:szCs w:val="24"/>
        </w:rPr>
        <w:t xml:space="preserve">      DN3～6</w:t>
      </w:r>
      <w:r>
        <w:rPr>
          <w:rFonts w:asciiTheme="minorEastAsia" w:hAnsiTheme="minorEastAsia"/>
          <w:sz w:val="24"/>
          <w:szCs w:val="24"/>
        </w:rPr>
        <w:t>″</w:t>
      </w:r>
      <w:r>
        <w:rPr>
          <w:rFonts w:hint="eastAsia" w:asciiTheme="minorEastAsia" w:hAnsiTheme="minorEastAsia"/>
          <w:sz w:val="24"/>
          <w:szCs w:val="24"/>
        </w:rPr>
        <w:t>, 流速≤4 m/s</w:t>
      </w:r>
    </w:p>
    <w:p>
      <w:pPr>
        <w:spacing w:line="360" w:lineRule="auto"/>
        <w:rPr>
          <w:rFonts w:asciiTheme="minorEastAsia" w:hAnsiTheme="minorEastAsia"/>
          <w:sz w:val="24"/>
          <w:szCs w:val="24"/>
        </w:rPr>
      </w:pPr>
      <w:r>
        <w:rPr>
          <w:rFonts w:hint="eastAsia" w:asciiTheme="minorEastAsia" w:hAnsiTheme="minorEastAsia"/>
          <w:sz w:val="24"/>
          <w:szCs w:val="24"/>
        </w:rPr>
        <w:t xml:space="preserve">      DN﹥6</w:t>
      </w:r>
      <w:r>
        <w:rPr>
          <w:rFonts w:asciiTheme="minorEastAsia" w:hAnsiTheme="minorEastAsia"/>
          <w:sz w:val="24"/>
          <w:szCs w:val="24"/>
        </w:rPr>
        <w:t>″</w:t>
      </w:r>
      <w:r>
        <w:rPr>
          <w:rFonts w:hint="eastAsia" w:asciiTheme="minorEastAsia" w:hAnsiTheme="minorEastAsia"/>
          <w:sz w:val="24"/>
          <w:szCs w:val="24"/>
        </w:rPr>
        <w:t>, 流速≤3 m/s</w:t>
      </w:r>
    </w:p>
    <w:p>
      <w:pPr>
        <w:spacing w:line="360" w:lineRule="auto"/>
        <w:rPr>
          <w:rFonts w:asciiTheme="minorEastAsia" w:hAnsiTheme="minorEastAsia"/>
          <w:sz w:val="24"/>
          <w:szCs w:val="24"/>
        </w:rPr>
      </w:pPr>
      <w:r>
        <w:rPr>
          <w:rFonts w:hint="eastAsia" w:asciiTheme="minorEastAsia" w:hAnsiTheme="minorEastAsia"/>
          <w:sz w:val="24"/>
          <w:szCs w:val="24"/>
        </w:rPr>
        <w:t xml:space="preserve">     气体（一般工况，对正常流量）：流速≤100 m/s</w:t>
      </w:r>
    </w:p>
    <w:p>
      <w:pPr>
        <w:spacing w:line="360" w:lineRule="auto"/>
        <w:rPr>
          <w:rFonts w:asciiTheme="minorEastAsia" w:hAnsiTheme="minorEastAsia"/>
          <w:sz w:val="24"/>
          <w:szCs w:val="24"/>
        </w:rPr>
      </w:pPr>
      <w:r>
        <w:rPr>
          <w:rFonts w:hint="eastAsia" w:asciiTheme="minorEastAsia" w:hAnsiTheme="minorEastAsia"/>
          <w:sz w:val="24"/>
          <w:szCs w:val="24"/>
        </w:rPr>
        <w:t xml:space="preserve">     蒸汽（一般工况，对正常流量）：流速≤100 m/s</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6)品牌要求：见供应商推荐表</w:t>
      </w:r>
      <w:r>
        <w:rPr>
          <w:rFonts w:asciiTheme="minorEastAsia" w:hAnsiTheme="minorEastAsia"/>
          <w:sz w:val="24"/>
          <w:szCs w:val="24"/>
          <w:lang w:eastAsia="zh-CN"/>
        </w:rPr>
        <w:t xml:space="preserve"> </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7）供应商应根据流体操作条件决定阀体流向，并在阀体上标明。</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8）调节阀上的气路管接件全部采用316SS材质，接头选用FITOK、CIR-LOK和PARKER产品，接口螺纹均采用NPT标准螺纹。</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5.2 填料要求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1）阀门供应商应根据流体操作有条件选择合适的填料。一般情况下介质温度小于200℃时，选用聚四氟乙烯填料，介质温度大于200℃时，选用石墨填料。</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2）填料的选择应减少对环境的污染。</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5.3执行机构</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1）气动执行机构的尺寸选择应保证阀门在切断压差的条件下可靠工作。</w:t>
      </w:r>
    </w:p>
    <w:p>
      <w:pPr>
        <w:spacing w:line="360" w:lineRule="auto"/>
        <w:rPr>
          <w:color w:val="111111"/>
          <w:sz w:val="24"/>
          <w:szCs w:val="24"/>
          <w:lang w:eastAsia="zh-CN"/>
        </w:rPr>
      </w:pPr>
      <w:r>
        <w:rPr>
          <w:rFonts w:hint="eastAsia" w:asciiTheme="minorEastAsia" w:hAnsiTheme="minorEastAsia"/>
          <w:sz w:val="24"/>
          <w:szCs w:val="24"/>
          <w:lang w:eastAsia="zh-CN"/>
        </w:rPr>
        <w:t>2) 对于阀门压差较大，气动薄膜式无法满足的其推力的情况下，可以选择气缸式执行机构，无论选择那种执行机构都应保证气源风故障时，阀门能运行到规格书（数据表）中指定的安全位置，必要时供货商应提供事故储气罐，罐的容积至少保证阀门运行2个行程，阀门保位时间不应低于48h。事故储气罐应满足中国国家压力容器使用规范并有相关认证。</w:t>
      </w:r>
      <w:r>
        <w:rPr>
          <w:color w:val="111111"/>
          <w:sz w:val="24"/>
          <w:szCs w:val="24"/>
          <w:lang w:eastAsia="zh-CN"/>
        </w:rPr>
        <w:t>储气罐均应带安全阀，且其安全阀应有前手阀，方便下线校验。</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 执行机构应能保证阀门在各种工况下（包括最大差压）平稳开启及关闭，执行机构的输出力矩应至少留有50%的安全系数，即执行机构的输出力矩应为阀门最大扭矩的1.5倍，并且不应对阀门造成损坏，执行机构应有限位保护功能。</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4）阀门制造厂应提供阀门最大破坏扭矩，阀轴的强度应至少按执行机构最大扭矩的1.15倍选定。</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5）气动执行机构的规格应确保阀门在下述条件下能够全行程动作：上游操作压力（P1）的125%或最大切断差压（△Pmax）的110%，二者取较大值。</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5.4电气阀门定位器</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1）电气阀门定位器应采用带诊断能力的电气智能型定位器，信号为FF总线型协议，4-20mA HART 协议。</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2)电气阀门定位器应满足：死区≤0.2%；灵敏性≤0.2%，重复性≤0.2%，精度≤0.5%。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3)电气阀门定位器应为本质安全型，满足现场的防爆要求防爆等级不得低于IEC Exia II CT6。</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4）电气阀门定位器的防护等级不得低于IEC IP65。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 电气阀门定位器应满足现场工作环境（详见第3条</w:t>
      </w:r>
      <w:r>
        <w:rPr>
          <w:rFonts w:asciiTheme="minorEastAsia" w:hAnsiTheme="minorEastAsia"/>
          <w:sz w:val="24"/>
          <w:szCs w:val="24"/>
          <w:lang w:eastAsia="zh-CN"/>
        </w:rPr>
        <w:t>）</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 电气阀门定位器推荐厂商：FISHER。</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5.5 控制阀基本误差</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1）控制阀基本误差为1.5级。</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2）控制阀基本误差限±1.5%。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3）控制阀回差≤1.5%。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 控制阀死区≤1.5%。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5）控制阀额度行程偏差：实测行程等于或大于额定行程。</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5.6 电磁阀</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 电磁阀应尽可能靠近执行机构安装。</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 电磁阀应为低功耗隔爆型，小于4W,防爆等级不得低于IEC EXd II CT6。</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 电磁阀的防护等级不得低于IEC IP66。</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4）电磁阀的供电电压为24V DC。</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5）电磁阀的阀体材质为不锈钢，接线盒的材质为不锈钢。</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6）电磁阀应取得TUV的安全认证，可用于SIL2级的场合。</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7）电磁阀优先选用ASCO。</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5.7  其他附件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1）减压阀要求品牌SMC、ASCO、FESTO，减压阀整体材质304SS, 并带输出不锈钢压力表。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2）手轮要求操作简单。</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3)填料压盖及螺栓材质使用316L。</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执行机构应带就地阀位指示。</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5.8 外部接口规范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定位器、电磁阀、回讯开关电器接口规格1/2</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NPT(F),若无接线盒需配防爆接线盒，防爆等级不得低于IEC EXd II CT6。</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2）供货商应在数据表中注明与外部气源接口规格。</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所有电器接口带不锈钢防爆格兰头。</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6、阀门标记</w:t>
      </w:r>
    </w:p>
    <w:p>
      <w:pPr>
        <w:pStyle w:val="26"/>
        <w:spacing w:before="0" w:line="360" w:lineRule="auto"/>
        <w:ind w:left="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调节阀应有一个不锈钢名牌固定在执行机构上，名牌符合MSS SP-25的规定，名牌上应清楚的标明：仪表位号、制造商名称、阀门系列、阀体压力等级、阀</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体材料、阀芯材料、作用形式、阀门的CV和流量特性、生产日期等信息。</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7、工厂检验与测试</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7.1  阀门供应商应严格按照API598的要求对阀门进行检查及压力密封实验。</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7.2  阀门和执行机构及附件进行整体性能测试。</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7.3  所有阀门必须提供测试和检验报告，测试报告和阀门一并交给用户。</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8、备品备件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8.1供商必须保证本项目所提供的阀门清单设备15年（通知用户停产10年）以上的备件供应期。</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8.2 每种规格提供1套阀内垫片。</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9、工厂验收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备件到PTA工厂后验收。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10、阀门储存与发运</w:t>
      </w:r>
    </w:p>
    <w:p>
      <w:pPr>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10.1 供应商在发货前应提前一星期告知用户大至到货日期，以便用户安排 </w:t>
      </w:r>
    </w:p>
    <w:p>
      <w:pPr>
        <w:spacing w:line="360" w:lineRule="auto"/>
        <w:ind w:firstLine="46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卸货。</w:t>
      </w:r>
    </w:p>
    <w:p>
      <w:pPr>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10.2 供应商应对阀门表面进行防锈处理，防锈材料应满足现场环境要求。</w:t>
      </w:r>
    </w:p>
    <w:p>
      <w:pPr>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10.3 阀门及附件在运输前应装配完整，一般情况下，零件不得拆卸，当由于运输原因需要拆卸时，供货商应提前跟用户确认并认可。</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11、文件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11.1 供货商投标时应提供一下文件:</w:t>
      </w:r>
    </w:p>
    <w:p>
      <w:pPr>
        <w:spacing w:line="360" w:lineRule="auto"/>
        <w:ind w:firstLine="46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国内外 同规模装置中使用业绩。</w:t>
      </w:r>
    </w:p>
    <w:p>
      <w:pPr>
        <w:spacing w:line="360" w:lineRule="auto"/>
        <w:ind w:firstLine="46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2）技术说明及对规格书的应答。</w:t>
      </w:r>
    </w:p>
    <w:p>
      <w:pPr>
        <w:spacing w:line="360" w:lineRule="auto"/>
        <w:ind w:firstLine="46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偏差表（无偏差可以不提供）。</w:t>
      </w:r>
    </w:p>
    <w:p>
      <w:pPr>
        <w:spacing w:line="360" w:lineRule="auto"/>
        <w:ind w:firstLine="46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4）调节阀与附件的选型样本</w:t>
      </w:r>
    </w:p>
    <w:p>
      <w:pPr>
        <w:spacing w:line="360" w:lineRule="auto"/>
        <w:ind w:firstLine="46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5）制造和检测时间计划。</w:t>
      </w:r>
    </w:p>
    <w:p>
      <w:pPr>
        <w:spacing w:line="360" w:lineRule="auto"/>
        <w:ind w:firstLine="46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 阀门计算书及规格书</w:t>
      </w:r>
    </w:p>
    <w:p>
      <w:pPr>
        <w:spacing w:line="360" w:lineRule="auto"/>
        <w:ind w:firstLine="46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7）气路图、接线图（电动阀）、外形尺寸图及安装尺寸图。</w:t>
      </w:r>
    </w:p>
    <w:p>
      <w:pPr>
        <w:spacing w:line="360" w:lineRule="auto"/>
        <w:ind w:firstLine="46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签技术协议时，需要提供阀门外观尺寸图及阀体内部结构图。</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12、合同签订后提交的文件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12.1 合同签订2周内供货商提供2份以下文件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1) 阀门安装尺寸图。</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2）气路连接图。</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3）出场验收测试程序等。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12.2 供货时供货商提供2份以下文件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shd w:val="clear" w:color="auto" w:fill="FFFFFF"/>
          <w:lang w:eastAsia="zh-CN"/>
        </w:rPr>
        <w:t xml:space="preserve">  </w:t>
      </w:r>
      <w:r>
        <w:rPr>
          <w:rFonts w:hint="eastAsia" w:asciiTheme="majorEastAsia" w:hAnsiTheme="majorEastAsia" w:eastAsiaTheme="majorEastAsia"/>
          <w:sz w:val="24"/>
          <w:szCs w:val="24"/>
          <w:lang w:eastAsia="zh-CN"/>
        </w:rPr>
        <w:t>1）压力管道元件制造许可（TS认证）；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2）产品合格证；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3）质量证明书，包括：</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（1）材料化学成分；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（2）材料以及焊接接头力学性能；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（3）热处理状态；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（4）无损检测结果；参照SH3501 5.3.3或有特殊要求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（5）耐压实验结果（适用于有关安全技术规范及相应标准或者合同有规定的）；</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（6）型式试验结果（适用于有型式试验要求的）；</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（7）产品标准或者合同规定的其他检验项目；</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（8）外协的半成品或者成品的质量证明；</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(9) 阀门测试证书及报告；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（10）用于安装调试的相关图纸、阀门安装指导手册、阀门维护手册；</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（11）提供阀门所有零部件的规格型号及备件采购编号。</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4）型式试验证书（进口阀门亦需由国家质量监督检验检疫总局核  准的型式试验机构进行型式试验，在试验合格后方可在国内使用）；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5）提供阀门附件配件质量文件（电磁阀、反馈盒或开关、定位器、减压阀等）</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13、技术服务</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13.1 调节阀到现场后，供应商应派人至现场与用户共同验收。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13.2 现场安装有用户负责，当供货商收到用户通知后，应派工程师到现场安装指导。</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13.3 供货商应对阀门的售后服务，使用和维护技术咨询提供良好的保证，并且应保证在接到用户电话（传真）后24小时内对买方提出的问题给予答复，必须时48小时内派专人至现场解决。</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14、质量保证</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阀门在验收后供应商提供至少24个月或投运18个月的质量保证期，在质量保证期内，如发现阀门有任何质量或功能问题，供应商应免费进行必要的更换和维修。</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15、交货期</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合同签订后2个月内交货。</w:t>
      </w:r>
    </w:p>
    <w:p>
      <w:pPr>
        <w:spacing w:line="360" w:lineRule="auto"/>
        <w:ind w:firstLine="120" w:firstLineChars="5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工厂名称：翔鹭石化（漳州）有限公司</w:t>
      </w:r>
    </w:p>
    <w:p>
      <w:pPr>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 xml:space="preserve">  装置名称：</w:t>
      </w:r>
      <w:r>
        <w:rPr>
          <w:rFonts w:asciiTheme="majorEastAsia" w:hAnsiTheme="majorEastAsia" w:eastAsiaTheme="majorEastAsia"/>
          <w:b/>
          <w:sz w:val="32"/>
          <w:szCs w:val="32"/>
          <w:lang w:eastAsia="zh-CN"/>
        </w:rPr>
        <w:t xml:space="preserve"> </w:t>
      </w:r>
      <w:r>
        <w:rPr>
          <w:rFonts w:hint="eastAsia" w:asciiTheme="majorEastAsia" w:hAnsiTheme="majorEastAsia" w:eastAsiaTheme="majorEastAsia"/>
          <w:b/>
          <w:sz w:val="32"/>
          <w:szCs w:val="32"/>
          <w:lang w:eastAsia="zh-CN"/>
        </w:rPr>
        <w:t>PTA工厂</w:t>
      </w:r>
    </w:p>
    <w:p>
      <w:pPr>
        <w:rPr>
          <w:rFonts w:asciiTheme="majorEastAsia" w:hAnsiTheme="majorEastAsia" w:eastAsiaTheme="majorEastAsia"/>
          <w:b/>
          <w:sz w:val="32"/>
          <w:szCs w:val="32"/>
          <w:lang w:eastAsia="zh-CN"/>
        </w:rPr>
      </w:pPr>
    </w:p>
    <w:p>
      <w:pPr>
        <w:rPr>
          <w:rFonts w:asciiTheme="majorEastAsia" w:hAnsiTheme="majorEastAsia" w:eastAsiaTheme="majorEastAsia"/>
          <w:b/>
          <w:sz w:val="32"/>
          <w:szCs w:val="32"/>
          <w:lang w:eastAsia="zh-CN"/>
        </w:rPr>
      </w:pPr>
    </w:p>
    <w:p>
      <w:pPr>
        <w:ind w:firstLine="1446" w:firstLineChars="300"/>
        <w:rPr>
          <w:rFonts w:asciiTheme="majorEastAsia" w:hAnsiTheme="majorEastAsia" w:eastAsiaTheme="majorEastAsia"/>
          <w:b/>
          <w:sz w:val="48"/>
          <w:szCs w:val="48"/>
          <w:lang w:eastAsia="zh-CN"/>
        </w:rPr>
      </w:pPr>
    </w:p>
    <w:p>
      <w:pPr>
        <w:ind w:firstLine="1446" w:firstLineChars="300"/>
        <w:rPr>
          <w:rFonts w:asciiTheme="majorEastAsia" w:hAnsiTheme="majorEastAsia" w:eastAsiaTheme="majorEastAsia"/>
          <w:b/>
          <w:sz w:val="48"/>
          <w:szCs w:val="48"/>
          <w:lang w:eastAsia="zh-CN"/>
        </w:rPr>
      </w:pPr>
    </w:p>
    <w:p>
      <w:pPr>
        <w:rPr>
          <w:rFonts w:asciiTheme="majorEastAsia" w:hAnsiTheme="majorEastAsia" w:eastAsiaTheme="majorEastAsia"/>
          <w:b/>
          <w:sz w:val="48"/>
          <w:szCs w:val="48"/>
          <w:lang w:eastAsia="zh-CN"/>
        </w:rPr>
      </w:pPr>
      <w:r>
        <w:rPr>
          <w:rFonts w:hint="eastAsia" w:asciiTheme="majorEastAsia" w:hAnsiTheme="majorEastAsia" w:eastAsiaTheme="majorEastAsia"/>
          <w:b/>
          <w:sz w:val="48"/>
          <w:szCs w:val="48"/>
          <w:lang w:eastAsia="zh-CN"/>
        </w:rPr>
        <w:t xml:space="preserve">      电动执行机构技术要求</w:t>
      </w:r>
    </w:p>
    <w:p>
      <w:pPr>
        <w:ind w:firstLine="1446" w:firstLineChars="300"/>
        <w:rPr>
          <w:rFonts w:asciiTheme="majorEastAsia" w:hAnsiTheme="majorEastAsia" w:eastAsiaTheme="majorEastAsia"/>
          <w:b/>
          <w:sz w:val="48"/>
          <w:szCs w:val="48"/>
          <w:lang w:eastAsia="zh-CN"/>
        </w:rPr>
      </w:pP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lang w:eastAsia="zh-CN"/>
        </w:rPr>
      </w:pPr>
    </w:p>
    <w:p>
      <w:pPr>
        <w:rPr>
          <w:rFonts w:asciiTheme="majorEastAsia" w:hAnsiTheme="majorEastAsia" w:eastAsiaTheme="majorEastAsia"/>
          <w:b/>
          <w:sz w:val="28"/>
          <w:szCs w:val="28"/>
          <w:lang w:eastAsia="zh-CN"/>
        </w:rPr>
      </w:pPr>
    </w:p>
    <w:p>
      <w:pPr>
        <w:ind w:firstLine="14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28"/>
          <w:szCs w:val="28"/>
          <w:lang w:eastAsia="zh-CN"/>
        </w:rPr>
        <w:t xml:space="preserve">   最 终 用 户：  </w:t>
      </w:r>
      <w:r>
        <w:rPr>
          <w:rFonts w:hint="eastAsia" w:asciiTheme="majorEastAsia" w:hAnsiTheme="majorEastAsia" w:eastAsiaTheme="majorEastAsia"/>
          <w:b/>
          <w:sz w:val="32"/>
          <w:szCs w:val="32"/>
          <w:lang w:eastAsia="zh-CN"/>
        </w:rPr>
        <w:t>翔鹭石化（漳州）有限公司</w:t>
      </w:r>
    </w:p>
    <w:p>
      <w:pPr>
        <w:ind w:firstLine="570"/>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卖 方/制 造 商：        </w:t>
      </w: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ind w:firstLine="570"/>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日     期：</w:t>
      </w:r>
    </w:p>
    <w:p>
      <w:pPr>
        <w:ind w:firstLine="570"/>
        <w:rPr>
          <w:rFonts w:asciiTheme="majorEastAsia" w:hAnsiTheme="majorEastAsia" w:eastAsiaTheme="majorEastAsia"/>
          <w:b/>
          <w:sz w:val="28"/>
          <w:szCs w:val="28"/>
          <w:lang w:eastAsia="zh-CN"/>
        </w:rPr>
      </w:pPr>
    </w:p>
    <w:p>
      <w:pPr>
        <w:ind w:firstLine="570"/>
        <w:rPr>
          <w:rFonts w:asciiTheme="majorEastAsia" w:hAnsiTheme="majorEastAsia" w:eastAsiaTheme="majorEastAsia"/>
          <w:b/>
          <w:sz w:val="28"/>
          <w:szCs w:val="28"/>
          <w:lang w:eastAsia="zh-CN"/>
        </w:rPr>
      </w:pPr>
    </w:p>
    <w:p>
      <w:pPr>
        <w:ind w:firstLine="570"/>
        <w:rPr>
          <w:rFonts w:asciiTheme="majorEastAsia" w:hAnsiTheme="majorEastAsia" w:eastAsiaTheme="majorEastAsia"/>
          <w:b/>
          <w:sz w:val="28"/>
          <w:szCs w:val="28"/>
          <w:lang w:eastAsia="zh-CN"/>
        </w:rPr>
      </w:pPr>
    </w:p>
    <w:p>
      <w:pPr>
        <w:ind w:firstLine="570"/>
        <w:rPr>
          <w:rFonts w:asciiTheme="majorEastAsia" w:hAnsiTheme="majorEastAsia" w:eastAsiaTheme="majorEastAsia"/>
          <w:b/>
          <w:sz w:val="28"/>
          <w:szCs w:val="28"/>
          <w:lang w:eastAsia="zh-CN"/>
        </w:rPr>
      </w:pPr>
    </w:p>
    <w:p>
      <w:pPr>
        <w:pStyle w:val="2"/>
      </w:pPr>
    </w:p>
    <w:p>
      <w:pPr>
        <w:spacing w:before="240" w:line="360" w:lineRule="auto"/>
        <w:rPr>
          <w:b/>
          <w:snapToGrid w:val="0"/>
          <w:color w:val="000000"/>
          <w:sz w:val="28"/>
          <w:szCs w:val="28"/>
          <w:lang w:eastAsia="zh-CN"/>
        </w:rPr>
      </w:pPr>
    </w:p>
    <w:p>
      <w:pPr>
        <w:jc w:val="center"/>
        <w:rPr>
          <w:rFonts w:ascii="黑体" w:hAnsi="黑体" w:eastAsia="黑体" w:cs="黑体"/>
          <w:sz w:val="44"/>
          <w:szCs w:val="44"/>
          <w:lang w:eastAsia="zh-CN"/>
        </w:rPr>
      </w:pPr>
      <w:r>
        <w:rPr>
          <w:rFonts w:hint="eastAsia" w:ascii="黑体" w:hAnsi="黑体" w:eastAsia="黑体" w:cs="黑体"/>
          <w:sz w:val="44"/>
          <w:szCs w:val="44"/>
          <w:lang w:eastAsia="zh-CN"/>
        </w:rPr>
        <w:t>目录</w:t>
      </w:r>
    </w:p>
    <w:p>
      <w:pPr>
        <w:pStyle w:val="16"/>
        <w:tabs>
          <w:tab w:val="right" w:leader="dot" w:pos="8306"/>
        </w:tabs>
        <w:rPr>
          <w:rFonts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color w:val="000000"/>
          <w:kern w:val="0"/>
          <w:sz w:val="28"/>
          <w:szCs w:val="28"/>
        </w:rPr>
        <w:instrText xml:space="preserve">TOC \o "1-3" \h \u </w:instrText>
      </w:r>
      <w:r>
        <w:rPr>
          <w:rFonts w:hint="eastAsia" w:ascii="黑体" w:hAnsi="黑体" w:eastAsia="黑体" w:cs="黑体"/>
          <w:snapToGrid w:val="0"/>
          <w:color w:val="000000"/>
          <w:kern w:val="0"/>
          <w:sz w:val="28"/>
          <w:szCs w:val="28"/>
        </w:rPr>
        <w:fldChar w:fldCharType="separate"/>
      </w:r>
      <w:r>
        <w:fldChar w:fldCharType="begin"/>
      </w:r>
      <w:r>
        <w:instrText xml:space="preserve"> HYPERLINK \l "_Toc32299" </w:instrText>
      </w:r>
      <w:r>
        <w:fldChar w:fldCharType="separate"/>
      </w:r>
      <w:r>
        <w:rPr>
          <w:rFonts w:hint="eastAsia" w:ascii="黑体" w:hAnsi="黑体" w:eastAsia="黑体" w:cs="黑体"/>
          <w:bCs/>
          <w:sz w:val="28"/>
          <w:szCs w:val="28"/>
        </w:rPr>
        <w:t>第一部分 技术规范</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_Toc32299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"_Toc23737" </w:instrText>
      </w:r>
      <w:r>
        <w:fldChar w:fldCharType="separate"/>
      </w:r>
      <w:r>
        <w:rPr>
          <w:rFonts w:hint="eastAsia" w:ascii="黑体" w:hAnsi="黑体" w:eastAsia="黑体" w:cs="黑体"/>
          <w:kern w:val="0"/>
          <w:sz w:val="28"/>
          <w:szCs w:val="28"/>
        </w:rPr>
        <w:t>1、范围</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_Toc23737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"_Toc19339" </w:instrText>
      </w:r>
      <w:r>
        <w:fldChar w:fldCharType="separate"/>
      </w:r>
      <w:r>
        <w:rPr>
          <w:rFonts w:hint="eastAsia" w:ascii="黑体" w:hAnsi="黑体" w:eastAsia="黑体" w:cs="黑体"/>
          <w:kern w:val="0"/>
          <w:sz w:val="28"/>
          <w:szCs w:val="28"/>
        </w:rPr>
        <w:t>2、规范及标准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_Toc19339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"_Toc10327" </w:instrText>
      </w:r>
      <w:r>
        <w:fldChar w:fldCharType="separate"/>
      </w:r>
      <w:r>
        <w:rPr>
          <w:rFonts w:hint="eastAsia" w:ascii="黑体" w:hAnsi="黑体" w:eastAsia="黑体" w:cs="黑体"/>
          <w:kern w:val="0"/>
          <w:sz w:val="28"/>
          <w:szCs w:val="28"/>
        </w:rPr>
        <w:t>3、定义</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_Toc10327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"_Toc31776" </w:instrText>
      </w:r>
      <w:r>
        <w:fldChar w:fldCharType="separate"/>
      </w:r>
      <w:r>
        <w:rPr>
          <w:rFonts w:hint="eastAsia" w:ascii="黑体" w:hAnsi="黑体" w:eastAsia="黑体" w:cs="黑体"/>
          <w:kern w:val="0"/>
          <w:sz w:val="28"/>
          <w:szCs w:val="28"/>
        </w:rPr>
        <w:t>4、现场环境</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_Toc31776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"_Toc20587" </w:instrText>
      </w:r>
      <w:r>
        <w:fldChar w:fldCharType="separate"/>
      </w:r>
      <w:r>
        <w:rPr>
          <w:rFonts w:hint="eastAsia" w:ascii="黑体" w:hAnsi="黑体" w:eastAsia="黑体" w:cs="黑体"/>
          <w:kern w:val="0"/>
          <w:sz w:val="28"/>
          <w:szCs w:val="28"/>
        </w:rPr>
        <w:t>5、执行机构的设计及制造</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_Toc20587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"_Toc31238" </w:instrText>
      </w:r>
      <w:r>
        <w:fldChar w:fldCharType="separate"/>
      </w:r>
      <w:r>
        <w:rPr>
          <w:rFonts w:hint="eastAsia" w:ascii="黑体" w:hAnsi="黑体" w:eastAsia="黑体" w:cs="黑体"/>
          <w:kern w:val="0"/>
          <w:sz w:val="28"/>
          <w:szCs w:val="28"/>
        </w:rPr>
        <w:t>6、标记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_Toc31238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"_Toc2418" </w:instrText>
      </w:r>
      <w:r>
        <w:fldChar w:fldCharType="separate"/>
      </w:r>
      <w:r>
        <w:rPr>
          <w:rFonts w:hint="eastAsia" w:ascii="黑体" w:hAnsi="黑体" w:eastAsia="黑体" w:cs="黑体"/>
          <w:kern w:val="0"/>
          <w:sz w:val="28"/>
          <w:szCs w:val="28"/>
        </w:rPr>
        <w:t>7、执行机构的储存和发运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_Toc2418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"_Toc30571" </w:instrText>
      </w:r>
      <w:r>
        <w:fldChar w:fldCharType="separate"/>
      </w:r>
      <w:r>
        <w:rPr>
          <w:rFonts w:hint="eastAsia" w:ascii="黑体" w:hAnsi="黑体" w:eastAsia="黑体" w:cs="黑体"/>
          <w:kern w:val="0"/>
          <w:sz w:val="28"/>
          <w:szCs w:val="28"/>
        </w:rPr>
        <w:t>8、执行机构的参数表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_Toc30571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"_Toc22006" </w:instrText>
      </w:r>
      <w:r>
        <w:fldChar w:fldCharType="separate"/>
      </w:r>
      <w:r>
        <w:rPr>
          <w:rFonts w:hint="eastAsia" w:ascii="黑体" w:hAnsi="黑体" w:eastAsia="黑体" w:cs="黑体"/>
          <w:sz w:val="28"/>
          <w:szCs w:val="28"/>
        </w:rPr>
        <w:t>第二部分  供货范围</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_Toc22006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"_Toc2400" </w:instrText>
      </w:r>
      <w:r>
        <w:fldChar w:fldCharType="separate"/>
      </w:r>
      <w:r>
        <w:rPr>
          <w:rFonts w:hint="eastAsia" w:ascii="黑体" w:hAnsi="黑体" w:eastAsia="黑体" w:cs="黑体"/>
          <w:bCs/>
          <w:sz w:val="28"/>
          <w:szCs w:val="28"/>
        </w:rPr>
        <w:t>第三部分  技术资料及交付进度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_Toc2400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"_Toc26803" </w:instrText>
      </w:r>
      <w:r>
        <w:fldChar w:fldCharType="separate"/>
      </w:r>
      <w:r>
        <w:rPr>
          <w:rFonts w:hint="eastAsia" w:ascii="黑体" w:hAnsi="黑体" w:eastAsia="黑体" w:cs="黑体"/>
          <w:bCs/>
          <w:sz w:val="28"/>
          <w:szCs w:val="28"/>
        </w:rPr>
        <w:t>第四部分  交货进度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_Toc26803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"_Toc27123" </w:instrText>
      </w:r>
      <w:r>
        <w:fldChar w:fldCharType="separate"/>
      </w:r>
      <w:r>
        <w:rPr>
          <w:rFonts w:hint="eastAsia" w:ascii="黑体" w:hAnsi="黑体" w:eastAsia="黑体" w:cs="黑体"/>
          <w:bCs/>
          <w:sz w:val="28"/>
          <w:szCs w:val="28"/>
        </w:rPr>
        <w:t>第五部分  执行机构的检查和测试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_Toc27123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"_Toc9399" </w:instrText>
      </w:r>
      <w:r>
        <w:fldChar w:fldCharType="separate"/>
      </w:r>
      <w:r>
        <w:rPr>
          <w:rFonts w:hint="eastAsia" w:ascii="黑体" w:hAnsi="黑体" w:eastAsia="黑体" w:cs="黑体"/>
          <w:bCs/>
          <w:sz w:val="28"/>
          <w:szCs w:val="28"/>
        </w:rPr>
        <w:t>第六部分  技术服务</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_Toc9399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"_Toc9296" </w:instrText>
      </w:r>
      <w:r>
        <w:fldChar w:fldCharType="separate"/>
      </w:r>
      <w:r>
        <w:rPr>
          <w:rFonts w:hint="eastAsia" w:ascii="黑体" w:hAnsi="黑体" w:eastAsia="黑体" w:cs="黑体"/>
          <w:bCs/>
          <w:sz w:val="28"/>
          <w:szCs w:val="28"/>
        </w:rPr>
        <w:t>第七部分  质量保证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_Toc9296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spacing w:before="240" w:line="360" w:lineRule="auto"/>
        <w:rPr>
          <w:b/>
          <w:snapToGrid w:val="0"/>
          <w:color w:val="000000"/>
          <w:sz w:val="28"/>
          <w:szCs w:val="28"/>
        </w:rPr>
      </w:pPr>
      <w:r>
        <w:rPr>
          <w:rFonts w:hint="eastAsia" w:ascii="黑体" w:hAnsi="黑体" w:eastAsia="黑体" w:cs="黑体"/>
          <w:snapToGrid w:val="0"/>
          <w:color w:val="000000"/>
          <w:sz w:val="28"/>
          <w:szCs w:val="28"/>
        </w:rPr>
        <w:fldChar w:fldCharType="end"/>
      </w:r>
    </w:p>
    <w:p>
      <w:pPr>
        <w:adjustRightInd w:val="0"/>
        <w:spacing w:line="360" w:lineRule="auto"/>
        <w:rPr>
          <w:rFonts w:ascii="黑体" w:hAnsi="Calibri" w:eastAsia="黑体" w:cs="黑体"/>
          <w:b/>
          <w:color w:val="000000"/>
          <w:sz w:val="23"/>
          <w:szCs w:val="23"/>
        </w:rPr>
      </w:pPr>
    </w:p>
    <w:p>
      <w:pPr>
        <w:adjustRightInd w:val="0"/>
        <w:spacing w:line="360" w:lineRule="auto"/>
        <w:rPr>
          <w:rFonts w:ascii="黑体" w:hAnsi="Calibri" w:eastAsia="黑体" w:cs="黑体"/>
          <w:b/>
          <w:color w:val="000000"/>
          <w:sz w:val="23"/>
          <w:szCs w:val="23"/>
        </w:rPr>
      </w:pPr>
    </w:p>
    <w:p>
      <w:pPr>
        <w:adjustRightInd w:val="0"/>
        <w:spacing w:line="360" w:lineRule="auto"/>
        <w:rPr>
          <w:rFonts w:ascii="黑体" w:hAnsi="Calibri" w:eastAsia="黑体" w:cs="黑体"/>
          <w:b/>
          <w:color w:val="000000"/>
          <w:sz w:val="23"/>
          <w:szCs w:val="23"/>
        </w:rPr>
      </w:pPr>
    </w:p>
    <w:p>
      <w:pPr>
        <w:adjustRightInd w:val="0"/>
        <w:spacing w:line="360" w:lineRule="auto"/>
        <w:rPr>
          <w:rFonts w:ascii="黑体" w:hAnsi="Calibri" w:eastAsia="黑体" w:cs="黑体"/>
          <w:b/>
          <w:color w:val="000000"/>
          <w:sz w:val="23"/>
          <w:szCs w:val="23"/>
        </w:rPr>
      </w:pPr>
    </w:p>
    <w:p>
      <w:pPr>
        <w:pStyle w:val="3"/>
        <w:keepNext/>
        <w:keepLines/>
        <w:numPr>
          <w:ilvl w:val="0"/>
          <w:numId w:val="6"/>
        </w:numPr>
        <w:autoSpaceDE/>
        <w:autoSpaceDN/>
        <w:spacing w:before="120" w:after="120" w:line="360" w:lineRule="auto"/>
        <w:ind w:left="0"/>
        <w:jc w:val="center"/>
        <w:rPr>
          <w:b w:val="0"/>
          <w:bCs w:val="0"/>
          <w:color w:val="000000"/>
          <w:sz w:val="32"/>
          <w:szCs w:val="32"/>
        </w:rPr>
        <w:sectPr>
          <w:pgSz w:w="11906" w:h="16838"/>
          <w:pgMar w:top="1440" w:right="1800" w:bottom="1440" w:left="1800" w:header="851" w:footer="992" w:gutter="0"/>
          <w:cols w:space="425" w:num="1"/>
          <w:docGrid w:type="lines" w:linePitch="312" w:charSpace="0"/>
        </w:sectPr>
      </w:pPr>
      <w:bookmarkStart w:id="10" w:name="_Toc500753591"/>
    </w:p>
    <w:p>
      <w:pPr>
        <w:pStyle w:val="3"/>
        <w:keepNext/>
        <w:keepLines/>
        <w:numPr>
          <w:ilvl w:val="0"/>
          <w:numId w:val="6"/>
        </w:numPr>
        <w:autoSpaceDE/>
        <w:autoSpaceDN/>
        <w:spacing w:before="120" w:after="120" w:line="360" w:lineRule="auto"/>
        <w:ind w:left="0"/>
        <w:jc w:val="center"/>
        <w:rPr>
          <w:b w:val="0"/>
          <w:bCs w:val="0"/>
          <w:color w:val="000000"/>
        </w:rPr>
      </w:pPr>
      <w:bookmarkStart w:id="11" w:name="_Toc15902_WPSOffice_Level1"/>
      <w:bookmarkStart w:id="12" w:name="_Toc32299"/>
      <w:r>
        <w:rPr>
          <w:rFonts w:hint="eastAsia"/>
          <w:color w:val="000000"/>
        </w:rPr>
        <w:t>技术规范</w:t>
      </w:r>
      <w:bookmarkEnd w:id="10"/>
      <w:bookmarkEnd w:id="11"/>
      <w:bookmarkEnd w:id="12"/>
    </w:p>
    <w:p>
      <w:pPr>
        <w:adjustRightInd w:val="0"/>
        <w:spacing w:line="360" w:lineRule="auto"/>
        <w:outlineLvl w:val="1"/>
        <w:rPr>
          <w:rFonts w:cs="黑体" w:asciiTheme="majorEastAsia" w:hAnsiTheme="majorEastAsia" w:eastAsiaTheme="majorEastAsia"/>
          <w:b/>
          <w:color w:val="000000"/>
          <w:sz w:val="24"/>
          <w:szCs w:val="24"/>
        </w:rPr>
      </w:pPr>
      <w:bookmarkStart w:id="13" w:name="_Toc23737"/>
      <w:bookmarkStart w:id="14" w:name="_Toc4281_WPSOffice_Level2"/>
      <w:r>
        <w:rPr>
          <w:rFonts w:hint="eastAsia" w:cs="黑体" w:asciiTheme="majorEastAsia" w:hAnsiTheme="majorEastAsia" w:eastAsiaTheme="majorEastAsia"/>
          <w:b/>
          <w:color w:val="000000"/>
          <w:sz w:val="24"/>
          <w:szCs w:val="24"/>
        </w:rPr>
        <w:t>1、范围</w:t>
      </w:r>
      <w:bookmarkEnd w:id="13"/>
      <w:bookmarkEnd w:id="14"/>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本技术协议是</w:t>
      </w:r>
      <w:r>
        <w:rPr>
          <w:rFonts w:hint="eastAsia" w:asciiTheme="majorEastAsia" w:hAnsiTheme="majorEastAsia" w:eastAsiaTheme="majorEastAsia"/>
          <w:sz w:val="24"/>
          <w:szCs w:val="24"/>
          <w:lang w:eastAsia="zh-CN"/>
        </w:rPr>
        <w:t>福建福海创石油化工有限公司</w:t>
      </w:r>
      <w:r>
        <w:rPr>
          <w:rFonts w:hint="eastAsia" w:asciiTheme="majorEastAsia" w:hAnsiTheme="majorEastAsia" w:eastAsiaTheme="majorEastAsia"/>
          <w:color w:val="000000"/>
          <w:sz w:val="24"/>
          <w:szCs w:val="24"/>
          <w:lang w:eastAsia="zh-CN"/>
        </w:rPr>
        <w:t>使用的电动执行机构在设计、制造、测试及检验方面的最基本要求。</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与电动执行机构配套的阀门为闸阀、蝶阀等，因此，本技术协议要求应结合各种相应所配套阀门的技术要求和数据表一起使用。</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卖方推荐的电动执行机构应该</w:t>
      </w:r>
      <w:r>
        <w:rPr>
          <w:rFonts w:hint="eastAsia" w:asciiTheme="majorEastAsia" w:hAnsiTheme="majorEastAsia" w:eastAsiaTheme="majorEastAsia"/>
          <w:sz w:val="24"/>
          <w:szCs w:val="24"/>
          <w:lang w:eastAsia="zh-CN"/>
        </w:rPr>
        <w:t>最新智能一体化标</w:t>
      </w:r>
      <w:r>
        <w:rPr>
          <w:rFonts w:hint="eastAsia" w:asciiTheme="majorEastAsia" w:hAnsiTheme="majorEastAsia" w:eastAsiaTheme="majorEastAsia"/>
          <w:color w:val="000000"/>
          <w:sz w:val="24"/>
          <w:szCs w:val="24"/>
          <w:lang w:eastAsia="zh-CN"/>
        </w:rPr>
        <w:t>准产品，技术先进，有类似项目的使用业绩，在要求的操作条件下能够连续可靠地工作。</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除非能充分地说明原因，卖方推荐的产品不应与本技术协议的要求发生偏离。若有异议应进行讨论并逐条达成一致。对未尽事宜，供货商应主动向买方提出来商议，买方也有权向买方要求澄清。  </w:t>
      </w:r>
    </w:p>
    <w:p>
      <w:pPr>
        <w:adjustRightInd w:val="0"/>
        <w:spacing w:line="360" w:lineRule="auto"/>
        <w:outlineLvl w:val="1"/>
        <w:rPr>
          <w:rFonts w:cs="黑体" w:asciiTheme="majorEastAsia" w:hAnsiTheme="majorEastAsia" w:eastAsiaTheme="majorEastAsia"/>
          <w:b/>
          <w:color w:val="000000"/>
          <w:sz w:val="24"/>
          <w:szCs w:val="24"/>
          <w:lang w:eastAsia="zh-CN"/>
        </w:rPr>
      </w:pPr>
      <w:bookmarkStart w:id="15" w:name="_Toc19339"/>
      <w:bookmarkStart w:id="16" w:name="_Toc19096_WPSOffice_Level2"/>
      <w:r>
        <w:rPr>
          <w:rFonts w:hint="eastAsia" w:cs="黑体" w:asciiTheme="majorEastAsia" w:hAnsiTheme="majorEastAsia" w:eastAsiaTheme="majorEastAsia"/>
          <w:b/>
          <w:color w:val="000000"/>
          <w:sz w:val="24"/>
          <w:szCs w:val="24"/>
          <w:lang w:eastAsia="zh-CN"/>
        </w:rPr>
        <w:t>2、规范及标准</w:t>
      </w:r>
      <w:bookmarkEnd w:id="15"/>
      <w:bookmarkEnd w:id="16"/>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电动执行器机构应满足或优于下面列出的规范、标准的最新版本。如果几种规范和标准适用于同一情况，则应遵循最为严格的规范。若技术协议与相关的规范和标准有冲突，则应向买方提出并征得买方书面认可后才能展开工作。</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IEC-34        旋转式电机</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IEC-72        旋转式电机的尺寸和连续输出功率</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IEC540        电缆的绝缘性检测方法</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IEC 60529     外壳提供的防护程度</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GB3836.1-2000 爆炸性气体环境用电气设备 第1部分：通用要求</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GB3836.2-2000 爆炸性气体环境用电气设备 第2部分：隔爆型“d”</w:t>
      </w:r>
    </w:p>
    <w:p>
      <w:pPr>
        <w:adjustRightInd w:val="0"/>
        <w:spacing w:line="360" w:lineRule="auto"/>
        <w:ind w:firstLine="600" w:firstLineChars="25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GB3836.4-2000 爆炸性气体环境用电气设备 第4部分：本质安全型“i”</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其它未列出的与本产品有关的规范和标准，</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安装在爆炸危险区域的电气元件，供货时遵守以下技术规定：</w:t>
      </w:r>
    </w:p>
    <w:p>
      <w:pPr>
        <w:adjustRightInd w:val="0"/>
        <w:spacing w:line="360" w:lineRule="auto"/>
        <w:ind w:firstLine="480" w:firstLineChars="200"/>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区域分类：GB/IEC Zone 1； NEC Class I Division 1</w:t>
      </w:r>
    </w:p>
    <w:p>
      <w:pPr>
        <w:adjustRightInd w:val="0"/>
        <w:spacing w:line="360" w:lineRule="auto"/>
        <w:outlineLvl w:val="1"/>
        <w:rPr>
          <w:rFonts w:cs="黑体" w:asciiTheme="majorEastAsia" w:hAnsiTheme="majorEastAsia" w:eastAsiaTheme="majorEastAsia"/>
          <w:b/>
          <w:color w:val="000000"/>
          <w:sz w:val="24"/>
          <w:szCs w:val="24"/>
          <w:lang w:eastAsia="zh-CN"/>
        </w:rPr>
      </w:pPr>
      <w:bookmarkStart w:id="17" w:name="_Toc24649_WPSOffice_Level2"/>
      <w:bookmarkStart w:id="18" w:name="_Toc10327"/>
      <w:r>
        <w:rPr>
          <w:rFonts w:hint="eastAsia" w:cs="黑体" w:asciiTheme="majorEastAsia" w:hAnsiTheme="majorEastAsia" w:eastAsiaTheme="majorEastAsia"/>
          <w:b/>
          <w:color w:val="000000"/>
          <w:sz w:val="24"/>
          <w:szCs w:val="24"/>
          <w:lang w:eastAsia="zh-CN"/>
        </w:rPr>
        <w:t>3、定义</w:t>
      </w:r>
      <w:bookmarkEnd w:id="17"/>
      <w:bookmarkEnd w:id="18"/>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3.1 买方：</w:t>
      </w:r>
      <w:r>
        <w:rPr>
          <w:rFonts w:hint="eastAsia" w:asciiTheme="majorEastAsia" w:hAnsiTheme="majorEastAsia" w:eastAsiaTheme="majorEastAsia"/>
          <w:sz w:val="24"/>
          <w:szCs w:val="24"/>
          <w:lang w:eastAsia="zh-CN"/>
        </w:rPr>
        <w:t>翔鹭石化（漳州）有限公司</w:t>
      </w:r>
      <w:r>
        <w:rPr>
          <w:rFonts w:hint="eastAsia" w:asciiTheme="majorEastAsia" w:hAnsiTheme="majorEastAsia" w:eastAsiaTheme="majorEastAsia"/>
          <w:color w:val="000000"/>
          <w:sz w:val="24"/>
          <w:szCs w:val="24"/>
          <w:lang w:eastAsia="zh-CN"/>
        </w:rPr>
        <w:t xml:space="preserve"> </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3.2 卖方：</w:t>
      </w:r>
      <w:r>
        <w:rPr>
          <w:rFonts w:asciiTheme="majorEastAsia" w:hAnsiTheme="majorEastAsia" w:eastAsiaTheme="majorEastAsia"/>
          <w:color w:val="000000"/>
          <w:sz w:val="24"/>
          <w:szCs w:val="24"/>
          <w:lang w:eastAsia="zh-CN"/>
        </w:rPr>
        <w:t xml:space="preserve"> </w:t>
      </w:r>
    </w:p>
    <w:p>
      <w:pPr>
        <w:adjustRightInd w:val="0"/>
        <w:spacing w:line="360" w:lineRule="auto"/>
        <w:outlineLvl w:val="1"/>
        <w:rPr>
          <w:rFonts w:cs="黑体" w:asciiTheme="majorEastAsia" w:hAnsiTheme="majorEastAsia" w:eastAsiaTheme="majorEastAsia"/>
          <w:b/>
          <w:color w:val="000000"/>
          <w:sz w:val="24"/>
          <w:szCs w:val="24"/>
          <w:lang w:eastAsia="zh-CN"/>
        </w:rPr>
      </w:pPr>
      <w:bookmarkStart w:id="19" w:name="_Toc8762_WPSOffice_Level2"/>
      <w:bookmarkStart w:id="20" w:name="_Toc31776"/>
      <w:r>
        <w:rPr>
          <w:rFonts w:hint="eastAsia" w:cs="黑体" w:asciiTheme="majorEastAsia" w:hAnsiTheme="majorEastAsia" w:eastAsiaTheme="majorEastAsia"/>
          <w:b/>
          <w:color w:val="000000"/>
          <w:sz w:val="24"/>
          <w:szCs w:val="24"/>
          <w:lang w:eastAsia="zh-CN"/>
        </w:rPr>
        <w:t>4、现场环境</w:t>
      </w:r>
      <w:bookmarkEnd w:id="19"/>
      <w:bookmarkEnd w:id="20"/>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电动执行机构安装场合的极端最低温度为：+4.7℃</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电动执行机构安装场合的极端最高温度为：+38.2℃</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电动执行机构安装场合年平均相对湿度：80%</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电动执行机构供电：380V AC</w:t>
      </w:r>
    </w:p>
    <w:p>
      <w:pPr>
        <w:adjustRightInd w:val="0"/>
        <w:spacing w:line="360" w:lineRule="auto"/>
        <w:ind w:left="440" w:left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电动执行机构室外安装，安装区域为防爆</w:t>
      </w:r>
      <w:r>
        <w:rPr>
          <w:rFonts w:hint="eastAsia" w:asciiTheme="majorEastAsia" w:hAnsiTheme="majorEastAsia" w:eastAsiaTheme="majorEastAsia"/>
          <w:color w:val="FF0000"/>
          <w:sz w:val="24"/>
          <w:szCs w:val="24"/>
          <w:lang w:eastAsia="zh-CN"/>
        </w:rPr>
        <w:t>区</w:t>
      </w:r>
      <w:r>
        <w:rPr>
          <w:rFonts w:hint="eastAsia" w:asciiTheme="majorEastAsia" w:hAnsiTheme="majorEastAsia" w:eastAsiaTheme="majorEastAsia"/>
          <w:color w:val="000000"/>
          <w:sz w:val="24"/>
          <w:szCs w:val="24"/>
          <w:lang w:eastAsia="zh-CN"/>
        </w:rPr>
        <w:t>，按IEC标准，区域划分为：2区，</w:t>
      </w:r>
      <w:r>
        <w:rPr>
          <w:rFonts w:hint="eastAsia" w:asciiTheme="majorEastAsia" w:hAnsiTheme="majorEastAsia" w:eastAsiaTheme="majorEastAsia"/>
          <w:sz w:val="24"/>
          <w:szCs w:val="24"/>
          <w:lang w:eastAsia="zh-CN"/>
        </w:rPr>
        <w:t>电动执行机构需要防腐，防腐等级W</w:t>
      </w:r>
      <w:r>
        <w:rPr>
          <w:rFonts w:asciiTheme="majorEastAsia" w:hAnsiTheme="majorEastAsia" w:eastAsiaTheme="majorEastAsia"/>
          <w:sz w:val="24"/>
          <w:szCs w:val="24"/>
          <w:lang w:eastAsia="zh-CN"/>
        </w:rPr>
        <w:t>F2</w:t>
      </w:r>
      <w:r>
        <w:rPr>
          <w:rFonts w:hint="eastAsia" w:asciiTheme="majorEastAsia" w:hAnsiTheme="majorEastAsia" w:eastAsiaTheme="majorEastAsia"/>
          <w:sz w:val="24"/>
          <w:szCs w:val="24"/>
          <w:lang w:eastAsia="zh-CN"/>
        </w:rPr>
        <w:t>；</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气体组别为IIB；温度级别：T4。</w:t>
      </w:r>
    </w:p>
    <w:p>
      <w:pPr>
        <w:adjustRightInd w:val="0"/>
        <w:spacing w:line="360" w:lineRule="auto"/>
        <w:outlineLvl w:val="1"/>
        <w:rPr>
          <w:rFonts w:cs="黑体" w:asciiTheme="majorEastAsia" w:hAnsiTheme="majorEastAsia" w:eastAsiaTheme="majorEastAsia"/>
          <w:b/>
          <w:color w:val="000000"/>
          <w:sz w:val="24"/>
          <w:szCs w:val="24"/>
          <w:lang w:eastAsia="zh-CN"/>
        </w:rPr>
      </w:pPr>
      <w:bookmarkStart w:id="21" w:name="_Toc11400_WPSOffice_Level2"/>
      <w:bookmarkStart w:id="22" w:name="_Toc20587"/>
      <w:r>
        <w:rPr>
          <w:rFonts w:hint="eastAsia" w:cs="黑体" w:asciiTheme="majorEastAsia" w:hAnsiTheme="majorEastAsia" w:eastAsiaTheme="majorEastAsia"/>
          <w:b/>
          <w:color w:val="000000"/>
          <w:sz w:val="24"/>
          <w:szCs w:val="24"/>
          <w:lang w:eastAsia="zh-CN"/>
        </w:rPr>
        <w:t>5、执行机构的设计及制造</w:t>
      </w:r>
      <w:bookmarkEnd w:id="21"/>
      <w:bookmarkEnd w:id="22"/>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5.1、一般要求</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5.1.1 执行机构的设计及制造应遵循本技术协议及相关标准，并适应现场环境的要求。</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5.1.2 执行机构所配套的阀门为闸阀、蝶阀等，即执行机构的输出为直行程和角行程。</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5.1.3 执行机构的扭矩应以阀门供货商提供的为准，执行机构与阀门连接的结构规格要求应提供给阀门供货商。</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5.1.4 执行机构的输出扭矩应满足最恶劣操作条件下的阀门运行要求，并且留有至少25%的安全系数。电动执行机构输出的最大扭矩不应对阀门造成破坏，输出的最小扭矩能保证阀门的正常开启、关闭，执行机构阀门输出扭矩在现场可调。</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5.1.5 电动执行机构的转速应按照阀门数据表中要求的行程时间以及阀门的结构特性来选择。</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color w:val="000000"/>
          <w:sz w:val="24"/>
          <w:szCs w:val="24"/>
          <w:lang w:eastAsia="zh-CN"/>
        </w:rPr>
        <w:t>5.1.6 电动执行机构应为非入侵式、智能型结构，</w:t>
      </w:r>
      <w:r>
        <w:rPr>
          <w:rFonts w:hint="eastAsia" w:asciiTheme="majorEastAsia" w:hAnsiTheme="majorEastAsia" w:eastAsiaTheme="majorEastAsia"/>
          <w:sz w:val="24"/>
          <w:szCs w:val="24"/>
          <w:lang w:eastAsia="zh-CN"/>
        </w:rPr>
        <w:t>带中文液晶显示。对执行机构进行任何调节、调试、故障诊断及设定值的修改均可通过执行机构和遥控器进行，不需要拆开执行机构的密封端盖，也不需要任何特殊工具。遥控器应取得防爆合格证。</w:t>
      </w:r>
    </w:p>
    <w:p>
      <w:pPr>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5.1.7 电动执行机构采用绝对编码器计数，应有独立的 LED 阀位指示，以显示阀门全行程百分比，连续指示递增量为 1％或更低；执行机构在外部电源断电时，始终可以就地显示阀位，并可实时反映就地手轮操作引起的阀位变化；执行机构可对本身故障和外部控制回路故障进行检测和报警；</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5.1.8 电动执行机构具有每次通电后的自诊断功能。</w:t>
      </w:r>
    </w:p>
    <w:p>
      <w:pPr>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color w:val="000000"/>
          <w:sz w:val="24"/>
          <w:szCs w:val="24"/>
          <w:lang w:eastAsia="zh-CN"/>
        </w:rPr>
        <w:t xml:space="preserve">5.1.9 </w:t>
      </w:r>
      <w:r>
        <w:rPr>
          <w:rFonts w:hint="eastAsia" w:asciiTheme="majorEastAsia" w:hAnsiTheme="majorEastAsia" w:eastAsiaTheme="majorEastAsia"/>
          <w:sz w:val="24"/>
          <w:szCs w:val="24"/>
          <w:lang w:eastAsia="zh-CN"/>
        </w:rPr>
        <w:t>执行机构的故障报警/警告及工作状态应能在 LCD 面板上以文字或图例信息显示；执行机构应能按设定分别显示供电电压、频率、电流、电机转速、输出扭矩等主要外部条件和参数。提供以上功能的图片证明。</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5.1.10 电动执行机构铭牌应标明供电电压，频率，电流，转速，输出扭矩等外部条件和参数。</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5.1.11 电动执行机构的防爆等级不低于ExdIIBT4，防护等级不低于</w:t>
      </w:r>
      <w:r>
        <w:rPr>
          <w:rFonts w:hint="eastAsia" w:asciiTheme="majorEastAsia" w:hAnsiTheme="majorEastAsia" w:eastAsiaTheme="majorEastAsia"/>
          <w:color w:val="FF0000"/>
          <w:sz w:val="24"/>
          <w:szCs w:val="24"/>
          <w:lang w:eastAsia="zh-CN"/>
        </w:rPr>
        <w:t>IP66</w:t>
      </w:r>
      <w:r>
        <w:rPr>
          <w:rFonts w:hint="eastAsia" w:asciiTheme="majorEastAsia" w:hAnsiTheme="majorEastAsia" w:eastAsiaTheme="majorEastAsia"/>
          <w:color w:val="000000"/>
          <w:sz w:val="24"/>
          <w:szCs w:val="24"/>
          <w:lang w:eastAsia="zh-CN"/>
        </w:rPr>
        <w:t>。</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5.1.12 执行机构应在阀门制造厂装配调试后，由阀门供货商整体供货。执行机构供货商有义务协助阀门供货商做好工厂和现场的安装调试工作。</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5.2 机械特性</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5.2.1 执行机构应包括电机、齿轮减速传动装置、联轴器、一体化只能控制器及软件包、扭矩传感器、正反转电动机接触器、阀门连接套筒、手轮、手轮自动断开装置、就地阀位显示以及安全平稳运行所需的其他不见。执行机构整体组装应该是密闭的、独立的且适合用于户外操作。</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5.2.2 齿轮如需润滑，则润滑系统在使用期内应免维护。</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5.2.3 齿轮传动机构根据阀门的尺寸来确定，以保证现场手动开关阀门时间的合理性。</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5.2.4 在操作过程中以及在开启点，手轮所需最大操作力不应超过250N，以保证一个操作工无需加力工具可以操作。</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5.2.5 在就地手动操作过程中，电机通过手动、电动切换装置离合器自动断开。</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5.2.6 顺时针操作手轮将关闭阀门。</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5.3、电动特性</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5.3.1 电机应是鼠笼式感应电机，现场供电条件：380VAC、50HZ、3相。电力供应的电压波动为±10%，频率为±2%，且短期电压下降可达15%。卖方应在技术协议中列出动力电源的功率消耗。</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5.3.2 电机正常带动阀门时，在100%额定电压情况下，电机任何部分的温升都不应超过允许范围。</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5.3.3 电机应该是整体封闭的，采用自然冷却。电机的防护等级不应低于</w:t>
      </w:r>
      <w:r>
        <w:rPr>
          <w:rFonts w:hint="eastAsia" w:asciiTheme="majorEastAsia" w:hAnsiTheme="majorEastAsia" w:eastAsiaTheme="majorEastAsia"/>
          <w:color w:val="FF0000"/>
          <w:sz w:val="24"/>
          <w:szCs w:val="24"/>
          <w:lang w:eastAsia="zh-CN"/>
        </w:rPr>
        <w:t>IP66</w:t>
      </w:r>
      <w:r>
        <w:rPr>
          <w:rFonts w:hint="eastAsia" w:asciiTheme="majorEastAsia" w:hAnsiTheme="majorEastAsia" w:eastAsiaTheme="majorEastAsia"/>
          <w:color w:val="000000"/>
          <w:sz w:val="24"/>
          <w:szCs w:val="24"/>
          <w:lang w:eastAsia="zh-CN"/>
        </w:rPr>
        <w:t>，同时具有“F”级或以上的绝缘，能满足电机安装场所所在位置的气候条件。</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5.3.4 电动执行机构应按阀门数据表的要求，电动执行器采用智能一体化开关型产品，电动执行器的开关频率满足600次/时。</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5.3.5 执行机构应有以下下保护装置：自动相位纠正，掉相保护，电机过热保护，阀门防卡死保护，瞬间反向保护，过扭矩保护，过电压保护等。</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5.3.6 与外部连接的接线端子板应置于一个单独的密封接线盒内，使现场连接电缆时内部控制电路免于直接暴露于外部环境。端口应有标号，接线应有清晰的标记。</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5.3.7 接线箱应设有至少3个电缆连接的入口，未用的接线口要用金属丝堵封闭。电缆入口和连接件都要符合防爆要求，接管螺纹满足NPT标准。</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5.3.8 执行机构可对执行机构本身故障和外部控制回路故障进行检测和报警。</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5.3.9 接线箱内应有接地端子。</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5.3.10 执行机构内应避免生成冷凝物，</w:t>
      </w:r>
      <w:r>
        <w:rPr>
          <w:rFonts w:hint="eastAsia" w:asciiTheme="majorEastAsia" w:hAnsiTheme="majorEastAsia" w:eastAsiaTheme="majorEastAsia"/>
          <w:sz w:val="24"/>
          <w:szCs w:val="24"/>
          <w:lang w:eastAsia="zh-CN"/>
        </w:rPr>
        <w:t>具备内部电加热除湿功能。</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5.4、控制系统</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5.4.1 执行机构的控制电源由内部（执行机构）提供，电源为24VDC。</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5.4.2 执行机构应有就地、停、远程控制的选择开关，且选择开关应由安全保护措施（如挂锁）。当选择开关置于“就地”位置时，执行机构可由就地的开关按钮控制阀门的开关，当动力电源中断时，可通过就地手轮开关阀门；当选择开关置于“停”位置时，执行机构可进行现场设定和调试；置于“远程”位置时，执行机构由控制系统控制。无论执行机构处于就地、停、远程控制，只要接受联锁系统ESD的控制信号，阀门均按ESD的控制要求动作，即ESD控制的优先权最高。ESD的动作要求在阀门数据表中提供。</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5.4.3 执行机构接受以下站控制系统的控制信号：开阀控制信号、关阀控制信号、ESD控制信号，这些控制信号均为继电器输出的无源触点。因此，要求执行机构的触点额定容量为2A、24VDC，且常开/常闭状态可设定。</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5.4.4 执行机构至少为控制系统提供以下状态信息：阀门全开，阀门全关，阀门处于就地控制/远程控制，执行机构故障，扭矩超限等信息。这些信号均为无源触点，其触点额定容量为2A、24VDC，且常开/常闭状态可设定。</w:t>
      </w:r>
    </w:p>
    <w:p>
      <w:pPr>
        <w:adjustRightInd w:val="0"/>
        <w:spacing w:line="360" w:lineRule="auto"/>
        <w:outlineLvl w:val="1"/>
        <w:rPr>
          <w:rFonts w:cs="黑体" w:asciiTheme="majorEastAsia" w:hAnsiTheme="majorEastAsia" w:eastAsiaTheme="majorEastAsia"/>
          <w:b/>
          <w:color w:val="000000"/>
          <w:sz w:val="24"/>
          <w:szCs w:val="24"/>
          <w:lang w:eastAsia="zh-CN"/>
        </w:rPr>
      </w:pPr>
      <w:bookmarkStart w:id="23" w:name="_Toc20904_WPSOffice_Level2"/>
      <w:bookmarkStart w:id="24" w:name="_Toc31238"/>
      <w:r>
        <w:rPr>
          <w:rFonts w:hint="eastAsia" w:cs="黑体" w:asciiTheme="majorEastAsia" w:hAnsiTheme="majorEastAsia" w:eastAsiaTheme="majorEastAsia"/>
          <w:b/>
          <w:color w:val="000000"/>
          <w:sz w:val="24"/>
          <w:szCs w:val="24"/>
          <w:lang w:eastAsia="zh-CN"/>
        </w:rPr>
        <w:t>6、标记</w:t>
      </w:r>
      <w:bookmarkEnd w:id="23"/>
      <w:bookmarkEnd w:id="24"/>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1 执行机构应设置铭牌，以标识设备各部分的主要技术指标。</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2 铭牌上至少应包括以下信息：</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a)执行机构的仪表编号；</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b)执行机构型号和卖方名称；</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c)电机的特性参数；</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d)执行机构的速度；</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e）最大额定输出扭矩；</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f)齿轮的传动比；</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g)电气设备的防爆、防护等级和认证机构；</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h)其它。</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3 铭牌尺寸按照卖方标准，固定在执行机构的明显部位。</w:t>
      </w:r>
    </w:p>
    <w:p>
      <w:pPr>
        <w:adjustRightInd w:val="0"/>
        <w:spacing w:line="360" w:lineRule="auto"/>
        <w:outlineLvl w:val="1"/>
        <w:rPr>
          <w:rFonts w:cs="黑体" w:asciiTheme="majorEastAsia" w:hAnsiTheme="majorEastAsia" w:eastAsiaTheme="majorEastAsia"/>
          <w:b/>
          <w:color w:val="000000"/>
          <w:sz w:val="24"/>
          <w:szCs w:val="24"/>
          <w:lang w:eastAsia="zh-CN"/>
        </w:rPr>
      </w:pPr>
      <w:bookmarkStart w:id="25" w:name="_Toc2418"/>
      <w:bookmarkStart w:id="26" w:name="_Toc14558_WPSOffice_Level2"/>
      <w:r>
        <w:rPr>
          <w:rFonts w:hint="eastAsia" w:cs="黑体" w:asciiTheme="majorEastAsia" w:hAnsiTheme="majorEastAsia" w:eastAsiaTheme="majorEastAsia"/>
          <w:b/>
          <w:color w:val="000000"/>
          <w:sz w:val="24"/>
          <w:szCs w:val="24"/>
          <w:lang w:eastAsia="zh-CN"/>
        </w:rPr>
        <w:t>7、执行机构的储存和发运</w:t>
      </w:r>
      <w:bookmarkEnd w:id="25"/>
      <w:bookmarkEnd w:id="26"/>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1）执行机构卖方应列出成品发运之前的标准涂漆，该涂漆应适合现场环境条件。</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2）执行机构卖方负责执行机构从执行机构的制造厂至阀门制造厂之间的包装和运输；执行机构卖方有义务协助阀门卖方做好执行机构从阀门制造厂到现场的包装和运输工作。</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3）执行机构与阀门在运输前应装配好，由阀门卖方整体发货，一般情况下，零部件不得拆卸。当由于运输原因需要拆卸时，阀门卖方应列出拆卸的部件交用户和执行机构卖方确认。</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4）无论何种原因造成的执行机构损坏，均由执行机构卖方负责维修或更换。</w:t>
      </w:r>
    </w:p>
    <w:p>
      <w:pPr>
        <w:adjustRightInd w:val="0"/>
        <w:spacing w:line="360" w:lineRule="auto"/>
        <w:outlineLvl w:val="1"/>
        <w:rPr>
          <w:rFonts w:ascii="黑体" w:hAnsi="Calibri" w:eastAsia="黑体" w:cs="黑体"/>
          <w:b/>
          <w:color w:val="000000"/>
          <w:sz w:val="24"/>
          <w:szCs w:val="24"/>
        </w:rPr>
      </w:pPr>
      <w:bookmarkStart w:id="27" w:name="_Toc22381_WPSOffice_Level2"/>
      <w:bookmarkStart w:id="28" w:name="_Toc30571"/>
      <w:r>
        <w:rPr>
          <w:rFonts w:hint="eastAsia" w:ascii="黑体" w:hAnsi="Calibri" w:eastAsia="黑体" w:cs="黑体"/>
          <w:b/>
          <w:color w:val="000000"/>
          <w:sz w:val="24"/>
          <w:szCs w:val="24"/>
        </w:rPr>
        <w:t>8、执行机构的参数表</w:t>
      </w:r>
      <w:bookmarkEnd w:id="27"/>
      <w:bookmarkEnd w:id="28"/>
    </w:p>
    <w:tbl>
      <w:tblPr>
        <w:tblStyle w:val="20"/>
        <w:tblW w:w="8455" w:type="dxa"/>
        <w:tblInd w:w="0" w:type="dxa"/>
        <w:tblLayout w:type="fixed"/>
        <w:tblCellMar>
          <w:top w:w="15" w:type="dxa"/>
          <w:left w:w="15" w:type="dxa"/>
          <w:bottom w:w="15" w:type="dxa"/>
          <w:right w:w="15" w:type="dxa"/>
        </w:tblCellMar>
      </w:tblPr>
      <w:tblGrid>
        <w:gridCol w:w="510"/>
        <w:gridCol w:w="1180"/>
        <w:gridCol w:w="528"/>
        <w:gridCol w:w="709"/>
        <w:gridCol w:w="708"/>
        <w:gridCol w:w="567"/>
        <w:gridCol w:w="567"/>
        <w:gridCol w:w="567"/>
        <w:gridCol w:w="567"/>
        <w:gridCol w:w="567"/>
        <w:gridCol w:w="567"/>
        <w:gridCol w:w="709"/>
        <w:gridCol w:w="709"/>
      </w:tblGrid>
      <w:tr>
        <w:tblPrEx>
          <w:tblCellMar>
            <w:top w:w="15" w:type="dxa"/>
            <w:left w:w="15" w:type="dxa"/>
            <w:bottom w:w="15" w:type="dxa"/>
            <w:right w:w="15" w:type="dxa"/>
          </w:tblCellMar>
        </w:tblPrEx>
        <w:trPr>
          <w:trHeight w:val="55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名称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电装型号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转速</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额定力矩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额定功率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额定电流</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启动电流</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堵转电流</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防护等级</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重量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备注</w:t>
            </w:r>
          </w:p>
        </w:tc>
      </w:tr>
      <w:tr>
        <w:tblPrEx>
          <w:tblCellMar>
            <w:top w:w="15" w:type="dxa"/>
            <w:left w:w="15" w:type="dxa"/>
            <w:bottom w:w="15" w:type="dxa"/>
            <w:right w:w="15"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52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5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51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53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53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bl>
    <w:p>
      <w:pPr>
        <w:adjustRightInd w:val="0"/>
        <w:spacing w:line="360" w:lineRule="auto"/>
        <w:rPr>
          <w:rFonts w:ascii="黑体" w:hAnsi="Calibri" w:eastAsia="黑体" w:cs="黑体"/>
          <w:b/>
          <w:color w:val="000000"/>
          <w:sz w:val="23"/>
          <w:szCs w:val="23"/>
        </w:rPr>
      </w:pPr>
    </w:p>
    <w:p>
      <w:pPr>
        <w:pStyle w:val="3"/>
        <w:spacing w:before="120" w:after="120"/>
        <w:jc w:val="center"/>
        <w:rPr>
          <w:b w:val="0"/>
          <w:bCs w:val="0"/>
          <w:color w:val="000000"/>
        </w:rPr>
      </w:pPr>
      <w:bookmarkStart w:id="29" w:name="_Toc500753599"/>
      <w:bookmarkStart w:id="30" w:name="_Toc4281_WPSOffice_Level1"/>
      <w:bookmarkStart w:id="31" w:name="_Toc22006"/>
      <w:r>
        <w:rPr>
          <w:rFonts w:hint="eastAsia"/>
        </w:rPr>
        <w:t>第二部分供货范围</w:t>
      </w:r>
      <w:bookmarkEnd w:id="29"/>
      <w:bookmarkEnd w:id="30"/>
      <w:bookmarkEnd w:id="31"/>
    </w:p>
    <w:p>
      <w:pPr>
        <w:adjustRightInd w:val="0"/>
        <w:spacing w:line="360" w:lineRule="auto"/>
        <w:ind w:firstLine="240" w:firstLineChars="100"/>
        <w:rPr>
          <w:rFonts w:asciiTheme="minorEastAsia" w:hAnsiTheme="minorEastAsia" w:eastAsiaTheme="minorEastAsia" w:cstheme="minorEastAsia"/>
          <w:color w:val="000000"/>
          <w:sz w:val="24"/>
          <w:szCs w:val="24"/>
        </w:rPr>
      </w:pPr>
      <w:bookmarkStart w:id="32" w:name="_Toc14175_WPSOffice_Level2"/>
      <w:r>
        <w:rPr>
          <w:rFonts w:hint="eastAsia" w:asciiTheme="minorEastAsia" w:hAnsiTheme="minorEastAsia" w:eastAsiaTheme="minorEastAsia" w:cstheme="minorEastAsia"/>
          <w:color w:val="000000"/>
          <w:sz w:val="24"/>
          <w:szCs w:val="24"/>
        </w:rPr>
        <w:t>1 供货范围</w:t>
      </w:r>
      <w:bookmarkEnd w:id="32"/>
    </w:p>
    <w:tbl>
      <w:tblPr>
        <w:tblStyle w:val="20"/>
        <w:tblpPr w:leftFromText="180" w:rightFromText="180" w:vertAnchor="text" w:horzAnchor="page" w:tblpX="1814" w:tblpY="68"/>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34"/>
        <w:gridCol w:w="1100"/>
        <w:gridCol w:w="1134"/>
        <w:gridCol w:w="1134"/>
        <w:gridCol w:w="851"/>
        <w:gridCol w:w="709"/>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6"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134"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10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134"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134" w:type="dxa"/>
            <w:vAlign w:val="center"/>
          </w:tcPr>
          <w:p>
            <w:pPr>
              <w:spacing w:line="360" w:lineRule="auto"/>
              <w:jc w:val="center"/>
              <w:rPr>
                <w:rFonts w:asciiTheme="minorEastAsia" w:hAnsiTheme="minorEastAsia" w:eastAsiaTheme="minorEastAsia" w:cstheme="minorEastAsia"/>
                <w:color w:val="000000"/>
                <w:sz w:val="23"/>
                <w:szCs w:val="23"/>
              </w:rPr>
            </w:pPr>
          </w:p>
        </w:tc>
        <w:tc>
          <w:tcPr>
            <w:tcW w:w="851" w:type="dxa"/>
            <w:vAlign w:val="center"/>
          </w:tcPr>
          <w:p>
            <w:pPr>
              <w:spacing w:line="360" w:lineRule="auto"/>
              <w:jc w:val="center"/>
              <w:rPr>
                <w:rFonts w:asciiTheme="minorEastAsia" w:hAnsiTheme="minorEastAsia" w:eastAsiaTheme="minorEastAsia" w:cstheme="minorEastAsia"/>
                <w:color w:val="000000"/>
                <w:sz w:val="23"/>
                <w:szCs w:val="23"/>
              </w:rPr>
            </w:pPr>
          </w:p>
        </w:tc>
        <w:tc>
          <w:tcPr>
            <w:tcW w:w="709" w:type="dxa"/>
            <w:vAlign w:val="center"/>
          </w:tcPr>
          <w:p>
            <w:pPr>
              <w:spacing w:line="360" w:lineRule="auto"/>
              <w:jc w:val="center"/>
              <w:rPr>
                <w:rFonts w:asciiTheme="minorEastAsia" w:hAnsiTheme="minorEastAsia" w:eastAsiaTheme="minorEastAsia" w:cstheme="minorEastAsia"/>
                <w:color w:val="000000"/>
                <w:sz w:val="23"/>
                <w:szCs w:val="23"/>
              </w:rPr>
            </w:pPr>
          </w:p>
        </w:tc>
        <w:tc>
          <w:tcPr>
            <w:tcW w:w="85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709" w:type="dxa"/>
            <w:vAlign w:val="center"/>
          </w:tcPr>
          <w:p>
            <w:pPr>
              <w:spacing w:line="360" w:lineRule="auto"/>
              <w:jc w:val="center"/>
              <w:rPr>
                <w:rFonts w:asciiTheme="minorEastAsia" w:hAnsiTheme="minorEastAsia" w:eastAsiaTheme="minorEastAsia" w:cstheme="minorEastAsia"/>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76"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134"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1100"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1134"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1134"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851" w:type="dxa"/>
            <w:vAlign w:val="center"/>
          </w:tcPr>
          <w:p>
            <w:pPr>
              <w:spacing w:line="360" w:lineRule="auto"/>
              <w:jc w:val="center"/>
              <w:rPr>
                <w:rFonts w:asciiTheme="minorEastAsia" w:hAnsiTheme="minorEastAsia" w:eastAsiaTheme="minorEastAsia" w:cstheme="minorEastAsia"/>
                <w:color w:val="000000"/>
                <w:sz w:val="23"/>
                <w:szCs w:val="23"/>
              </w:rPr>
            </w:pPr>
          </w:p>
        </w:tc>
        <w:tc>
          <w:tcPr>
            <w:tcW w:w="709" w:type="dxa"/>
            <w:vAlign w:val="center"/>
          </w:tcPr>
          <w:p>
            <w:pPr>
              <w:spacing w:line="360" w:lineRule="auto"/>
              <w:jc w:val="center"/>
              <w:rPr>
                <w:rFonts w:asciiTheme="minorEastAsia" w:hAnsiTheme="minorEastAsia" w:eastAsiaTheme="minorEastAsia" w:cstheme="minorEastAsia"/>
                <w:color w:val="000000"/>
                <w:sz w:val="23"/>
                <w:szCs w:val="23"/>
              </w:rPr>
            </w:pPr>
          </w:p>
        </w:tc>
        <w:tc>
          <w:tcPr>
            <w:tcW w:w="85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709" w:type="dxa"/>
            <w:vAlign w:val="center"/>
          </w:tcPr>
          <w:p>
            <w:pPr>
              <w:spacing w:line="360" w:lineRule="auto"/>
              <w:jc w:val="center"/>
              <w:rPr>
                <w:rFonts w:asciiTheme="minorEastAsia" w:hAnsiTheme="minorEastAsia" w:eastAsiaTheme="minorEastAsia" w:cstheme="minorEastAsia"/>
                <w:color w:val="000000"/>
                <w:sz w:val="23"/>
                <w:szCs w:val="23"/>
              </w:rPr>
            </w:pPr>
          </w:p>
        </w:tc>
      </w:tr>
    </w:tbl>
    <w:p>
      <w:pPr>
        <w:spacing w:line="360" w:lineRule="auto"/>
        <w:ind w:firstLine="240" w:firstLineChars="100"/>
        <w:rPr>
          <w:rFonts w:asciiTheme="minorEastAsia" w:hAnsiTheme="minorEastAsia" w:eastAsiaTheme="minorEastAsia" w:cstheme="minorEastAsia"/>
          <w:color w:val="000000"/>
          <w:sz w:val="24"/>
          <w:szCs w:val="24"/>
        </w:rPr>
      </w:pPr>
      <w:bookmarkStart w:id="33" w:name="_Toc31770_WPSOffice_Level2"/>
      <w:r>
        <w:rPr>
          <w:rFonts w:hint="eastAsia" w:asciiTheme="minorEastAsia" w:hAnsiTheme="minorEastAsia" w:eastAsiaTheme="minorEastAsia" w:cstheme="minorEastAsia"/>
          <w:color w:val="000000"/>
          <w:sz w:val="24"/>
          <w:szCs w:val="24"/>
        </w:rPr>
        <w:t>2 备品备件： 无</w:t>
      </w:r>
      <w:bookmarkEnd w:id="33"/>
    </w:p>
    <w:p>
      <w:pPr>
        <w:snapToGrid w:val="0"/>
        <w:spacing w:line="360" w:lineRule="auto"/>
        <w:ind w:firstLine="480"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特殊工具： 无</w:t>
      </w:r>
    </w:p>
    <w:p>
      <w:pPr>
        <w:pStyle w:val="2"/>
      </w:pPr>
    </w:p>
    <w:p>
      <w:pPr>
        <w:pStyle w:val="3"/>
        <w:spacing w:before="120" w:after="120"/>
        <w:jc w:val="center"/>
        <w:rPr>
          <w:b w:val="0"/>
          <w:color w:val="000000"/>
          <w:lang w:eastAsia="zh-CN"/>
        </w:rPr>
      </w:pPr>
      <w:bookmarkStart w:id="34" w:name="_Toc70261421"/>
      <w:bookmarkStart w:id="35" w:name="_Toc404326646"/>
      <w:bookmarkStart w:id="36" w:name="_Toc19096_WPSOffice_Level1"/>
      <w:bookmarkStart w:id="37" w:name="_Toc2400"/>
      <w:bookmarkStart w:id="38" w:name="_Toc500753603"/>
      <w:r>
        <w:rPr>
          <w:rFonts w:hint="eastAsia"/>
          <w:color w:val="000000"/>
          <w:lang w:eastAsia="zh-CN"/>
        </w:rPr>
        <w:t>第三部分技术资料及交付进度</w:t>
      </w:r>
      <w:bookmarkEnd w:id="34"/>
      <w:bookmarkEnd w:id="35"/>
      <w:bookmarkEnd w:id="36"/>
      <w:bookmarkEnd w:id="37"/>
      <w:bookmarkEnd w:id="38"/>
    </w:p>
    <w:p>
      <w:pPr>
        <w:adjustRightInd w:val="0"/>
        <w:spacing w:line="360" w:lineRule="auto"/>
        <w:ind w:firstLine="240" w:firstLineChars="100"/>
        <w:rPr>
          <w:rFonts w:hAnsi="Calibri"/>
          <w:color w:val="000000"/>
          <w:sz w:val="24"/>
          <w:szCs w:val="24"/>
          <w:lang w:eastAsia="zh-CN"/>
        </w:rPr>
      </w:pPr>
      <w:bookmarkStart w:id="39" w:name="_Toc31203_WPSOffice_Level2"/>
      <w:r>
        <w:rPr>
          <w:rFonts w:hint="eastAsia" w:hAnsi="Calibri"/>
          <w:color w:val="000000"/>
          <w:sz w:val="24"/>
          <w:szCs w:val="24"/>
          <w:lang w:eastAsia="zh-CN"/>
        </w:rPr>
        <w:t>1、合同签订后提交的文件</w:t>
      </w:r>
      <w:bookmarkEnd w:id="39"/>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合同签订后两周，卖方提交6份以下文件：</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a)执行机构的外形尺寸和重量，深度至少应满足现场设计及安装的要求；</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b)电路图，深度至少应满足现场安装和维修要求；</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c)接线端子图；</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d)相关的手册和样本。</w:t>
      </w:r>
    </w:p>
    <w:p>
      <w:pPr>
        <w:adjustRightInd w:val="0"/>
        <w:spacing w:line="360" w:lineRule="auto"/>
        <w:ind w:firstLine="240" w:firstLineChars="100"/>
        <w:rPr>
          <w:rFonts w:hAnsi="Calibri"/>
          <w:color w:val="000000"/>
          <w:sz w:val="24"/>
          <w:szCs w:val="24"/>
          <w:lang w:eastAsia="zh-CN"/>
        </w:rPr>
      </w:pPr>
      <w:bookmarkStart w:id="40" w:name="_Toc28559_WPSOffice_Level2"/>
      <w:r>
        <w:rPr>
          <w:rFonts w:hint="eastAsia" w:hAnsi="Calibri"/>
          <w:color w:val="000000"/>
          <w:sz w:val="24"/>
          <w:szCs w:val="24"/>
          <w:lang w:eastAsia="zh-CN"/>
        </w:rPr>
        <w:t>2、供货时，卖方提交6份以下文件：</w:t>
      </w:r>
      <w:bookmarkEnd w:id="40"/>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a)电气元件数据表；</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b)操作和维修手册；</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c)用于组装调试的有关图资料；</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d)其它。</w:t>
      </w:r>
    </w:p>
    <w:p>
      <w:pPr>
        <w:pStyle w:val="3"/>
        <w:spacing w:before="120" w:after="120"/>
        <w:jc w:val="center"/>
        <w:rPr>
          <w:b w:val="0"/>
          <w:color w:val="000000"/>
          <w:lang w:eastAsia="zh-CN"/>
        </w:rPr>
      </w:pPr>
      <w:bookmarkStart w:id="41" w:name="_Toc500753604"/>
      <w:bookmarkStart w:id="42" w:name="_Toc404326647"/>
      <w:bookmarkStart w:id="43" w:name="_Toc24649_WPSOffice_Level1"/>
      <w:bookmarkStart w:id="44" w:name="_Toc26803"/>
      <w:r>
        <w:rPr>
          <w:rFonts w:hint="eastAsia"/>
          <w:color w:val="000000"/>
          <w:lang w:eastAsia="zh-CN"/>
        </w:rPr>
        <w:t>第四部分交货进度</w:t>
      </w:r>
      <w:bookmarkEnd w:id="41"/>
      <w:bookmarkEnd w:id="42"/>
      <w:bookmarkEnd w:id="43"/>
      <w:bookmarkEnd w:id="44"/>
    </w:p>
    <w:p>
      <w:pPr>
        <w:spacing w:line="360" w:lineRule="auto"/>
        <w:jc w:val="center"/>
        <w:rPr>
          <w:color w:val="000000"/>
          <w:sz w:val="24"/>
          <w:szCs w:val="24"/>
        </w:rPr>
      </w:pPr>
      <w:bookmarkStart w:id="45" w:name="_Toc2210_WPSOffice_Level2"/>
      <w:r>
        <w:rPr>
          <w:rFonts w:hint="eastAsia"/>
          <w:color w:val="000000"/>
          <w:sz w:val="24"/>
          <w:szCs w:val="24"/>
        </w:rPr>
        <w:t>设备交货进度</w:t>
      </w:r>
      <w:bookmarkEnd w:id="45"/>
    </w:p>
    <w:tbl>
      <w:tblPr>
        <w:tblStyle w:val="20"/>
        <w:tblW w:w="695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53"/>
        <w:gridCol w:w="2553"/>
        <w:gridCol w:w="2194"/>
        <w:gridCol w:w="145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37" w:hRule="atLeast"/>
          <w:jc w:val="center"/>
        </w:trPr>
        <w:tc>
          <w:tcPr>
            <w:tcW w:w="753" w:type="dxa"/>
            <w:tcBorders>
              <w:top w:val="single" w:color="000000" w:sz="12" w:space="0"/>
            </w:tcBorders>
            <w:vAlign w:val="center"/>
          </w:tcPr>
          <w:p>
            <w:pPr>
              <w:spacing w:beforeLines="30" w:afterLines="30"/>
              <w:jc w:val="center"/>
              <w:rPr>
                <w:color w:val="000000"/>
                <w:sz w:val="21"/>
                <w:szCs w:val="21"/>
              </w:rPr>
            </w:pPr>
            <w:r>
              <w:rPr>
                <w:rFonts w:hint="eastAsia"/>
                <w:color w:val="000000"/>
                <w:sz w:val="21"/>
                <w:szCs w:val="21"/>
              </w:rPr>
              <w:t>序号</w:t>
            </w:r>
          </w:p>
        </w:tc>
        <w:tc>
          <w:tcPr>
            <w:tcW w:w="2553" w:type="dxa"/>
            <w:tcBorders>
              <w:top w:val="single" w:color="000000" w:sz="12" w:space="0"/>
            </w:tcBorders>
            <w:vAlign w:val="center"/>
          </w:tcPr>
          <w:p>
            <w:pPr>
              <w:spacing w:beforeLines="30" w:afterLines="30"/>
              <w:jc w:val="center"/>
              <w:rPr>
                <w:color w:val="000000"/>
                <w:sz w:val="21"/>
                <w:szCs w:val="21"/>
                <w:lang w:eastAsia="zh-CN"/>
              </w:rPr>
            </w:pPr>
            <w:r>
              <w:rPr>
                <w:rFonts w:hint="eastAsia"/>
                <w:color w:val="000000"/>
                <w:sz w:val="21"/>
                <w:szCs w:val="21"/>
                <w:lang w:eastAsia="zh-CN"/>
              </w:rPr>
              <w:t>设备</w:t>
            </w:r>
            <w:r>
              <w:rPr>
                <w:color w:val="000000"/>
                <w:sz w:val="21"/>
                <w:szCs w:val="21"/>
                <w:lang w:eastAsia="zh-CN"/>
              </w:rPr>
              <w:t>/</w:t>
            </w:r>
            <w:r>
              <w:rPr>
                <w:rFonts w:hint="eastAsia"/>
                <w:color w:val="000000"/>
                <w:sz w:val="21"/>
                <w:szCs w:val="21"/>
                <w:lang w:eastAsia="zh-CN"/>
              </w:rPr>
              <w:t>部件、名称、型号</w:t>
            </w:r>
          </w:p>
        </w:tc>
        <w:tc>
          <w:tcPr>
            <w:tcW w:w="2194" w:type="dxa"/>
            <w:tcBorders>
              <w:top w:val="single" w:color="000000" w:sz="12" w:space="0"/>
            </w:tcBorders>
            <w:vAlign w:val="center"/>
          </w:tcPr>
          <w:p>
            <w:pPr>
              <w:spacing w:beforeLines="30" w:afterLines="30"/>
              <w:jc w:val="center"/>
              <w:rPr>
                <w:color w:val="000000"/>
                <w:sz w:val="21"/>
                <w:szCs w:val="21"/>
              </w:rPr>
            </w:pPr>
            <w:r>
              <w:rPr>
                <w:rFonts w:hint="eastAsia"/>
                <w:color w:val="000000"/>
                <w:sz w:val="21"/>
                <w:szCs w:val="21"/>
              </w:rPr>
              <w:t>交货时间</w:t>
            </w:r>
          </w:p>
        </w:tc>
        <w:tc>
          <w:tcPr>
            <w:tcW w:w="1451" w:type="dxa"/>
            <w:tcBorders>
              <w:top w:val="single" w:color="000000" w:sz="12" w:space="0"/>
            </w:tcBorders>
            <w:vAlign w:val="center"/>
          </w:tcPr>
          <w:p>
            <w:pPr>
              <w:spacing w:beforeLines="30" w:afterLines="30"/>
              <w:jc w:val="center"/>
              <w:rPr>
                <w:color w:val="000000"/>
                <w:sz w:val="21"/>
                <w:szCs w:val="21"/>
              </w:rPr>
            </w:pPr>
            <w:r>
              <w:rPr>
                <w:rFonts w:hint="eastAsia"/>
                <w:color w:val="000000"/>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3" w:type="dxa"/>
            <w:vAlign w:val="center"/>
          </w:tcPr>
          <w:p>
            <w:pPr>
              <w:spacing w:beforeLines="30" w:afterLines="30"/>
              <w:jc w:val="center"/>
              <w:rPr>
                <w:color w:val="000000"/>
                <w:sz w:val="21"/>
                <w:szCs w:val="21"/>
              </w:rPr>
            </w:pPr>
            <w:r>
              <w:rPr>
                <w:color w:val="000000"/>
                <w:sz w:val="21"/>
                <w:szCs w:val="21"/>
              </w:rPr>
              <w:t>1</w:t>
            </w:r>
          </w:p>
        </w:tc>
        <w:tc>
          <w:tcPr>
            <w:tcW w:w="2553" w:type="dxa"/>
            <w:vAlign w:val="center"/>
          </w:tcPr>
          <w:p>
            <w:pPr>
              <w:spacing w:beforeLines="30" w:afterLines="30"/>
              <w:jc w:val="center"/>
              <w:rPr>
                <w:color w:val="000000"/>
                <w:sz w:val="21"/>
                <w:szCs w:val="21"/>
              </w:rPr>
            </w:pPr>
            <w:r>
              <w:rPr>
                <w:rFonts w:hint="eastAsia"/>
                <w:color w:val="000000"/>
                <w:sz w:val="21"/>
                <w:szCs w:val="21"/>
              </w:rPr>
              <w:t>电动执行机构</w:t>
            </w:r>
          </w:p>
        </w:tc>
        <w:tc>
          <w:tcPr>
            <w:tcW w:w="2194" w:type="dxa"/>
            <w:vAlign w:val="center"/>
          </w:tcPr>
          <w:p>
            <w:pPr>
              <w:spacing w:beforeLines="30" w:afterLines="30"/>
              <w:jc w:val="center"/>
              <w:rPr>
                <w:color w:val="000000"/>
                <w:sz w:val="21"/>
                <w:szCs w:val="21"/>
              </w:rPr>
            </w:pPr>
          </w:p>
        </w:tc>
        <w:tc>
          <w:tcPr>
            <w:tcW w:w="1451" w:type="dxa"/>
            <w:vAlign w:val="center"/>
          </w:tcPr>
          <w:p>
            <w:pPr>
              <w:spacing w:beforeLines="30" w:afterLines="30"/>
              <w:jc w:val="center"/>
              <w:rPr>
                <w:rFonts w:eastAsia="黑体"/>
                <w:color w:val="000000"/>
                <w:kern w:val="44"/>
                <w:sz w:val="21"/>
                <w:szCs w:val="21"/>
              </w:rPr>
            </w:pPr>
          </w:p>
        </w:tc>
      </w:tr>
    </w:tbl>
    <w:p>
      <w:pPr>
        <w:spacing w:line="360" w:lineRule="auto"/>
        <w:ind w:firstLine="480" w:firstLineChars="200"/>
        <w:rPr>
          <w:color w:val="000000"/>
          <w:sz w:val="24"/>
          <w:szCs w:val="24"/>
        </w:rPr>
      </w:pPr>
      <w:bookmarkStart w:id="46" w:name="_Toc14739_WPSOffice_Level2"/>
      <w:r>
        <w:rPr>
          <w:rFonts w:hint="eastAsia"/>
          <w:color w:val="000000"/>
          <w:sz w:val="24"/>
          <w:szCs w:val="24"/>
        </w:rPr>
        <w:t>说明：</w:t>
      </w:r>
      <w:bookmarkEnd w:id="46"/>
    </w:p>
    <w:p>
      <w:pPr>
        <w:spacing w:line="360" w:lineRule="auto"/>
        <w:ind w:firstLine="480" w:firstLineChars="200"/>
        <w:rPr>
          <w:color w:val="000000"/>
          <w:sz w:val="24"/>
          <w:szCs w:val="24"/>
          <w:lang w:eastAsia="zh-CN"/>
        </w:rPr>
      </w:pPr>
      <w:r>
        <w:rPr>
          <w:color w:val="000000"/>
          <w:sz w:val="24"/>
          <w:szCs w:val="24"/>
          <w:lang w:eastAsia="zh-CN"/>
        </w:rPr>
        <w:t>1</w:t>
      </w:r>
      <w:r>
        <w:rPr>
          <w:rFonts w:hint="eastAsia"/>
          <w:color w:val="000000"/>
          <w:sz w:val="24"/>
          <w:szCs w:val="24"/>
          <w:lang w:eastAsia="zh-CN"/>
        </w:rPr>
        <w:t>、</w:t>
      </w:r>
      <w:r>
        <w:rPr>
          <w:rFonts w:hint="eastAsia"/>
          <w:bCs/>
          <w:color w:val="000000"/>
          <w:sz w:val="24"/>
          <w:szCs w:val="24"/>
          <w:lang w:eastAsia="zh-CN"/>
        </w:rPr>
        <w:t>交货地点为腾龙芳烃（漳州）有限公司</w:t>
      </w:r>
      <w:r>
        <w:rPr>
          <w:rFonts w:hint="eastAsia"/>
          <w:color w:val="000000"/>
          <w:sz w:val="24"/>
          <w:szCs w:val="24"/>
          <w:lang w:eastAsia="zh-CN"/>
        </w:rPr>
        <w:t>现场。</w:t>
      </w:r>
    </w:p>
    <w:p>
      <w:pPr>
        <w:spacing w:line="360" w:lineRule="auto"/>
        <w:ind w:firstLine="480" w:firstLineChars="200"/>
        <w:rPr>
          <w:color w:val="000000"/>
          <w:sz w:val="24"/>
          <w:szCs w:val="24"/>
          <w:lang w:eastAsia="zh-CN"/>
        </w:rPr>
      </w:pPr>
      <w:r>
        <w:rPr>
          <w:color w:val="000000"/>
          <w:sz w:val="24"/>
          <w:szCs w:val="24"/>
          <w:lang w:eastAsia="zh-CN"/>
        </w:rPr>
        <w:t>2</w:t>
      </w:r>
      <w:r>
        <w:rPr>
          <w:rFonts w:hint="eastAsia"/>
          <w:color w:val="000000"/>
          <w:sz w:val="24"/>
          <w:szCs w:val="24"/>
          <w:lang w:eastAsia="zh-CN"/>
        </w:rPr>
        <w:t>、备品备件及专用工具随每台机组设备同时交货。</w:t>
      </w:r>
    </w:p>
    <w:p>
      <w:pPr>
        <w:spacing w:line="360" w:lineRule="auto"/>
        <w:ind w:firstLine="480" w:firstLineChars="200"/>
        <w:rPr>
          <w:color w:val="000000"/>
          <w:sz w:val="24"/>
          <w:szCs w:val="24"/>
          <w:lang w:eastAsia="zh-CN"/>
        </w:rPr>
      </w:pPr>
      <w:r>
        <w:rPr>
          <w:color w:val="000000"/>
          <w:sz w:val="24"/>
          <w:szCs w:val="24"/>
          <w:lang w:eastAsia="zh-CN"/>
        </w:rPr>
        <w:t>3</w:t>
      </w:r>
      <w:r>
        <w:rPr>
          <w:rFonts w:hint="eastAsia"/>
          <w:color w:val="000000"/>
          <w:sz w:val="24"/>
          <w:szCs w:val="24"/>
          <w:lang w:eastAsia="zh-CN"/>
        </w:rPr>
        <w:t>、买方可根据实际进度调整交货时间，卖方承诺不因买方调整交货时间而额外收取费用。</w:t>
      </w:r>
    </w:p>
    <w:p>
      <w:pPr>
        <w:adjustRightInd w:val="0"/>
        <w:spacing w:line="360" w:lineRule="auto"/>
        <w:rPr>
          <w:rFonts w:hAnsi="Calibri"/>
          <w:color w:val="000000"/>
          <w:sz w:val="24"/>
          <w:szCs w:val="24"/>
          <w:lang w:eastAsia="zh-CN"/>
        </w:rPr>
      </w:pPr>
    </w:p>
    <w:p>
      <w:pPr>
        <w:pStyle w:val="3"/>
        <w:spacing w:before="120" w:after="120"/>
        <w:jc w:val="center"/>
        <w:rPr>
          <w:b w:val="0"/>
          <w:bCs w:val="0"/>
          <w:color w:val="000000"/>
          <w:lang w:eastAsia="zh-CN"/>
        </w:rPr>
      </w:pPr>
      <w:bookmarkStart w:id="47" w:name="_Toc404326648"/>
      <w:bookmarkStart w:id="48" w:name="_Toc500753605"/>
      <w:bookmarkStart w:id="49" w:name="_Toc8762_WPSOffice_Level1"/>
      <w:bookmarkStart w:id="50" w:name="_Toc27123"/>
      <w:r>
        <w:rPr>
          <w:rFonts w:hint="eastAsia"/>
          <w:color w:val="000000"/>
          <w:lang w:eastAsia="zh-CN"/>
        </w:rPr>
        <w:t>第五部分</w:t>
      </w:r>
      <w:bookmarkEnd w:id="47"/>
      <w:bookmarkEnd w:id="48"/>
      <w:r>
        <w:rPr>
          <w:rFonts w:hint="eastAsia"/>
          <w:color w:val="000000"/>
          <w:lang w:eastAsia="zh-CN"/>
        </w:rPr>
        <w:t>执行机构的检查和测试</w:t>
      </w:r>
      <w:bookmarkEnd w:id="49"/>
      <w:bookmarkEnd w:id="50"/>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执行机构的检查和测试分执行机构单体测试、和阀门的整体测试及安装现场测试，执行机构单体测试在执行机构制造厂进行，和阀门的整体测试在阀门制造厂进行。</w:t>
      </w:r>
    </w:p>
    <w:p>
      <w:pPr>
        <w:adjustRightInd w:val="0"/>
        <w:spacing w:line="360" w:lineRule="auto"/>
        <w:ind w:firstLine="480" w:firstLineChars="200"/>
        <w:rPr>
          <w:rFonts w:hAnsi="Calibri"/>
          <w:color w:val="000000"/>
          <w:sz w:val="24"/>
          <w:szCs w:val="24"/>
          <w:lang w:eastAsia="zh-CN"/>
        </w:rPr>
      </w:pPr>
      <w:bookmarkStart w:id="51" w:name="_Toc13045_WPSOffice_Level2"/>
      <w:r>
        <w:rPr>
          <w:rFonts w:hint="eastAsia" w:hAnsi="Calibri"/>
          <w:color w:val="000000"/>
          <w:sz w:val="24"/>
          <w:szCs w:val="24"/>
          <w:lang w:eastAsia="zh-CN"/>
        </w:rPr>
        <w:t>8.1 执行机构的测试</w:t>
      </w:r>
      <w:bookmarkEnd w:id="51"/>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a)输出力矩的测试；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b)输出速度的测试；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c)电动机性能测试；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d)手轮控制测试；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e）就地按钮控制测试；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f)远程各种控制功能的测试；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g)各种保护功能的测试；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h)执行机构卖方认为有必要测试的项目或规范规定需测试的项目。</w:t>
      </w:r>
    </w:p>
    <w:p>
      <w:pPr>
        <w:adjustRightInd w:val="0"/>
        <w:spacing w:line="360" w:lineRule="auto"/>
        <w:ind w:firstLine="480" w:firstLineChars="200"/>
        <w:rPr>
          <w:rFonts w:hAnsi="Calibri"/>
          <w:color w:val="000000"/>
          <w:sz w:val="24"/>
          <w:szCs w:val="24"/>
          <w:lang w:eastAsia="zh-CN"/>
        </w:rPr>
      </w:pPr>
      <w:bookmarkStart w:id="52" w:name="_Toc24604_WPSOffice_Level2"/>
      <w:r>
        <w:rPr>
          <w:rFonts w:hint="eastAsia" w:hAnsi="Calibri"/>
          <w:color w:val="000000"/>
          <w:sz w:val="24"/>
          <w:szCs w:val="24"/>
          <w:lang w:eastAsia="zh-CN"/>
        </w:rPr>
        <w:t>8.2 执行机构和阀门组装后的整体测试</w:t>
      </w:r>
      <w:bookmarkEnd w:id="52"/>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执行机构单独测试完成后，还应和阀门组装后进行整体测试。整体测试的内容包括如下：</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a)阀门最大压差下，阀门开关性能与时间的测试；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b)阀门最小压差下，阀门开关性能与时间的测试；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c)有严密关断要求的阀门的泄露测试；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d)和阀门配合后各种控制和保护功能的测试；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e）执行机构卖方和阀门卖方认为有必要测试的项目或规范规定需测试的项目。</w:t>
      </w:r>
    </w:p>
    <w:p>
      <w:pPr>
        <w:adjustRightInd w:val="0"/>
        <w:spacing w:line="360" w:lineRule="auto"/>
        <w:ind w:firstLine="480" w:firstLineChars="200"/>
        <w:rPr>
          <w:rFonts w:hAnsi="Calibri"/>
          <w:color w:val="000000"/>
          <w:sz w:val="24"/>
          <w:szCs w:val="24"/>
          <w:lang w:eastAsia="zh-CN"/>
        </w:rPr>
      </w:pPr>
      <w:bookmarkStart w:id="53" w:name="_Toc4850_WPSOffice_Level2"/>
      <w:r>
        <w:rPr>
          <w:rFonts w:hint="eastAsia" w:hAnsi="Calibri"/>
          <w:color w:val="000000"/>
          <w:sz w:val="24"/>
          <w:szCs w:val="24"/>
          <w:lang w:eastAsia="zh-CN"/>
        </w:rPr>
        <w:t>8.3 现场测试</w:t>
      </w:r>
      <w:bookmarkEnd w:id="53"/>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a)执行机构卖方和阀门卖方应派有经验的人员到施工现场知道现场测试工作。</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b)在现场条件具备的前提下，应在现场重复工厂整体测试的项目。</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c)若现场测试过程中出现任何产品故障和缺陷，卖方应免费维修或更换，直到卖方满意位置。</w:t>
      </w:r>
    </w:p>
    <w:p>
      <w:pPr>
        <w:pStyle w:val="3"/>
        <w:spacing w:before="120" w:after="120"/>
        <w:jc w:val="center"/>
        <w:rPr>
          <w:color w:val="000000"/>
          <w:lang w:eastAsia="zh-CN"/>
        </w:rPr>
      </w:pPr>
      <w:bookmarkStart w:id="54" w:name="_Toc9399"/>
      <w:bookmarkStart w:id="55" w:name="_Toc500753608"/>
      <w:bookmarkStart w:id="56" w:name="_Toc11400_WPSOffice_Level1"/>
      <w:bookmarkStart w:id="57" w:name="_Toc493398282"/>
      <w:r>
        <w:rPr>
          <w:rFonts w:hint="eastAsia"/>
          <w:color w:val="000000"/>
          <w:lang w:eastAsia="zh-CN"/>
        </w:rPr>
        <w:t>第六部分技术服务</w:t>
      </w:r>
      <w:bookmarkEnd w:id="54"/>
      <w:bookmarkEnd w:id="55"/>
      <w:bookmarkEnd w:id="56"/>
      <w:bookmarkEnd w:id="57"/>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1 卖方应提供安装、组态和维护培训，地点位于用户工厂；</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2 卖方应提供现场安装的特殊工具。</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3 当卖方收到买方的通知后，应派有经验的工程师到现场检查指导安装。</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4 当设备出现故障或不能满足用户要求时，卖方应按买方要求排除故障，知道买方满意为止。</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5 当设备需要维修或更换部件时，卖方应派有经验工程师到现场进行技术支持。</w:t>
      </w:r>
    </w:p>
    <w:p>
      <w:pPr>
        <w:adjustRightInd w:val="0"/>
        <w:spacing w:line="360" w:lineRule="auto"/>
        <w:jc w:val="center"/>
        <w:outlineLvl w:val="0"/>
        <w:rPr>
          <w:b/>
          <w:bCs/>
          <w:color w:val="000000"/>
          <w:sz w:val="28"/>
          <w:szCs w:val="28"/>
          <w:lang w:eastAsia="zh-CN"/>
        </w:rPr>
      </w:pPr>
      <w:bookmarkStart w:id="58" w:name="_Toc9296"/>
      <w:bookmarkStart w:id="59" w:name="_Toc20904_WPSOffice_Level1"/>
      <w:r>
        <w:rPr>
          <w:rFonts w:hint="eastAsia"/>
          <w:b/>
          <w:bCs/>
          <w:color w:val="000000"/>
          <w:sz w:val="28"/>
          <w:szCs w:val="28"/>
          <w:lang w:eastAsia="zh-CN"/>
        </w:rPr>
        <w:t xml:space="preserve">第七部分 </w:t>
      </w:r>
      <w:bookmarkEnd w:id="58"/>
      <w:bookmarkEnd w:id="59"/>
      <w:r>
        <w:rPr>
          <w:rFonts w:hint="eastAsia"/>
          <w:b/>
          <w:bCs/>
          <w:color w:val="000000"/>
          <w:sz w:val="28"/>
          <w:szCs w:val="28"/>
          <w:lang w:eastAsia="zh-CN"/>
        </w:rPr>
        <w:t xml:space="preserve">  </w:t>
      </w:r>
      <w:bookmarkStart w:id="60" w:name="_Toc14558_WPSOffice_Level1"/>
      <w:r>
        <w:rPr>
          <w:rFonts w:hint="eastAsia"/>
          <w:b/>
          <w:bCs/>
          <w:color w:val="000000"/>
          <w:sz w:val="28"/>
          <w:szCs w:val="28"/>
          <w:lang w:eastAsia="zh-CN"/>
        </w:rPr>
        <w:t xml:space="preserve"> 产品质量及售后服务承诺</w:t>
      </w:r>
      <w:bookmarkEnd w:id="60"/>
    </w:p>
    <w:p>
      <w:pPr>
        <w:pStyle w:val="2"/>
        <w:rPr>
          <w:b/>
          <w:bCs/>
          <w:sz w:val="32"/>
          <w:szCs w:val="32"/>
        </w:rPr>
      </w:pPr>
    </w:p>
    <w:p>
      <w:pPr>
        <w:pStyle w:val="2"/>
        <w:rPr>
          <w:b/>
          <w:bCs/>
          <w:sz w:val="32"/>
          <w:szCs w:val="32"/>
        </w:rPr>
      </w:pPr>
      <w:r>
        <w:rPr>
          <w:rFonts w:hint="eastAsia"/>
          <w:b/>
          <w:bCs/>
          <w:sz w:val="32"/>
          <w:szCs w:val="32"/>
        </w:rPr>
        <w:t>附件2：仪表规格书</w:t>
      </w:r>
    </w:p>
    <w:p>
      <w:pPr>
        <w:pStyle w:val="2"/>
        <w:rPr>
          <w:b/>
          <w:sz w:val="28"/>
          <w:szCs w:val="28"/>
        </w:rPr>
      </w:pPr>
    </w:p>
    <w:p>
      <w:pPr>
        <w:tabs>
          <w:tab w:val="left" w:pos="1260"/>
          <w:tab w:val="left" w:pos="1800"/>
        </w:tabs>
        <w:spacing w:line="360" w:lineRule="auto"/>
        <w:rPr>
          <w:b/>
          <w:color w:val="000000"/>
          <w:sz w:val="32"/>
          <w:szCs w:val="32"/>
          <w:lang w:eastAsia="zh-CN"/>
        </w:rPr>
      </w:pPr>
      <w:r>
        <w:rPr>
          <w:rFonts w:hint="eastAsia"/>
          <w:b/>
          <w:color w:val="000000"/>
          <w:sz w:val="32"/>
          <w:szCs w:val="32"/>
          <w:lang w:eastAsia="zh-CN"/>
        </w:rPr>
        <w:t>附件二：参选文件格式</w:t>
      </w:r>
    </w:p>
    <w:p>
      <w:pPr>
        <w:pStyle w:val="2"/>
        <w:rPr>
          <w:b/>
          <w:sz w:val="28"/>
          <w:szCs w:val="28"/>
        </w:rPr>
      </w:pPr>
    </w:p>
    <w:p>
      <w:pPr>
        <w:pStyle w:val="2"/>
        <w:rPr>
          <w:b/>
          <w:sz w:val="28"/>
          <w:szCs w:val="28"/>
        </w:rPr>
      </w:pPr>
    </w:p>
    <w:p>
      <w:pPr>
        <w:pStyle w:val="2"/>
        <w:rPr>
          <w:b/>
          <w:sz w:val="28"/>
          <w:szCs w:val="28"/>
        </w:rPr>
      </w:pPr>
    </w:p>
    <w:p>
      <w:pPr>
        <w:pStyle w:val="2"/>
        <w:rPr>
          <w:b/>
          <w:sz w:val="28"/>
          <w:szCs w:val="28"/>
        </w:rPr>
      </w:pPr>
      <w:r>
        <w:rPr>
          <w:rFonts w:hint="eastAsia"/>
          <w:b/>
          <w:sz w:val="28"/>
          <w:szCs w:val="28"/>
        </w:rPr>
        <w:t>一、</w:t>
      </w:r>
    </w:p>
    <w:p>
      <w:pPr>
        <w:pStyle w:val="10"/>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二、</w:t>
      </w: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sz w:val="28"/>
          <w:szCs w:val="28"/>
          <w:lang w:eastAsia="zh-CN"/>
        </w:rPr>
      </w:pPr>
    </w:p>
    <w:p>
      <w:pPr>
        <w:spacing w:line="500" w:lineRule="exact"/>
        <w:jc w:val="both"/>
        <w:rPr>
          <w:b/>
          <w:bCs/>
          <w:sz w:val="28"/>
          <w:szCs w:val="28"/>
          <w:lang w:eastAsia="zh-CN"/>
        </w:rPr>
      </w:pPr>
      <w:r>
        <w:rPr>
          <w:rFonts w:hint="eastAsia"/>
          <w:b/>
          <w:sz w:val="28"/>
          <w:szCs w:val="28"/>
          <w:lang w:eastAsia="zh-CN"/>
        </w:rPr>
        <w:t>三、</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ajorEastAsia" w:hAnsiTheme="majorEastAsia" w:eastAsiaTheme="majorEastAsia"/>
          <w:sz w:val="24"/>
          <w:szCs w:val="24"/>
          <w:u w:val="single"/>
          <w:lang w:eastAsia="zh-CN"/>
        </w:rPr>
        <w:t>阀门、压力表、控制仪、流量计及变送器等采购(□包段I,□包段II）</w:t>
      </w:r>
      <w:r>
        <w:rPr>
          <w:rFonts w:hint="eastAsia"/>
          <w:sz w:val="24"/>
          <w:szCs w:val="24"/>
          <w:lang w:eastAsia="zh-CN"/>
        </w:rPr>
        <w:t>公开自主比选，</w:t>
      </w:r>
      <w:r>
        <w:rPr>
          <w:rFonts w:hint="eastAsia"/>
          <w:sz w:val="24"/>
          <w:lang w:eastAsia="zh-CN"/>
        </w:rPr>
        <w:t>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四、</w:t>
      </w:r>
    </w:p>
    <w:p>
      <w:pPr>
        <w:pStyle w:val="2"/>
      </w:pPr>
    </w:p>
    <w:p>
      <w:pPr>
        <w:pStyle w:val="2"/>
      </w:pPr>
    </w:p>
    <w:p>
      <w:pPr>
        <w:pStyle w:val="28"/>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阀门、压力表、控制仪、流量计及变送器等采购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8"/>
        <w:spacing w:beforeLines="0" w:afterLines="0" w:line="240" w:lineRule="auto"/>
        <w:ind w:firstLine="562"/>
        <w:rPr>
          <w:rFonts w:cs="Times New Roman"/>
          <w:b/>
          <w:bCs w:val="0"/>
          <w:lang w:eastAsia="zh-CN"/>
        </w:rPr>
      </w:pPr>
      <w:r>
        <w:rPr>
          <w:rFonts w:hint="eastAsia" w:cs="Times New Roman"/>
          <w:b/>
          <w:bCs w:val="0"/>
          <w:lang w:eastAsia="zh-CN"/>
        </w:rPr>
        <w:t>五、</w:t>
      </w:r>
    </w:p>
    <w:p>
      <w:pPr>
        <w:pStyle w:val="28"/>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8"/>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28"/>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阀门、压力表、控制仪、流量计及变送器等采购 </w:t>
      </w:r>
    </w:p>
    <w:p>
      <w:pPr>
        <w:spacing w:line="360" w:lineRule="auto"/>
        <w:ind w:firstLine="480" w:firstLineChars="200"/>
        <w:rPr>
          <w:sz w:val="24"/>
          <w:szCs w:val="24"/>
          <w:lang w:eastAsia="zh-CN"/>
        </w:rPr>
      </w:pPr>
      <w:r>
        <w:rPr>
          <w:rFonts w:hint="eastAsia"/>
          <w:sz w:val="24"/>
          <w:szCs w:val="24"/>
          <w:lang w:eastAsia="zh-CN"/>
        </w:rPr>
        <w:t>参选报价：□包段I</w:t>
      </w:r>
      <w:r>
        <w:rPr>
          <w:rFonts w:hint="eastAsia"/>
          <w:sz w:val="24"/>
          <w:szCs w:val="24"/>
          <w:u w:val="single"/>
          <w:lang w:eastAsia="zh-CN"/>
        </w:rPr>
        <w:t xml:space="preserve">       </w:t>
      </w:r>
      <w:r>
        <w:rPr>
          <w:rFonts w:hint="eastAsia"/>
          <w:sz w:val="24"/>
          <w:szCs w:val="24"/>
          <w:lang w:eastAsia="zh-CN"/>
        </w:rPr>
        <w:t>元；</w:t>
      </w:r>
    </w:p>
    <w:p>
      <w:pPr>
        <w:pStyle w:val="2"/>
        <w:spacing w:line="360" w:lineRule="auto"/>
        <w:rPr>
          <w:sz w:val="24"/>
          <w:szCs w:val="24"/>
        </w:rPr>
      </w:pPr>
      <w:r>
        <w:rPr>
          <w:rFonts w:hint="eastAsia"/>
          <w:sz w:val="24"/>
          <w:szCs w:val="24"/>
        </w:rPr>
        <w:t xml:space="preserve">              □包段II</w:t>
      </w:r>
      <w:r>
        <w:rPr>
          <w:rFonts w:hint="eastAsia"/>
          <w:sz w:val="24"/>
          <w:szCs w:val="24"/>
          <w:u w:val="single"/>
        </w:rPr>
        <w:t xml:space="preserve">      </w:t>
      </w:r>
      <w:r>
        <w:rPr>
          <w:rFonts w:hint="eastAsia"/>
          <w:sz w:val="24"/>
          <w:szCs w:val="24"/>
        </w:rPr>
        <w:t>元。</w:t>
      </w:r>
    </w:p>
    <w:p>
      <w:pPr>
        <w:spacing w:line="360" w:lineRule="auto"/>
        <w:ind w:firstLine="480" w:firstLineChars="200"/>
        <w:rPr>
          <w:sz w:val="24"/>
          <w:szCs w:val="24"/>
          <w:lang w:eastAsia="zh-CN"/>
        </w:rPr>
      </w:pPr>
      <w:r>
        <w:rPr>
          <w:rFonts w:hint="eastAsia"/>
          <w:sz w:val="24"/>
          <w:szCs w:val="24"/>
          <w:lang w:eastAsia="zh-CN"/>
        </w:rPr>
        <w:t xml:space="preserve"> </w:t>
      </w:r>
      <w:r>
        <w:rPr>
          <w:rFonts w:hint="eastAsia"/>
          <w:lang w:eastAsia="zh-CN"/>
        </w:rPr>
        <w:t xml:space="preserve">       </w:t>
      </w:r>
      <w:r>
        <w:rPr>
          <w:rFonts w:hint="eastAsia"/>
          <w:sz w:val="24"/>
          <w:szCs w:val="24"/>
          <w:lang w:eastAsia="zh-CN"/>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w:t>
      </w:r>
    </w:p>
    <w:p>
      <w:pPr>
        <w:pStyle w:val="2"/>
        <w:spacing w:line="360" w:lineRule="auto"/>
        <w:rPr>
          <w:sz w:val="24"/>
          <w:szCs w:val="24"/>
        </w:rPr>
      </w:pPr>
      <w:r>
        <w:rPr>
          <w:rFonts w:hint="eastAsia"/>
          <w:sz w:val="24"/>
          <w:szCs w:val="24"/>
        </w:rPr>
        <w:t xml:space="preserve">           2、付款方式：按比选文件要求执行</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合同生效后2个月内到货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6"/>
        <w:numPr>
          <w:ilvl w:val="0"/>
          <w:numId w:val="3"/>
        </w:numPr>
        <w:spacing w:before="0" w:line="360" w:lineRule="auto"/>
        <w:rPr>
          <w:rFonts w:asciiTheme="majorEastAsia" w:hAnsiTheme="majorEastAsia" w:eastAsiaTheme="majorEastAsia"/>
          <w:sz w:val="24"/>
          <w:szCs w:val="24"/>
          <w:lang w:eastAsia="zh-CN"/>
        </w:rPr>
      </w:pPr>
      <w:r>
        <w:rPr>
          <w:rFonts w:hint="eastAsia"/>
          <w:sz w:val="24"/>
          <w:szCs w:val="24"/>
          <w:lang w:eastAsia="zh-CN"/>
        </w:rPr>
        <w:t>附表：</w:t>
      </w:r>
    </w:p>
    <w:p>
      <w:pPr>
        <w:pStyle w:val="26"/>
        <w:spacing w:before="0" w:line="360" w:lineRule="auto"/>
        <w:ind w:left="360" w:firstLine="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w:t>
      </w:r>
    </w:p>
    <w:tbl>
      <w:tblPr>
        <w:tblStyle w:val="20"/>
        <w:tblW w:w="9356" w:type="dxa"/>
        <w:tblInd w:w="0" w:type="dxa"/>
        <w:tblLayout w:type="autofit"/>
        <w:tblCellMar>
          <w:top w:w="0" w:type="dxa"/>
          <w:left w:w="108" w:type="dxa"/>
          <w:bottom w:w="0" w:type="dxa"/>
          <w:right w:w="108" w:type="dxa"/>
        </w:tblCellMar>
      </w:tblPr>
      <w:tblGrid>
        <w:gridCol w:w="426"/>
        <w:gridCol w:w="958"/>
        <w:gridCol w:w="3861"/>
        <w:gridCol w:w="709"/>
        <w:gridCol w:w="851"/>
        <w:gridCol w:w="850"/>
        <w:gridCol w:w="1701"/>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95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86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958"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Cs/>
                <w:color w:val="000000"/>
                <w:sz w:val="21"/>
                <w:szCs w:val="21"/>
                <w:lang w:eastAsia="zh-CN"/>
              </w:rPr>
              <w:t>自力式调节阀</w:t>
            </w:r>
          </w:p>
        </w:tc>
        <w:tc>
          <w:tcPr>
            <w:tcW w:w="3861"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尺寸DN25/压力等级150LB/阀前压力0.7MPa/阀后压力0.5KPa/阀后调节范围0.25KPa开启、0.5KPa关闭/阀芯阀杆材质316SS/全金属减压阀</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4台</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配相应同材质法兰、螺栓螺母、垫片等</w:t>
            </w:r>
          </w:p>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2.见数据表及技术协议</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95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智能压力变送器</w:t>
            </w:r>
          </w:p>
        </w:tc>
        <w:tc>
          <w:tcPr>
            <w:tcW w:w="386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量程-1.0~2.0Kpa/输出信号4~20mA+HART/过程连接1/2"NPT(F)/膜片材质316L/防爆等级Exd IIBT4/带现场显示、二阀组、位号牌</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1.见数据表</w:t>
            </w:r>
          </w:p>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2.品牌：罗斯蒙特</w:t>
            </w:r>
            <w:r>
              <w:rPr>
                <w:rFonts w:asciiTheme="majorEastAsia" w:hAnsiTheme="majorEastAsia" w:eastAsiaTheme="majorEastAsia"/>
                <w:sz w:val="21"/>
                <w:szCs w:val="21"/>
                <w:shd w:val="clear" w:color="auto" w:fill="FFFFFF"/>
                <w:lang w:eastAsia="zh-CN"/>
              </w:rPr>
              <w:t>/横河</w:t>
            </w:r>
          </w:p>
          <w:p>
            <w:pPr>
              <w:pStyle w:val="2"/>
              <w:spacing w:line="240" w:lineRule="atLeast"/>
              <w:rPr>
                <w:sz w:val="21"/>
                <w:szCs w:val="21"/>
              </w:rPr>
            </w:pPr>
            <w:r>
              <w:rPr>
                <w:rFonts w:hint="eastAsia"/>
                <w:sz w:val="21"/>
                <w:szCs w:val="21"/>
              </w:rPr>
              <w:t>3. 配套二阀组</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95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数控电液阀</w:t>
            </w:r>
          </w:p>
        </w:tc>
        <w:tc>
          <w:tcPr>
            <w:tcW w:w="386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材质316SS\尺寸：法兰连接4”150LB\配防爆电磁阀\电源24VDC\</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配相应同材质法兰、螺栓螺母、垫片等</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2.见数据表及技术协议</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3.</w:t>
            </w:r>
            <w:r>
              <w:rPr>
                <w:rFonts w:hint="eastAsia"/>
                <w:sz w:val="21"/>
                <w:szCs w:val="21"/>
                <w:lang w:eastAsia="zh-CN"/>
              </w:rPr>
              <w:t>现场服务调试</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95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气动球阀（开关阀）</w:t>
            </w:r>
          </w:p>
        </w:tc>
        <w:tc>
          <w:tcPr>
            <w:tcW w:w="386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 xml:space="preserve">全通径球阀\连接形式：法兰连接8"150lB\材质：316L SS\单作用,气开\故障关\ </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配相应同材质法兰、螺栓螺母、垫片等</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2.见数据表及技术协议</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95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电动调节闸阀</w:t>
            </w:r>
          </w:p>
        </w:tc>
        <w:tc>
          <w:tcPr>
            <w:tcW w:w="386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材质316L SS\连接形式：法兰\材质316L SS\尺寸4" 150LB\调节型4~20mA输入和反馈\防爆等级EXdII BT4\</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jc w:val="both"/>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配相应同材质法兰、螺栓螺母、垫片等</w:t>
            </w:r>
          </w:p>
          <w:p>
            <w:pPr>
              <w:widowControl/>
              <w:autoSpaceDE/>
              <w:autoSpaceDN/>
              <w:jc w:val="both"/>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2.见数据表及技术协议</w:t>
            </w:r>
          </w:p>
          <w:p>
            <w:pPr>
              <w:widowControl/>
              <w:autoSpaceDE/>
              <w:autoSpaceDN/>
              <w:jc w:val="both"/>
              <w:rPr>
                <w:sz w:val="21"/>
                <w:szCs w:val="21"/>
                <w:lang w:eastAsia="zh-CN"/>
              </w:rPr>
            </w:pPr>
            <w:r>
              <w:rPr>
                <w:rFonts w:hint="eastAsia" w:asciiTheme="majorEastAsia" w:hAnsiTheme="majorEastAsia" w:eastAsiaTheme="majorEastAsia"/>
                <w:sz w:val="21"/>
                <w:szCs w:val="21"/>
                <w:shd w:val="clear" w:color="auto" w:fill="FFFFFF"/>
                <w:lang w:eastAsia="zh-CN"/>
              </w:rPr>
              <w:t>3.</w:t>
            </w:r>
            <w:r>
              <w:rPr>
                <w:rFonts w:hint="eastAsia"/>
                <w:sz w:val="21"/>
                <w:szCs w:val="21"/>
                <w:lang w:eastAsia="zh-CN"/>
              </w:rPr>
              <w:t>现场服务调试</w:t>
            </w:r>
          </w:p>
          <w:p>
            <w:pPr>
              <w:jc w:val="both"/>
              <w:rPr>
                <w:lang w:eastAsia="zh-CN"/>
              </w:rPr>
            </w:pPr>
            <w:r>
              <w:rPr>
                <w:rFonts w:hint="eastAsia"/>
                <w:sz w:val="21"/>
                <w:szCs w:val="21"/>
                <w:lang w:eastAsia="zh-CN"/>
              </w:rPr>
              <w:t>4.执行机构品牌：浙江瑞机，扬州电力修造厂，扬州恒春</w:t>
            </w:r>
          </w:p>
        </w:tc>
      </w:tr>
      <w:tr>
        <w:tblPrEx>
          <w:tblCellMar>
            <w:top w:w="0" w:type="dxa"/>
            <w:left w:w="108" w:type="dxa"/>
            <w:bottom w:w="0" w:type="dxa"/>
            <w:right w:w="108" w:type="dxa"/>
          </w:tblCellMar>
        </w:tblPrEx>
        <w:trPr>
          <w:trHeight w:val="720" w:hRule="atLeast"/>
        </w:trPr>
        <w:tc>
          <w:tcPr>
            <w:tcW w:w="68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26"/>
        <w:spacing w:line="360" w:lineRule="auto"/>
        <w:ind w:left="360" w:firstLine="0"/>
        <w:rPr>
          <w:rFonts w:asciiTheme="majorEastAsia" w:hAnsiTheme="majorEastAsia" w:eastAsiaTheme="majorEastAsia"/>
          <w:sz w:val="24"/>
          <w:lang w:eastAsia="zh-CN"/>
        </w:rPr>
      </w:pPr>
    </w:p>
    <w:p>
      <w:pPr>
        <w:pStyle w:val="26"/>
        <w:spacing w:before="0" w:line="360" w:lineRule="auto"/>
        <w:ind w:left="360" w:firstLine="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包段II：</w:t>
      </w:r>
    </w:p>
    <w:tbl>
      <w:tblPr>
        <w:tblStyle w:val="20"/>
        <w:tblW w:w="9322" w:type="dxa"/>
        <w:tblInd w:w="0" w:type="dxa"/>
        <w:tblLayout w:type="autofit"/>
        <w:tblCellMar>
          <w:top w:w="0" w:type="dxa"/>
          <w:left w:w="108" w:type="dxa"/>
          <w:bottom w:w="0" w:type="dxa"/>
          <w:right w:w="108" w:type="dxa"/>
        </w:tblCellMar>
      </w:tblPr>
      <w:tblGrid>
        <w:gridCol w:w="580"/>
        <w:gridCol w:w="946"/>
        <w:gridCol w:w="3685"/>
        <w:gridCol w:w="709"/>
        <w:gridCol w:w="851"/>
        <w:gridCol w:w="850"/>
        <w:gridCol w:w="1701"/>
      </w:tblGrid>
      <w:tr>
        <w:tblPrEx>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9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946"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Cs/>
                <w:color w:val="000000"/>
                <w:sz w:val="21"/>
                <w:szCs w:val="21"/>
                <w:lang w:eastAsia="zh-CN"/>
              </w:rPr>
              <w:t>不锈钢压力表</w:t>
            </w:r>
          </w:p>
        </w:tc>
        <w:tc>
          <w:tcPr>
            <w:tcW w:w="3685"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量程0~1.6Mpa/径向/测量元件：弹簧管、材质:316L/螺纹连接1/2"NPT(M)/精度：1.6</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1.见附件数据表</w:t>
            </w:r>
          </w:p>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2.品牌：布莱迪或上海自仪四厂或威卡</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946"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color w:val="000000"/>
                <w:sz w:val="21"/>
                <w:szCs w:val="21"/>
                <w:lang w:eastAsia="zh-CN"/>
              </w:rPr>
            </w:pPr>
            <w:r>
              <w:rPr>
                <w:rFonts w:hint="eastAsia" w:asciiTheme="majorEastAsia" w:hAnsiTheme="majorEastAsia" w:eastAsiaTheme="majorEastAsia"/>
                <w:bCs/>
                <w:color w:val="000000"/>
                <w:sz w:val="21"/>
                <w:szCs w:val="21"/>
                <w:lang w:eastAsia="zh-CN"/>
              </w:rPr>
              <w:t>不锈钢压力表</w:t>
            </w:r>
          </w:p>
        </w:tc>
        <w:tc>
          <w:tcPr>
            <w:tcW w:w="36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量程0~6Kpa/径向/测量元件：膜盒波纹、材质:316L/表盘充油/螺纹连接1/2"NPT(M)/精度：2.5</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1.见附件数据表</w:t>
            </w:r>
          </w:p>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shd w:val="clear" w:color="auto" w:fill="FFFFFF"/>
                <w:lang w:eastAsia="zh-CN"/>
              </w:rPr>
              <w:t>2.品牌：布莱迪或上海自仪四厂或威卡</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946"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定量装车控制仪</w:t>
            </w:r>
          </w:p>
        </w:tc>
        <w:tc>
          <w:tcPr>
            <w:tcW w:w="36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类型：液下装车式\防护等级IP65\防爆等级</w:t>
            </w:r>
            <w:r>
              <w:rPr>
                <w:rFonts w:hint="eastAsia"/>
                <w:sz w:val="21"/>
                <w:szCs w:val="21"/>
                <w:lang w:eastAsia="zh-CN"/>
              </w:rPr>
              <w:t>不低于ExdⅡBT4</w:t>
            </w:r>
            <w:r>
              <w:rPr>
                <w:rFonts w:hint="eastAsia" w:asciiTheme="majorEastAsia" w:hAnsiTheme="majorEastAsia" w:eastAsiaTheme="majorEastAsia"/>
                <w:sz w:val="21"/>
                <w:szCs w:val="21"/>
                <w:shd w:val="clear" w:color="auto" w:fill="FFFFFF"/>
                <w:lang w:eastAsia="zh-CN"/>
              </w:rPr>
              <w:t>\通讯形式RS485\</w:t>
            </w:r>
            <w:r>
              <w:rPr>
                <w:rFonts w:hint="eastAsia"/>
                <w:sz w:val="21"/>
                <w:szCs w:val="21"/>
                <w:lang w:eastAsia="zh-CN"/>
              </w:rPr>
              <w:t>通讯协议MODBUS RTU，并提供所有需求地址和硬件与DCS进行通讯</w:t>
            </w:r>
            <w:r>
              <w:rPr>
                <w:rFonts w:hint="eastAsia" w:asciiTheme="majorEastAsia" w:hAnsiTheme="majorEastAsia" w:eastAsiaTheme="majorEastAsia"/>
                <w:sz w:val="21"/>
                <w:szCs w:val="21"/>
                <w:shd w:val="clear" w:color="auto" w:fill="FFFFFF"/>
                <w:lang w:eastAsia="zh-CN"/>
              </w:rPr>
              <w:t>\接收流量计信号4~20mA\</w:t>
            </w:r>
            <w:r>
              <w:rPr>
                <w:rFonts w:hint="eastAsia"/>
                <w:sz w:val="21"/>
                <w:szCs w:val="21"/>
                <w:lang w:eastAsia="zh-CN"/>
              </w:rPr>
              <w:t>系统刷卡登记必须同我司无人值守刷卡系统（软件为用友）联通使用。\注意定量装车控制仪</w:t>
            </w:r>
            <w:r>
              <w:rPr>
                <w:sz w:val="21"/>
                <w:szCs w:val="21"/>
                <w:lang w:eastAsia="zh-CN"/>
              </w:rPr>
              <w:t>UISA-8321</w:t>
            </w:r>
            <w:r>
              <w:rPr>
                <w:rFonts w:hint="eastAsia"/>
                <w:sz w:val="21"/>
                <w:szCs w:val="21"/>
                <w:lang w:eastAsia="zh-CN"/>
              </w:rPr>
              <w:t>，为控制电液阀切断（两DO），而定量装车控制仪</w:t>
            </w:r>
            <w:r>
              <w:rPr>
                <w:sz w:val="21"/>
                <w:szCs w:val="21"/>
                <w:lang w:eastAsia="zh-CN"/>
              </w:rPr>
              <w:t>UISA-832</w:t>
            </w:r>
            <w:r>
              <w:rPr>
                <w:rFonts w:hint="eastAsia"/>
                <w:sz w:val="21"/>
                <w:szCs w:val="21"/>
                <w:lang w:eastAsia="zh-CN"/>
              </w:rPr>
              <w:t>2、</w:t>
            </w:r>
            <w:r>
              <w:rPr>
                <w:sz w:val="21"/>
                <w:szCs w:val="21"/>
                <w:lang w:eastAsia="zh-CN"/>
              </w:rPr>
              <w:t>UISA-832</w:t>
            </w:r>
            <w:r>
              <w:rPr>
                <w:rFonts w:hint="eastAsia"/>
                <w:sz w:val="21"/>
                <w:szCs w:val="21"/>
                <w:lang w:eastAsia="zh-CN"/>
              </w:rPr>
              <w:t>3为利旧改造，控制信号有所不同为（一DO两DI）\提供</w:t>
            </w:r>
            <w:r>
              <w:rPr>
                <w:rFonts w:hint="eastAsia"/>
                <w:color w:val="111111"/>
                <w:sz w:val="21"/>
                <w:szCs w:val="21"/>
                <w:lang w:eastAsia="zh-CN"/>
              </w:rPr>
              <w:t>防爆证书，使用说明书，安装说明书，合格证，详细规格书等文件\</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 含静电溢油保护器,防爆箱，防静电导电安全系统及防爆声光报警防溢系统等</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2.见数据表及</w:t>
            </w:r>
            <w:r>
              <w:rPr>
                <w:rFonts w:hint="eastAsia"/>
                <w:sz w:val="21"/>
                <w:szCs w:val="21"/>
                <w:lang w:eastAsia="zh-CN"/>
              </w:rPr>
              <w:t>技术协议</w:t>
            </w:r>
          </w:p>
          <w:p>
            <w:pPr>
              <w:pStyle w:val="2"/>
              <w:rPr>
                <w:sz w:val="21"/>
                <w:szCs w:val="21"/>
              </w:rPr>
            </w:pPr>
            <w:r>
              <w:rPr>
                <w:rFonts w:hint="eastAsia"/>
                <w:sz w:val="21"/>
                <w:szCs w:val="21"/>
              </w:rPr>
              <w:t>3.品牌：重庆耐德</w:t>
            </w:r>
            <w:r>
              <w:rPr>
                <w:sz w:val="21"/>
                <w:szCs w:val="21"/>
              </w:rPr>
              <w:t>/梅特勒-托利多/用友</w:t>
            </w:r>
          </w:p>
          <w:p>
            <w:pPr>
              <w:pStyle w:val="2"/>
              <w:rPr>
                <w:sz w:val="21"/>
                <w:szCs w:val="21"/>
              </w:rPr>
            </w:pPr>
            <w:r>
              <w:rPr>
                <w:rFonts w:hint="eastAsia"/>
                <w:sz w:val="21"/>
                <w:szCs w:val="21"/>
              </w:rPr>
              <w:t>4.现场服务调试。</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946"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质量流量计</w:t>
            </w:r>
          </w:p>
        </w:tc>
        <w:tc>
          <w:tcPr>
            <w:tcW w:w="36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一体式\量程0~100m3/h\四线制\尺寸4" 150LB\精度0.1级\材质316LSS\输出4~20mA\电源24VDC\防爆等级</w:t>
            </w:r>
            <w:r>
              <w:rPr>
                <w:rFonts w:hint="eastAsia"/>
                <w:sz w:val="21"/>
                <w:szCs w:val="21"/>
                <w:lang w:eastAsia="zh-CN"/>
              </w:rPr>
              <w:t>不低于ExdⅡBT4</w:t>
            </w:r>
            <w:r>
              <w:rPr>
                <w:rFonts w:hint="eastAsia" w:asciiTheme="majorEastAsia" w:hAnsiTheme="majorEastAsia" w:eastAsiaTheme="majorEastAsia"/>
                <w:sz w:val="21"/>
                <w:szCs w:val="21"/>
                <w:shd w:val="clear" w:color="auto" w:fill="FFFFFF"/>
                <w:lang w:eastAsia="zh-CN"/>
              </w:rPr>
              <w:t xml:space="preserve">\ </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w:t>
            </w:r>
            <w:r>
              <w:rPr>
                <w:rFonts w:hint="eastAsia"/>
                <w:sz w:val="24"/>
                <w:szCs w:val="24"/>
                <w:lang w:eastAsia="zh-CN"/>
              </w:rPr>
              <w:t xml:space="preserve"> </w:t>
            </w:r>
            <w:r>
              <w:rPr>
                <w:rFonts w:hint="eastAsia"/>
                <w:sz w:val="21"/>
                <w:szCs w:val="21"/>
                <w:lang w:eastAsia="zh-CN"/>
              </w:rPr>
              <w:t>配套同材质法兰、螺栓螺母、垫片等</w:t>
            </w:r>
          </w:p>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2.见附件数据表</w:t>
            </w:r>
          </w:p>
          <w:p>
            <w:pPr>
              <w:pStyle w:val="2"/>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rPr>
              <w:t>3.</w:t>
            </w:r>
            <w:r>
              <w:rPr>
                <w:color w:val="111111"/>
                <w:sz w:val="24"/>
                <w:szCs w:val="24"/>
              </w:rPr>
              <w:t xml:space="preserve"> </w:t>
            </w:r>
            <w:r>
              <w:rPr>
                <w:color w:val="111111"/>
                <w:sz w:val="21"/>
                <w:szCs w:val="21"/>
              </w:rPr>
              <w:t>《特种设备生产许可证》（压力管道元件制造许可），随机应提供《特种设备监督检验证书》（压力管道元件制造）</w:t>
            </w:r>
            <w:r>
              <w:rPr>
                <w:rFonts w:hint="eastAsia"/>
                <w:color w:val="111111"/>
                <w:sz w:val="21"/>
                <w:szCs w:val="21"/>
              </w:rPr>
              <w:t>，</w:t>
            </w:r>
            <w:r>
              <w:rPr>
                <w:rFonts w:hint="eastAsia" w:asciiTheme="majorEastAsia" w:hAnsiTheme="majorEastAsia" w:eastAsiaTheme="majorEastAsia"/>
                <w:sz w:val="21"/>
                <w:szCs w:val="21"/>
                <w:shd w:val="clear" w:color="auto" w:fill="FFFFFF"/>
              </w:rPr>
              <w:t>提供含第三方检定证书及监检报告</w:t>
            </w:r>
          </w:p>
          <w:p>
            <w:pPr>
              <w:pStyle w:val="2"/>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4.品牌：罗斯蒙特</w:t>
            </w:r>
            <w:r>
              <w:rPr>
                <w:rFonts w:asciiTheme="majorEastAsia" w:hAnsiTheme="majorEastAsia" w:eastAsiaTheme="majorEastAsia"/>
                <w:sz w:val="21"/>
                <w:szCs w:val="21"/>
                <w:shd w:val="clear" w:color="auto" w:fill="FFFFFF"/>
              </w:rPr>
              <w:t>/横河/科隆</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946"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操作柱</w:t>
            </w:r>
          </w:p>
        </w:tc>
        <w:tc>
          <w:tcPr>
            <w:tcW w:w="36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带防爆按钮(红色）\触点1NO和1NC\触点形式SPDT\下方出线\防爆等级</w:t>
            </w:r>
            <w:r>
              <w:rPr>
                <w:rFonts w:hint="eastAsia"/>
                <w:sz w:val="21"/>
                <w:szCs w:val="21"/>
                <w:lang w:eastAsia="zh-CN"/>
              </w:rPr>
              <w:t>不低于ExdⅡBT4</w:t>
            </w:r>
            <w:r>
              <w:rPr>
                <w:rFonts w:hint="eastAsia" w:asciiTheme="majorEastAsia" w:hAnsiTheme="majorEastAsia" w:eastAsiaTheme="majorEastAsia"/>
                <w:sz w:val="21"/>
                <w:szCs w:val="21"/>
                <w:shd w:val="clear" w:color="auto" w:fill="FFFFFF"/>
                <w:lang w:eastAsia="zh-CN"/>
              </w:rPr>
              <w:t>\</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详见附件数据表</w:t>
            </w:r>
          </w:p>
        </w:tc>
      </w:tr>
      <w:tr>
        <w:tblPrEx>
          <w:tblCellMar>
            <w:top w:w="0" w:type="dxa"/>
            <w:left w:w="108" w:type="dxa"/>
            <w:bottom w:w="0" w:type="dxa"/>
            <w:right w:w="108" w:type="dxa"/>
          </w:tblCellMar>
        </w:tblPrEx>
        <w:trPr>
          <w:trHeight w:val="720" w:hRule="atLeast"/>
        </w:trPr>
        <w:tc>
          <w:tcPr>
            <w:tcW w:w="67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8"/>
        <w:ind w:left="360"/>
        <w:rPr>
          <w:rFonts w:ascii="Times New Roman"/>
          <w:b/>
          <w:bCs/>
          <w:lang w:eastAsia="zh-CN"/>
        </w:rPr>
      </w:pPr>
    </w:p>
    <w:p>
      <w:pPr>
        <w:pStyle w:val="8"/>
        <w:rPr>
          <w:rFonts w:ascii="Times New Roman"/>
          <w:b/>
          <w:bCs/>
          <w:lang w:eastAsia="zh-CN"/>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14"/>
          <w:jc w:val="center"/>
        </w:pPr>
        <w:r>
          <w:fldChar w:fldCharType="begin"/>
        </w:r>
        <w:r>
          <w:instrText xml:space="preserve"> PAGE   \* MERGEFORMAT </w:instrText>
        </w:r>
        <w:r>
          <w:fldChar w:fldCharType="separate"/>
        </w:r>
        <w:r>
          <w:rPr>
            <w:lang w:val="zh-CN"/>
          </w:rPr>
          <w:t>34</w:t>
        </w:r>
        <w:r>
          <w:rPr>
            <w:lang w:val="zh-CN"/>
          </w:rPr>
          <w:fldChar w:fldCharType="end"/>
        </w:r>
      </w:p>
    </w:sdtContent>
  </w:sdt>
  <w:p>
    <w:pPr>
      <w:pStyle w:val="8"/>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14"/>
          <w:jc w:val="center"/>
        </w:pPr>
        <w:r>
          <w:fldChar w:fldCharType="begin"/>
        </w:r>
        <w:r>
          <w:instrText xml:space="preserve"> PAGE   \* MERGEFORMAT </w:instrText>
        </w:r>
        <w:r>
          <w:fldChar w:fldCharType="separate"/>
        </w:r>
        <w:r>
          <w:rPr>
            <w:lang w:val="zh-CN"/>
          </w:rPr>
          <w:t>48</w:t>
        </w:r>
        <w:r>
          <w:rPr>
            <w:lang w:val="zh-CN"/>
          </w:rPr>
          <w:fldChar w:fldCharType="end"/>
        </w:r>
      </w:p>
    </w:sdtContent>
  </w:sdt>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D748A"/>
    <w:multiLevelType w:val="multilevel"/>
    <w:tmpl w:val="0C5D74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0EB913"/>
    <w:multiLevelType w:val="singleLevel"/>
    <w:tmpl w:val="2A0EB913"/>
    <w:lvl w:ilvl="0" w:tentative="0">
      <w:start w:val="1"/>
      <w:numFmt w:val="chineseCounting"/>
      <w:suff w:val="space"/>
      <w:lvlText w:val="第%1部分"/>
      <w:lvlJc w:val="left"/>
      <w:rPr>
        <w:rFonts w:hint="eastAsia"/>
      </w:rPr>
    </w:lvl>
  </w:abstractNum>
  <w:abstractNum w:abstractNumId="4">
    <w:nsid w:val="4AF83F01"/>
    <w:multiLevelType w:val="multilevel"/>
    <w:tmpl w:val="4AF83F01"/>
    <w:lvl w:ilvl="0" w:tentative="0">
      <w:start w:val="1"/>
      <w:numFmt w:val="japaneseCounting"/>
      <w:lvlText w:val="第%1章"/>
      <w:lvlJc w:val="left"/>
      <w:pPr>
        <w:ind w:left="1089" w:hanging="1080"/>
      </w:pPr>
      <w:rPr>
        <w:rFonts w:hint="default"/>
        <w:w w:val="95"/>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5">
    <w:nsid w:val="5C600C34"/>
    <w:multiLevelType w:val="multilevel"/>
    <w:tmpl w:val="5C600C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24C"/>
    <w:rsid w:val="0000223B"/>
    <w:rsid w:val="00006300"/>
    <w:rsid w:val="000202CA"/>
    <w:rsid w:val="00023EC0"/>
    <w:rsid w:val="000325D5"/>
    <w:rsid w:val="0004657F"/>
    <w:rsid w:val="00046CE9"/>
    <w:rsid w:val="000507D3"/>
    <w:rsid w:val="000566C1"/>
    <w:rsid w:val="000574D8"/>
    <w:rsid w:val="00057B80"/>
    <w:rsid w:val="00061920"/>
    <w:rsid w:val="000643DF"/>
    <w:rsid w:val="00083E6F"/>
    <w:rsid w:val="000A3EC0"/>
    <w:rsid w:val="000B32D4"/>
    <w:rsid w:val="000C5F12"/>
    <w:rsid w:val="000D04DA"/>
    <w:rsid w:val="000D11B0"/>
    <w:rsid w:val="000D2D30"/>
    <w:rsid w:val="000D3E61"/>
    <w:rsid w:val="000E01DA"/>
    <w:rsid w:val="000E3D99"/>
    <w:rsid w:val="000E76E8"/>
    <w:rsid w:val="000F1F09"/>
    <w:rsid w:val="000F58B5"/>
    <w:rsid w:val="00102DE0"/>
    <w:rsid w:val="00127930"/>
    <w:rsid w:val="00127CFD"/>
    <w:rsid w:val="00134B8B"/>
    <w:rsid w:val="00144E45"/>
    <w:rsid w:val="00156725"/>
    <w:rsid w:val="00161471"/>
    <w:rsid w:val="0016313A"/>
    <w:rsid w:val="00175C31"/>
    <w:rsid w:val="00177533"/>
    <w:rsid w:val="0018758B"/>
    <w:rsid w:val="00193817"/>
    <w:rsid w:val="001A7CAD"/>
    <w:rsid w:val="001B6710"/>
    <w:rsid w:val="001B698B"/>
    <w:rsid w:val="001D129E"/>
    <w:rsid w:val="001E7BAD"/>
    <w:rsid w:val="001F1E65"/>
    <w:rsid w:val="001F29F9"/>
    <w:rsid w:val="002041FE"/>
    <w:rsid w:val="00206E34"/>
    <w:rsid w:val="00223815"/>
    <w:rsid w:val="00226C0B"/>
    <w:rsid w:val="00227556"/>
    <w:rsid w:val="0023146D"/>
    <w:rsid w:val="00240817"/>
    <w:rsid w:val="002432A4"/>
    <w:rsid w:val="00255354"/>
    <w:rsid w:val="002569C3"/>
    <w:rsid w:val="00261F6C"/>
    <w:rsid w:val="00263E9F"/>
    <w:rsid w:val="00272C67"/>
    <w:rsid w:val="0028289E"/>
    <w:rsid w:val="00285B9C"/>
    <w:rsid w:val="002919F8"/>
    <w:rsid w:val="002925CD"/>
    <w:rsid w:val="002A0C8B"/>
    <w:rsid w:val="002A1552"/>
    <w:rsid w:val="002B0A06"/>
    <w:rsid w:val="002C18CA"/>
    <w:rsid w:val="002D2646"/>
    <w:rsid w:val="002D36C2"/>
    <w:rsid w:val="002E1E41"/>
    <w:rsid w:val="002E210C"/>
    <w:rsid w:val="002F0FE0"/>
    <w:rsid w:val="00301C87"/>
    <w:rsid w:val="003218EF"/>
    <w:rsid w:val="00322549"/>
    <w:rsid w:val="00325CE2"/>
    <w:rsid w:val="003352AA"/>
    <w:rsid w:val="00361ABB"/>
    <w:rsid w:val="00365AFE"/>
    <w:rsid w:val="00371CA0"/>
    <w:rsid w:val="00372FA5"/>
    <w:rsid w:val="00392556"/>
    <w:rsid w:val="00395E2D"/>
    <w:rsid w:val="00395E35"/>
    <w:rsid w:val="003A1FDF"/>
    <w:rsid w:val="003A327F"/>
    <w:rsid w:val="003A6BB9"/>
    <w:rsid w:val="003B2D77"/>
    <w:rsid w:val="003B4363"/>
    <w:rsid w:val="003B4E5A"/>
    <w:rsid w:val="003B5E04"/>
    <w:rsid w:val="003B6081"/>
    <w:rsid w:val="003D3B50"/>
    <w:rsid w:val="003E7A42"/>
    <w:rsid w:val="003F104F"/>
    <w:rsid w:val="003F1FAC"/>
    <w:rsid w:val="0040417A"/>
    <w:rsid w:val="0040778F"/>
    <w:rsid w:val="004109E6"/>
    <w:rsid w:val="00446CEC"/>
    <w:rsid w:val="00456A83"/>
    <w:rsid w:val="004624AD"/>
    <w:rsid w:val="0047282D"/>
    <w:rsid w:val="004761E7"/>
    <w:rsid w:val="004835AF"/>
    <w:rsid w:val="0048745A"/>
    <w:rsid w:val="004913C8"/>
    <w:rsid w:val="004919EE"/>
    <w:rsid w:val="00491E27"/>
    <w:rsid w:val="004B392B"/>
    <w:rsid w:val="004D0BAC"/>
    <w:rsid w:val="004D16FD"/>
    <w:rsid w:val="004E0E75"/>
    <w:rsid w:val="004E663D"/>
    <w:rsid w:val="00517DCA"/>
    <w:rsid w:val="00523F15"/>
    <w:rsid w:val="005247A9"/>
    <w:rsid w:val="005257EA"/>
    <w:rsid w:val="00533D7B"/>
    <w:rsid w:val="00540F71"/>
    <w:rsid w:val="00542C7F"/>
    <w:rsid w:val="0054734D"/>
    <w:rsid w:val="00551549"/>
    <w:rsid w:val="005722E9"/>
    <w:rsid w:val="00573C44"/>
    <w:rsid w:val="0057754F"/>
    <w:rsid w:val="00595F8F"/>
    <w:rsid w:val="005A213C"/>
    <w:rsid w:val="005A7BB0"/>
    <w:rsid w:val="005B4BA0"/>
    <w:rsid w:val="005B58DD"/>
    <w:rsid w:val="005B66C2"/>
    <w:rsid w:val="005B6DD8"/>
    <w:rsid w:val="005C4060"/>
    <w:rsid w:val="005C43E3"/>
    <w:rsid w:val="005C4A72"/>
    <w:rsid w:val="005D12E3"/>
    <w:rsid w:val="005E0672"/>
    <w:rsid w:val="005F2E5C"/>
    <w:rsid w:val="0060334B"/>
    <w:rsid w:val="006127B7"/>
    <w:rsid w:val="00614725"/>
    <w:rsid w:val="00645F1C"/>
    <w:rsid w:val="006565A2"/>
    <w:rsid w:val="006607C3"/>
    <w:rsid w:val="00667E90"/>
    <w:rsid w:val="00671E1A"/>
    <w:rsid w:val="00680835"/>
    <w:rsid w:val="00683267"/>
    <w:rsid w:val="00687836"/>
    <w:rsid w:val="00692262"/>
    <w:rsid w:val="00693209"/>
    <w:rsid w:val="00693F3C"/>
    <w:rsid w:val="0069491C"/>
    <w:rsid w:val="0069733E"/>
    <w:rsid w:val="006A61A9"/>
    <w:rsid w:val="006B3397"/>
    <w:rsid w:val="006C66F6"/>
    <w:rsid w:val="006E28C4"/>
    <w:rsid w:val="006E572C"/>
    <w:rsid w:val="006E62DE"/>
    <w:rsid w:val="00701934"/>
    <w:rsid w:val="00703FAF"/>
    <w:rsid w:val="00706E4D"/>
    <w:rsid w:val="00720216"/>
    <w:rsid w:val="00737EB4"/>
    <w:rsid w:val="00741EB7"/>
    <w:rsid w:val="007425A4"/>
    <w:rsid w:val="00751740"/>
    <w:rsid w:val="007563C8"/>
    <w:rsid w:val="00756B28"/>
    <w:rsid w:val="0076254E"/>
    <w:rsid w:val="0077094C"/>
    <w:rsid w:val="007A3950"/>
    <w:rsid w:val="007A5F7C"/>
    <w:rsid w:val="007A7888"/>
    <w:rsid w:val="007C43CE"/>
    <w:rsid w:val="007D7C61"/>
    <w:rsid w:val="007E4F01"/>
    <w:rsid w:val="007E6688"/>
    <w:rsid w:val="007F1ECE"/>
    <w:rsid w:val="007F5584"/>
    <w:rsid w:val="00805348"/>
    <w:rsid w:val="00813C3C"/>
    <w:rsid w:val="008179BE"/>
    <w:rsid w:val="00820E36"/>
    <w:rsid w:val="00827322"/>
    <w:rsid w:val="0083261C"/>
    <w:rsid w:val="008427A4"/>
    <w:rsid w:val="00851E64"/>
    <w:rsid w:val="00862DE1"/>
    <w:rsid w:val="008736F1"/>
    <w:rsid w:val="008769E8"/>
    <w:rsid w:val="00884873"/>
    <w:rsid w:val="00885CE2"/>
    <w:rsid w:val="00886356"/>
    <w:rsid w:val="00892302"/>
    <w:rsid w:val="00896532"/>
    <w:rsid w:val="00896A02"/>
    <w:rsid w:val="008A4205"/>
    <w:rsid w:val="008A5545"/>
    <w:rsid w:val="008B177E"/>
    <w:rsid w:val="008C0A12"/>
    <w:rsid w:val="008C21B5"/>
    <w:rsid w:val="008D42F6"/>
    <w:rsid w:val="008D7465"/>
    <w:rsid w:val="00902CEE"/>
    <w:rsid w:val="0090301E"/>
    <w:rsid w:val="009312CA"/>
    <w:rsid w:val="0093351A"/>
    <w:rsid w:val="00943426"/>
    <w:rsid w:val="009621FE"/>
    <w:rsid w:val="00967702"/>
    <w:rsid w:val="00973032"/>
    <w:rsid w:val="00980519"/>
    <w:rsid w:val="0098443A"/>
    <w:rsid w:val="009912D9"/>
    <w:rsid w:val="009A0766"/>
    <w:rsid w:val="009A106C"/>
    <w:rsid w:val="009A5C0E"/>
    <w:rsid w:val="009B0131"/>
    <w:rsid w:val="009B3333"/>
    <w:rsid w:val="009B34E7"/>
    <w:rsid w:val="009E00FB"/>
    <w:rsid w:val="009F1737"/>
    <w:rsid w:val="00A00331"/>
    <w:rsid w:val="00A00F4B"/>
    <w:rsid w:val="00A10BDF"/>
    <w:rsid w:val="00A12DF4"/>
    <w:rsid w:val="00A2002F"/>
    <w:rsid w:val="00A22B2E"/>
    <w:rsid w:val="00A2344A"/>
    <w:rsid w:val="00A26BD6"/>
    <w:rsid w:val="00A374CB"/>
    <w:rsid w:val="00A414CA"/>
    <w:rsid w:val="00A549D1"/>
    <w:rsid w:val="00A63C81"/>
    <w:rsid w:val="00A747AB"/>
    <w:rsid w:val="00A77229"/>
    <w:rsid w:val="00A84167"/>
    <w:rsid w:val="00A9710D"/>
    <w:rsid w:val="00A97D0E"/>
    <w:rsid w:val="00AA062F"/>
    <w:rsid w:val="00AA0C11"/>
    <w:rsid w:val="00AB12CF"/>
    <w:rsid w:val="00AB3EB4"/>
    <w:rsid w:val="00AE058E"/>
    <w:rsid w:val="00AE08F0"/>
    <w:rsid w:val="00AE5AF2"/>
    <w:rsid w:val="00AE6233"/>
    <w:rsid w:val="00AF4539"/>
    <w:rsid w:val="00B0554C"/>
    <w:rsid w:val="00B058FB"/>
    <w:rsid w:val="00B065F7"/>
    <w:rsid w:val="00B13CB8"/>
    <w:rsid w:val="00B225BB"/>
    <w:rsid w:val="00B26192"/>
    <w:rsid w:val="00B27085"/>
    <w:rsid w:val="00B44FC3"/>
    <w:rsid w:val="00B67893"/>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B5814"/>
    <w:rsid w:val="00BD15B7"/>
    <w:rsid w:val="00BD3682"/>
    <w:rsid w:val="00BD562D"/>
    <w:rsid w:val="00BF41E6"/>
    <w:rsid w:val="00BF5ECE"/>
    <w:rsid w:val="00BF68B8"/>
    <w:rsid w:val="00C0167E"/>
    <w:rsid w:val="00C03A00"/>
    <w:rsid w:val="00C10120"/>
    <w:rsid w:val="00C14D43"/>
    <w:rsid w:val="00C236A4"/>
    <w:rsid w:val="00C30986"/>
    <w:rsid w:val="00C31793"/>
    <w:rsid w:val="00C3555D"/>
    <w:rsid w:val="00C3723B"/>
    <w:rsid w:val="00C5640F"/>
    <w:rsid w:val="00C56E43"/>
    <w:rsid w:val="00C73BF4"/>
    <w:rsid w:val="00C74C62"/>
    <w:rsid w:val="00C80A00"/>
    <w:rsid w:val="00C845B7"/>
    <w:rsid w:val="00C976F7"/>
    <w:rsid w:val="00CB2E01"/>
    <w:rsid w:val="00CB41BE"/>
    <w:rsid w:val="00CE3409"/>
    <w:rsid w:val="00CF2260"/>
    <w:rsid w:val="00CF32E1"/>
    <w:rsid w:val="00D12829"/>
    <w:rsid w:val="00D35684"/>
    <w:rsid w:val="00D36860"/>
    <w:rsid w:val="00D43086"/>
    <w:rsid w:val="00D461AC"/>
    <w:rsid w:val="00D46BFF"/>
    <w:rsid w:val="00D5169E"/>
    <w:rsid w:val="00D56426"/>
    <w:rsid w:val="00D62605"/>
    <w:rsid w:val="00D65416"/>
    <w:rsid w:val="00D749CB"/>
    <w:rsid w:val="00D84374"/>
    <w:rsid w:val="00D844C1"/>
    <w:rsid w:val="00D947D8"/>
    <w:rsid w:val="00D97E3F"/>
    <w:rsid w:val="00DA10C5"/>
    <w:rsid w:val="00DA2D4A"/>
    <w:rsid w:val="00DA3C6F"/>
    <w:rsid w:val="00DA5831"/>
    <w:rsid w:val="00DA7E8F"/>
    <w:rsid w:val="00DB0AB5"/>
    <w:rsid w:val="00DB6D79"/>
    <w:rsid w:val="00DC3284"/>
    <w:rsid w:val="00DD56C2"/>
    <w:rsid w:val="00DE5602"/>
    <w:rsid w:val="00DE6B27"/>
    <w:rsid w:val="00E2472F"/>
    <w:rsid w:val="00E25B6F"/>
    <w:rsid w:val="00E343D4"/>
    <w:rsid w:val="00E36D92"/>
    <w:rsid w:val="00E44AC8"/>
    <w:rsid w:val="00E44F45"/>
    <w:rsid w:val="00E56F9B"/>
    <w:rsid w:val="00E56FEE"/>
    <w:rsid w:val="00E62C2E"/>
    <w:rsid w:val="00E72FE6"/>
    <w:rsid w:val="00E95ACA"/>
    <w:rsid w:val="00EA5C13"/>
    <w:rsid w:val="00EB0831"/>
    <w:rsid w:val="00EB2E58"/>
    <w:rsid w:val="00EC34F8"/>
    <w:rsid w:val="00ED0EB7"/>
    <w:rsid w:val="00ED3EE1"/>
    <w:rsid w:val="00ED63E2"/>
    <w:rsid w:val="00ED688F"/>
    <w:rsid w:val="00EE5CAB"/>
    <w:rsid w:val="00EE735B"/>
    <w:rsid w:val="00EF5DFE"/>
    <w:rsid w:val="00F0079A"/>
    <w:rsid w:val="00F03A3C"/>
    <w:rsid w:val="00F060A9"/>
    <w:rsid w:val="00F14430"/>
    <w:rsid w:val="00F20BA8"/>
    <w:rsid w:val="00F23DCC"/>
    <w:rsid w:val="00F42B7B"/>
    <w:rsid w:val="00F456C5"/>
    <w:rsid w:val="00F5381D"/>
    <w:rsid w:val="00F56134"/>
    <w:rsid w:val="00F60757"/>
    <w:rsid w:val="00F6274B"/>
    <w:rsid w:val="00F6409E"/>
    <w:rsid w:val="00F64B89"/>
    <w:rsid w:val="00F66A1C"/>
    <w:rsid w:val="00F71DBA"/>
    <w:rsid w:val="00F7405E"/>
    <w:rsid w:val="00F814E0"/>
    <w:rsid w:val="00F81D04"/>
    <w:rsid w:val="00F81DC8"/>
    <w:rsid w:val="00F904F4"/>
    <w:rsid w:val="00F904FF"/>
    <w:rsid w:val="00FA00FA"/>
    <w:rsid w:val="00FA28CC"/>
    <w:rsid w:val="00FB3167"/>
    <w:rsid w:val="00FC0F19"/>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A683751"/>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9"/>
    <w:qFormat/>
    <w:uiPriority w:val="0"/>
    <w:pPr>
      <w:ind w:left="538"/>
      <w:outlineLvl w:val="0"/>
    </w:pPr>
    <w:rPr>
      <w:b/>
      <w:bCs/>
      <w:sz w:val="28"/>
      <w:szCs w:val="28"/>
    </w:rPr>
  </w:style>
  <w:style w:type="paragraph" w:styleId="4">
    <w:name w:val="heading 2"/>
    <w:basedOn w:val="1"/>
    <w:next w:val="1"/>
    <w:link w:val="45"/>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0"/>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link w:val="4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
    <w:name w:val="annotation text"/>
    <w:basedOn w:val="1"/>
    <w:link w:val="39"/>
    <w:qFormat/>
    <w:uiPriority w:val="0"/>
    <w:pPr>
      <w:autoSpaceDE/>
      <w:autoSpaceDN/>
      <w:jc w:val="both"/>
    </w:pPr>
    <w:rPr>
      <w:rFonts w:ascii="Times New Roman" w:hAnsi="Times New Roman" w:cs="Times New Roman"/>
      <w:kern w:val="2"/>
      <w:sz w:val="21"/>
      <w:szCs w:val="20"/>
      <w:lang w:eastAsia="zh-CN"/>
    </w:rPr>
  </w:style>
  <w:style w:type="paragraph" w:styleId="8">
    <w:name w:val="Body Text"/>
    <w:basedOn w:val="1"/>
    <w:link w:val="47"/>
    <w:qFormat/>
    <w:uiPriority w:val="1"/>
    <w:rPr>
      <w:sz w:val="24"/>
      <w:szCs w:val="24"/>
    </w:rPr>
  </w:style>
  <w:style w:type="paragraph" w:styleId="9">
    <w:name w:val="Body Text Indent"/>
    <w:basedOn w:val="1"/>
    <w:link w:val="51"/>
    <w:qFormat/>
    <w:uiPriority w:val="0"/>
    <w:pPr>
      <w:spacing w:after="120"/>
      <w:ind w:left="420" w:leftChars="200"/>
    </w:pPr>
  </w:style>
  <w:style w:type="paragraph" w:styleId="10">
    <w:name w:val="Plain Text"/>
    <w:basedOn w:val="1"/>
    <w:link w:val="43"/>
    <w:qFormat/>
    <w:uiPriority w:val="99"/>
    <w:rPr>
      <w:rFonts w:hAnsi="Courier New" w:cs="Courier New"/>
      <w:szCs w:val="21"/>
    </w:rPr>
  </w:style>
  <w:style w:type="paragraph" w:styleId="11">
    <w:name w:val="Date"/>
    <w:basedOn w:val="1"/>
    <w:next w:val="1"/>
    <w:link w:val="29"/>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2">
    <w:name w:val="Body Text Indent 2"/>
    <w:basedOn w:val="1"/>
    <w:link w:val="42"/>
    <w:qFormat/>
    <w:uiPriority w:val="0"/>
    <w:pPr>
      <w:spacing w:after="120" w:line="480" w:lineRule="auto"/>
      <w:ind w:left="420" w:leftChars="200"/>
    </w:pPr>
  </w:style>
  <w:style w:type="paragraph" w:styleId="13">
    <w:name w:val="Balloon Text"/>
    <w:basedOn w:val="1"/>
    <w:link w:val="33"/>
    <w:uiPriority w:val="0"/>
    <w:rPr>
      <w:sz w:val="18"/>
      <w:szCs w:val="18"/>
    </w:rPr>
  </w:style>
  <w:style w:type="paragraph" w:styleId="14">
    <w:name w:val="footer"/>
    <w:basedOn w:val="1"/>
    <w:link w:val="34"/>
    <w:qFormat/>
    <w:uiPriority w:val="0"/>
    <w:pPr>
      <w:tabs>
        <w:tab w:val="center" w:pos="4153"/>
        <w:tab w:val="right" w:pos="8306"/>
      </w:tabs>
      <w:snapToGrid w:val="0"/>
    </w:pPr>
    <w:rPr>
      <w:sz w:val="18"/>
      <w:szCs w:val="18"/>
    </w:rPr>
  </w:style>
  <w:style w:type="paragraph" w:styleId="15">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17">
    <w:name w:val="List"/>
    <w:basedOn w:val="1"/>
    <w:qFormat/>
    <w:uiPriority w:val="0"/>
    <w:pPr>
      <w:widowControl/>
      <w:autoSpaceDE/>
      <w:autoSpaceDN/>
      <w:ind w:left="420" w:hanging="420"/>
    </w:pPr>
    <w:rPr>
      <w:rFonts w:hAnsi="Times New Roman" w:cs="Times New Roman"/>
      <w:szCs w:val="20"/>
      <w:lang w:eastAsia="zh-CN"/>
    </w:rPr>
  </w:style>
  <w:style w:type="paragraph" w:styleId="18">
    <w:name w:val="toc 2"/>
    <w:basedOn w:val="1"/>
    <w:next w:val="1"/>
    <w:qFormat/>
    <w:uiPriority w:val="0"/>
    <w:pPr>
      <w:autoSpaceDE/>
      <w:autoSpaceDN/>
      <w:ind w:left="420" w:leftChars="200"/>
      <w:jc w:val="both"/>
    </w:pPr>
    <w:rPr>
      <w:rFonts w:ascii="Times New Roman" w:hAnsi="Times New Roman" w:cs="Times New Roman"/>
      <w:kern w:val="2"/>
      <w:sz w:val="21"/>
      <w:szCs w:val="24"/>
      <w:lang w:eastAsia="zh-CN"/>
    </w:rPr>
  </w:style>
  <w:style w:type="paragraph" w:styleId="19">
    <w:name w:val="Body Text 2"/>
    <w:basedOn w:val="1"/>
    <w:link w:val="41"/>
    <w:qFormat/>
    <w:uiPriority w:val="0"/>
    <w:pPr>
      <w:spacing w:after="120" w:line="480" w:lineRule="auto"/>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Hyperlink"/>
    <w:basedOn w:val="22"/>
    <w:qFormat/>
    <w:uiPriority w:val="99"/>
    <w:rPr>
      <w:color w:val="0000FF"/>
      <w:u w:val="single"/>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34"/>
    <w:pPr>
      <w:spacing w:before="206"/>
      <w:ind w:left="959" w:hanging="361"/>
    </w:pPr>
  </w:style>
  <w:style w:type="paragraph" w:customStyle="1" w:styleId="27">
    <w:name w:val="Table Paragraph"/>
    <w:basedOn w:val="1"/>
    <w:qFormat/>
    <w:uiPriority w:val="1"/>
  </w:style>
  <w:style w:type="paragraph" w:customStyle="1" w:styleId="28">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9">
    <w:name w:val="日期 Char"/>
    <w:basedOn w:val="22"/>
    <w:link w:val="11"/>
    <w:uiPriority w:val="0"/>
    <w:rPr>
      <w:rFonts w:asciiTheme="minorHAnsi" w:hAnsiTheme="minorHAnsi" w:eastAsiaTheme="minorEastAsia" w:cstheme="minorBidi"/>
      <w:kern w:val="2"/>
      <w:sz w:val="21"/>
      <w:szCs w:val="22"/>
    </w:rPr>
  </w:style>
  <w:style w:type="paragraph" w:customStyle="1" w:styleId="30">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1">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2">
    <w:name w:val="xdrichtextbox2"/>
    <w:basedOn w:val="22"/>
    <w:uiPriority w:val="0"/>
    <w:rPr>
      <w:color w:val="0000FF"/>
      <w:sz w:val="18"/>
      <w:szCs w:val="18"/>
      <w:u w:val="none"/>
      <w:bdr w:val="single" w:color="DCDCDC" w:sz="8" w:space="0"/>
      <w:shd w:val="clear" w:color="auto" w:fill="FFFFFF"/>
    </w:rPr>
  </w:style>
  <w:style w:type="character" w:customStyle="1" w:styleId="33">
    <w:name w:val="批注框文本 Char"/>
    <w:basedOn w:val="22"/>
    <w:link w:val="13"/>
    <w:uiPriority w:val="0"/>
    <w:rPr>
      <w:rFonts w:ascii="宋体" w:hAnsi="宋体" w:cs="宋体"/>
      <w:sz w:val="18"/>
      <w:szCs w:val="18"/>
      <w:lang w:eastAsia="en-US"/>
    </w:rPr>
  </w:style>
  <w:style w:type="character" w:customStyle="1" w:styleId="34">
    <w:name w:val="页脚 Char"/>
    <w:basedOn w:val="22"/>
    <w:link w:val="14"/>
    <w:uiPriority w:val="99"/>
    <w:rPr>
      <w:rFonts w:ascii="宋体" w:hAnsi="宋体" w:cs="宋体"/>
      <w:sz w:val="18"/>
      <w:szCs w:val="18"/>
      <w:lang w:eastAsia="en-US"/>
    </w:rPr>
  </w:style>
  <w:style w:type="paragraph" w:customStyle="1" w:styleId="35">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6">
    <w:name w:val="apple-converted-space"/>
    <w:basedOn w:val="22"/>
    <w:qFormat/>
    <w:uiPriority w:val="0"/>
  </w:style>
  <w:style w:type="paragraph" w:customStyle="1" w:styleId="37">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8">
    <w:name w:val="标题 3 Char"/>
    <w:basedOn w:val="22"/>
    <w:link w:val="5"/>
    <w:uiPriority w:val="0"/>
    <w:rPr>
      <w:rFonts w:ascii="宋体" w:hAnsi="宋体" w:cs="宋体"/>
      <w:b/>
      <w:bCs/>
      <w:sz w:val="32"/>
      <w:szCs w:val="32"/>
      <w:lang w:eastAsia="en-US"/>
    </w:rPr>
  </w:style>
  <w:style w:type="character" w:customStyle="1" w:styleId="39">
    <w:name w:val="批注文字 Char"/>
    <w:basedOn w:val="22"/>
    <w:link w:val="7"/>
    <w:qFormat/>
    <w:uiPriority w:val="0"/>
    <w:rPr>
      <w:kern w:val="2"/>
      <w:sz w:val="21"/>
    </w:rPr>
  </w:style>
  <w:style w:type="paragraph" w:customStyle="1" w:styleId="40">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1">
    <w:name w:val="正文文本 2 Char"/>
    <w:basedOn w:val="22"/>
    <w:link w:val="19"/>
    <w:qFormat/>
    <w:uiPriority w:val="0"/>
    <w:rPr>
      <w:rFonts w:ascii="宋体" w:hAnsi="宋体" w:cs="宋体"/>
      <w:sz w:val="22"/>
      <w:szCs w:val="22"/>
      <w:lang w:eastAsia="en-US"/>
    </w:rPr>
  </w:style>
  <w:style w:type="character" w:customStyle="1" w:styleId="42">
    <w:name w:val="正文文本缩进 2 Char"/>
    <w:basedOn w:val="22"/>
    <w:link w:val="12"/>
    <w:qFormat/>
    <w:uiPriority w:val="0"/>
    <w:rPr>
      <w:rFonts w:ascii="宋体" w:hAnsi="宋体" w:cs="宋体"/>
      <w:sz w:val="22"/>
      <w:szCs w:val="22"/>
      <w:lang w:eastAsia="en-US"/>
    </w:rPr>
  </w:style>
  <w:style w:type="character" w:customStyle="1" w:styleId="43">
    <w:name w:val="纯文本 Char1"/>
    <w:basedOn w:val="22"/>
    <w:link w:val="10"/>
    <w:qFormat/>
    <w:uiPriority w:val="0"/>
    <w:rPr>
      <w:rFonts w:ascii="宋体" w:hAnsi="Courier New" w:cs="Courier New"/>
      <w:sz w:val="22"/>
      <w:szCs w:val="21"/>
      <w:lang w:eastAsia="en-US"/>
    </w:rPr>
  </w:style>
  <w:style w:type="paragraph" w:customStyle="1" w:styleId="44">
    <w:name w:val="表格"/>
    <w:basedOn w:val="1"/>
    <w:qFormat/>
    <w:uiPriority w:val="0"/>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45">
    <w:name w:val="标题 2 Char"/>
    <w:basedOn w:val="22"/>
    <w:link w:val="4"/>
    <w:qFormat/>
    <w:uiPriority w:val="0"/>
    <w:rPr>
      <w:rFonts w:ascii="宋体" w:hAnsi="宋体" w:cs="宋体"/>
      <w:b/>
      <w:bCs/>
      <w:sz w:val="24"/>
      <w:szCs w:val="24"/>
      <w:lang w:eastAsia="en-US"/>
    </w:rPr>
  </w:style>
  <w:style w:type="character" w:customStyle="1" w:styleId="46">
    <w:name w:val="正文缩进 Char"/>
    <w:link w:val="6"/>
    <w:qFormat/>
    <w:uiPriority w:val="0"/>
    <w:rPr>
      <w:sz w:val="24"/>
    </w:rPr>
  </w:style>
  <w:style w:type="character" w:customStyle="1" w:styleId="47">
    <w:name w:val="正文文本 Char"/>
    <w:basedOn w:val="22"/>
    <w:link w:val="8"/>
    <w:qFormat/>
    <w:uiPriority w:val="0"/>
    <w:rPr>
      <w:rFonts w:ascii="宋体" w:hAnsi="宋体" w:cs="宋体"/>
      <w:sz w:val="24"/>
      <w:szCs w:val="24"/>
      <w:lang w:eastAsia="en-US"/>
    </w:rPr>
  </w:style>
  <w:style w:type="character" w:customStyle="1" w:styleId="48">
    <w:name w:val="普通文字 Char2"/>
    <w:basedOn w:val="22"/>
    <w:qFormat/>
    <w:uiPriority w:val="0"/>
    <w:rPr>
      <w:rFonts w:ascii="宋体" w:hAnsi="Courier New" w:cs="Courier New"/>
      <w:sz w:val="22"/>
      <w:szCs w:val="21"/>
      <w:lang w:eastAsia="en-US"/>
    </w:rPr>
  </w:style>
  <w:style w:type="character" w:customStyle="1" w:styleId="49">
    <w:name w:val="标题 1 Char"/>
    <w:link w:val="3"/>
    <w:qFormat/>
    <w:uiPriority w:val="0"/>
    <w:rPr>
      <w:rFonts w:ascii="宋体" w:hAnsi="宋体" w:cs="宋体"/>
      <w:b/>
      <w:bCs/>
      <w:sz w:val="28"/>
      <w:szCs w:val="28"/>
      <w:lang w:eastAsia="en-US"/>
    </w:rPr>
  </w:style>
  <w:style w:type="character" w:customStyle="1" w:styleId="50">
    <w:name w:val="正文1 Char"/>
    <w:basedOn w:val="22"/>
    <w:link w:val="2"/>
    <w:qFormat/>
    <w:locked/>
    <w:uiPriority w:val="0"/>
    <w:rPr>
      <w:rFonts w:ascii="宋体" w:hAnsi="Calibri"/>
      <w:sz w:val="34"/>
      <w:szCs w:val="22"/>
    </w:rPr>
  </w:style>
  <w:style w:type="character" w:customStyle="1" w:styleId="51">
    <w:name w:val="正文文本缩进 Char"/>
    <w:basedOn w:val="22"/>
    <w:link w:val="9"/>
    <w:qFormat/>
    <w:uiPriority w:val="0"/>
    <w:rPr>
      <w:rFonts w:ascii="宋体" w:hAnsi="宋体" w:cs="宋体"/>
      <w:sz w:val="22"/>
      <w:szCs w:val="22"/>
      <w:lang w:eastAsia="en-US"/>
    </w:rPr>
  </w:style>
  <w:style w:type="character" w:customStyle="1" w:styleId="52">
    <w:name w:val="页眉 Char"/>
    <w:basedOn w:val="22"/>
    <w:link w:val="15"/>
    <w:qFormat/>
    <w:uiPriority w:val="99"/>
    <w:rPr>
      <w:rFonts w:ascii="宋体" w:hAnsi="宋体" w:cs="宋体"/>
      <w:sz w:val="18"/>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651AA-7B9E-4C49-BB4B-9278D9103BBB}">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43</Pages>
  <Words>3899</Words>
  <Characters>22226</Characters>
  <Lines>185</Lines>
  <Paragraphs>52</Paragraphs>
  <TotalTime>550</TotalTime>
  <ScaleCrop>false</ScaleCrop>
  <LinksUpToDate>false</LinksUpToDate>
  <CharactersWithSpaces>26073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2021-04-21T06:00:00Z</dcterms:created>
  <dc:creator>CGC</dc:creator>
  <cp:lastModifiedBy>潘骏</cp:lastModifiedBy>
  <dcterms:modified xsi:type="dcterms:W3CDTF">2021-05-08T07:19:13Z</dcterms:modified>
  <dc:title>公开招标文件（货物服务类）</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2052-11.1.0.10463</vt:lpwstr>
  </property>
  <property fmtid="{D5CDD505-2E9C-101B-9397-08002B2CF9AE}" pid="6" name="ICV">
    <vt:lpwstr>E0A9664112CB44BCB0D86122833BAE20</vt:lpwstr>
  </property>
</Properties>
</file>