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lang w:eastAsia="zh-CN"/>
        </w:rPr>
        <w:t xml:space="preserve">  2021年电力监控系统等级保护测评及安全防护评估与整改加固项目 </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FHC-PTCG20210420001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二〇二一年四月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980" w:firstLineChars="350"/>
        <w:rPr>
          <w:sz w:val="28"/>
          <w:szCs w:val="28"/>
          <w:lang w:eastAsia="zh-CN"/>
        </w:rPr>
      </w:pPr>
      <w:r>
        <w:rPr>
          <w:rFonts w:hint="eastAsia"/>
          <w:sz w:val="28"/>
          <w:szCs w:val="28"/>
          <w:lang w:eastAsia="zh-CN"/>
        </w:rPr>
        <w:t>附件1：参选单位企业概况</w:t>
      </w:r>
    </w:p>
    <w:p>
      <w:pPr>
        <w:spacing w:line="360" w:lineRule="auto"/>
        <w:ind w:firstLine="980" w:firstLineChars="350"/>
        <w:rPr>
          <w:color w:val="000000"/>
          <w:sz w:val="28"/>
          <w:szCs w:val="28"/>
          <w:lang w:eastAsia="zh-CN"/>
        </w:rPr>
      </w:pPr>
      <w:r>
        <w:rPr>
          <w:rFonts w:hint="eastAsia"/>
          <w:color w:val="000000"/>
          <w:sz w:val="28"/>
          <w:szCs w:val="28"/>
          <w:lang w:eastAsia="zh-CN"/>
        </w:rPr>
        <w:t>附件2：参选书</w:t>
      </w:r>
    </w:p>
    <w:p>
      <w:pPr>
        <w:spacing w:line="360" w:lineRule="auto"/>
        <w:ind w:firstLine="980" w:firstLineChars="350"/>
        <w:rPr>
          <w:sz w:val="28"/>
          <w:szCs w:val="28"/>
          <w:lang w:eastAsia="zh-CN"/>
        </w:rPr>
      </w:pPr>
      <w:r>
        <w:rPr>
          <w:rFonts w:hint="eastAsia"/>
          <w:color w:val="000000"/>
          <w:sz w:val="28"/>
          <w:szCs w:val="28"/>
          <w:lang w:eastAsia="zh-CN"/>
        </w:rPr>
        <w:t>附件3：法定代表人授权委托书</w:t>
      </w:r>
    </w:p>
    <w:p>
      <w:pPr>
        <w:spacing w:line="360" w:lineRule="auto"/>
        <w:ind w:firstLine="980" w:firstLineChars="35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附件5：技术偏离表</w:t>
      </w:r>
    </w:p>
    <w:p>
      <w:pPr>
        <w:spacing w:line="360" w:lineRule="auto"/>
        <w:ind w:firstLine="980" w:firstLineChars="350"/>
        <w:rPr>
          <w:color w:val="000000"/>
          <w:sz w:val="28"/>
          <w:szCs w:val="28"/>
          <w:lang w:eastAsia="zh-CN"/>
        </w:rPr>
      </w:pPr>
      <w:r>
        <w:rPr>
          <w:rFonts w:hint="eastAsia"/>
          <w:color w:val="000000"/>
          <w:sz w:val="28"/>
          <w:szCs w:val="28"/>
          <w:lang w:eastAsia="zh-CN"/>
        </w:rPr>
        <w:t>附件6：报价单</w:t>
      </w: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spacing w:line="360" w:lineRule="auto"/>
        <w:jc w:val="center"/>
        <w:rPr>
          <w:b/>
          <w:bCs/>
          <w:sz w:val="28"/>
          <w:szCs w:val="28"/>
          <w:lang w:eastAsia="zh-CN"/>
        </w:rPr>
      </w:pPr>
      <w:r>
        <w:rPr>
          <w:rFonts w:hint="eastAsia"/>
          <w:b/>
          <w:bCs/>
          <w:sz w:val="28"/>
          <w:szCs w:val="28"/>
          <w:lang w:eastAsia="zh-CN"/>
        </w:rPr>
        <w:t>第一章比选公告</w:t>
      </w:r>
    </w:p>
    <w:p>
      <w:pPr>
        <w:spacing w:line="360" w:lineRule="auto"/>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asciiTheme="majorEastAsia" w:hAnsiTheme="majorEastAsia" w:eastAsiaTheme="majorEastAsia"/>
          <w:sz w:val="24"/>
          <w:szCs w:val="24"/>
          <w:u w:val="single"/>
          <w:lang w:eastAsia="zh-CN"/>
        </w:rPr>
        <w:t>2021年电力监控系统等级保护测评及安全防护评估与整改加固</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FHC-PTCG20210420001</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44"/>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asciiTheme="majorEastAsia" w:hAnsiTheme="majorEastAsia" w:eastAsiaTheme="majorEastAsia"/>
          <w:sz w:val="24"/>
          <w:szCs w:val="24"/>
          <w:lang w:eastAsia="zh-CN"/>
        </w:rPr>
        <w:t xml:space="preserve">2021年电力监控系统等级保护测评及安全防护评估与整改加                  </w:t>
      </w:r>
    </w:p>
    <w:p>
      <w:pPr>
        <w:pStyle w:val="44"/>
        <w:autoSpaceDE/>
        <w:autoSpaceDN/>
        <w:spacing w:before="0" w:line="360" w:lineRule="auto"/>
        <w:ind w:left="1192" w:leftChars="542" w:firstLine="1200" w:firstLineChars="500"/>
        <w:jc w:val="both"/>
        <w:rPr>
          <w:rFonts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固</w:t>
      </w:r>
      <w:r>
        <w:rPr>
          <w:rFonts w:hint="eastAsia" w:asciiTheme="majorEastAsia" w:hAnsiTheme="majorEastAsia" w:eastAsiaTheme="majorEastAsia"/>
          <w:bCs/>
          <w:sz w:val="24"/>
          <w:szCs w:val="24"/>
          <w:lang w:eastAsia="zh-CN"/>
        </w:rPr>
        <w:t>项目</w:t>
      </w:r>
    </w:p>
    <w:p>
      <w:pPr>
        <w:pStyle w:val="44"/>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w:t>
      </w:r>
      <w:r>
        <w:rPr>
          <w:rFonts w:hint="eastAsia" w:asciiTheme="majorEastAsia" w:hAnsiTheme="majorEastAsia" w:eastAsiaTheme="majorEastAsia"/>
          <w:sz w:val="24"/>
          <w:szCs w:val="24"/>
          <w:lang w:eastAsia="zh-CN"/>
        </w:rPr>
        <w:t xml:space="preserve">电力监控系统等级保护测评及安全防护评估与整改加固                    </w:t>
      </w:r>
    </w:p>
    <w:p>
      <w:pPr>
        <w:pStyle w:val="44"/>
        <w:numPr>
          <w:ilvl w:val="0"/>
          <w:numId w:val="2"/>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45万元</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参选人必须具备有效的企业法人营业执照，具有在中华人民共和国注册的法人资格；</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参选人须具有《信息安全等级保护测评机构推荐证书》或是具有此资质证书单位的授权代理单位；</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hint="eastAsia" w:asciiTheme="majorEastAsia" w:hAnsiTheme="majorEastAsia" w:eastAsiaTheme="majorEastAsia"/>
          <w:color w:val="000000"/>
          <w:sz w:val="24"/>
          <w:szCs w:val="24"/>
          <w:lang w:eastAsia="zh-CN"/>
        </w:rPr>
        <w:t>需具有公安部门和国家能源局认可的电力行业</w:t>
      </w:r>
      <w:r>
        <w:rPr>
          <w:rFonts w:hint="eastAsia" w:asciiTheme="majorEastAsia" w:hAnsiTheme="majorEastAsia" w:eastAsiaTheme="majorEastAsia"/>
          <w:sz w:val="24"/>
          <w:szCs w:val="24"/>
          <w:lang w:eastAsia="zh-CN"/>
        </w:rPr>
        <w:t>信息安全等级保护测评单位（</w:t>
      </w:r>
      <w:r>
        <w:rPr>
          <w:rFonts w:hint="eastAsia" w:asciiTheme="majorEastAsia" w:hAnsiTheme="majorEastAsia" w:eastAsiaTheme="majorEastAsia"/>
          <w:color w:val="4A4A4A"/>
          <w:sz w:val="24"/>
          <w:szCs w:val="24"/>
          <w:shd w:val="clear" w:color="auto" w:fill="FFFFFF"/>
          <w:lang w:eastAsia="zh-CN"/>
        </w:rPr>
        <w:t>第一实验室：北京华电卓识信息安全等级保护测评技术中心有限公司、第二实验室：中国电力科学研究、第三实验室：国网电力科学研究院、第四实验室：国电南京自动化股份有限公司、第五实验室：南方电网科学研究院有限责任公司、福建省网络与信息安全测评中心</w:t>
      </w:r>
      <w:r>
        <w:rPr>
          <w:rFonts w:hint="eastAsia" w:asciiTheme="majorEastAsia" w:hAnsiTheme="majorEastAsia" w:eastAsiaTheme="majorEastAsia"/>
          <w:sz w:val="24"/>
          <w:szCs w:val="24"/>
          <w:lang w:eastAsia="zh-CN"/>
        </w:rPr>
        <w:t>）；</w:t>
      </w:r>
    </w:p>
    <w:p>
      <w:pPr>
        <w:pStyle w:val="2"/>
        <w:spacing w:line="360" w:lineRule="auto"/>
        <w:ind w:left="832"/>
        <w:rPr>
          <w:rFonts w:asciiTheme="majorEastAsia" w:hAnsiTheme="majorEastAsia" w:eastAsiaTheme="majorEastAsia"/>
          <w:sz w:val="24"/>
          <w:szCs w:val="24"/>
        </w:rPr>
      </w:pPr>
      <w:r>
        <w:rPr>
          <w:rFonts w:hint="eastAsia" w:asciiTheme="majorEastAsia" w:hAnsiTheme="majorEastAsia" w:eastAsiaTheme="majorEastAsia"/>
          <w:sz w:val="24"/>
          <w:szCs w:val="24"/>
        </w:rPr>
        <w:t>4. 服务团队现场工作结束后，如果比选人对提出的安全问题有疑义，服务团队应予解答；</w:t>
      </w:r>
    </w:p>
    <w:p>
      <w:pPr>
        <w:pStyle w:val="2"/>
        <w:spacing w:line="360" w:lineRule="auto"/>
        <w:ind w:left="832"/>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5. </w:t>
      </w:r>
      <w:r>
        <w:rPr>
          <w:rFonts w:asciiTheme="majorEastAsia" w:hAnsiTheme="majorEastAsia" w:eastAsiaTheme="majorEastAsia"/>
          <w:sz w:val="24"/>
          <w:szCs w:val="24"/>
        </w:rPr>
        <w:t>没有失信黑名单记录（以最高院失信被执行人系统发布信息为准）；</w:t>
      </w:r>
    </w:p>
    <w:p>
      <w:pPr>
        <w:pStyle w:val="2"/>
        <w:spacing w:line="360" w:lineRule="auto"/>
        <w:ind w:left="832"/>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6.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本项目不接受联合体参选。</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eastAsia="zh-CN"/>
        </w:rPr>
        <w:t>报名要求</w:t>
      </w:r>
    </w:p>
    <w:p>
      <w:pPr>
        <w:pStyle w:val="44"/>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sz w:val="24"/>
          <w:szCs w:val="24"/>
          <w:lang w:eastAsia="zh-CN"/>
        </w:rPr>
        <w:t>2021年4月</w:t>
      </w:r>
      <w:r>
        <w:rPr>
          <w:rFonts w:hint="eastAsia" w:asciiTheme="majorEastAsia" w:hAnsiTheme="majorEastAsia" w:eastAsiaTheme="majorEastAsia"/>
          <w:sz w:val="24"/>
          <w:szCs w:val="24"/>
          <w:lang w:val="en-US" w:eastAsia="zh-CN"/>
        </w:rPr>
        <w:t>29</w:t>
      </w:r>
      <w:r>
        <w:rPr>
          <w:rFonts w:hint="eastAsia" w:asciiTheme="majorEastAsia" w:hAnsiTheme="majorEastAsia" w:eastAsiaTheme="majorEastAsia"/>
          <w:sz w:val="24"/>
          <w:szCs w:val="24"/>
          <w:lang w:eastAsia="zh-CN"/>
        </w:rPr>
        <w:t>日至5月</w:t>
      </w:r>
      <w:r>
        <w:rPr>
          <w:rFonts w:hint="eastAsia" w:asciiTheme="majorEastAsia" w:hAnsiTheme="majorEastAsia" w:eastAsiaTheme="majorEastAsia"/>
          <w:sz w:val="24"/>
          <w:szCs w:val="24"/>
          <w:lang w:val="en-US" w:eastAsia="zh-CN"/>
        </w:rPr>
        <w:t>8</w:t>
      </w:r>
      <w:bookmarkStart w:id="57" w:name="_GoBack"/>
      <w:bookmarkEnd w:id="57"/>
      <w:r>
        <w:rPr>
          <w:rFonts w:hint="eastAsia" w:asciiTheme="majorEastAsia" w:hAnsiTheme="majorEastAsia" w:eastAsiaTheme="majorEastAsia"/>
          <w:sz w:val="24"/>
          <w:szCs w:val="24"/>
          <w:lang w:eastAsia="zh-CN"/>
        </w:rPr>
        <w:t>日（共10天）</w:t>
      </w:r>
    </w:p>
    <w:p>
      <w:pPr>
        <w:pStyle w:val="44"/>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w:t>
      </w:r>
    </w:p>
    <w:p>
      <w:pPr>
        <w:pStyle w:val="44"/>
        <w:autoSpaceDE/>
        <w:autoSpaceDN/>
        <w:spacing w:before="0" w:line="360" w:lineRule="auto"/>
        <w:ind w:left="1192" w:firstLine="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34"/>
          <w:rFonts w:hint="eastAsia" w:asciiTheme="majorEastAsia" w:hAnsiTheme="majorEastAsia" w:eastAsiaTheme="majorEastAsia"/>
          <w:bCs/>
          <w:sz w:val="24"/>
          <w:szCs w:val="24"/>
          <w:lang w:eastAsia="zh-CN"/>
        </w:rPr>
        <w:t>hzji@fhcpec.com.cn</w:t>
      </w:r>
      <w:r>
        <w:rPr>
          <w:rStyle w:val="34"/>
          <w:rFonts w:hint="eastAsia" w:asciiTheme="majorEastAsia" w:hAnsiTheme="majorEastAsia" w:eastAsiaTheme="majorEastAsia"/>
          <w:bCs/>
          <w:sz w:val="24"/>
          <w:szCs w:val="24"/>
          <w:lang w:eastAsia="zh-CN"/>
        </w:rPr>
        <w:fldChar w:fldCharType="end"/>
      </w:r>
      <w:r>
        <w:rPr>
          <w:rFonts w:hint="eastAsia" w:asciiTheme="majorEastAsia" w:hAnsiTheme="majorEastAsia" w:eastAsiaTheme="majorEastAsia"/>
          <w:bCs/>
          <w:sz w:val="24"/>
          <w:szCs w:val="24"/>
          <w:lang w:eastAsia="zh-CN"/>
        </w:rPr>
        <w:t>。</w:t>
      </w:r>
    </w:p>
    <w:p>
      <w:pPr>
        <w:pStyle w:val="44"/>
        <w:autoSpaceDE/>
        <w:autoSpaceDN/>
        <w:spacing w:before="0" w:line="360" w:lineRule="auto"/>
        <w:ind w:left="1192" w:firstLine="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需进行技术交流，签订技术协议书，未报名的参选人不能参加本项目比选。</w:t>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44"/>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44"/>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递交截止时间：至报名截止时间延后2天</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4"/>
          <w:rFonts w:asciiTheme="majorEastAsia" w:hAnsiTheme="majorEastAsia" w:eastAsiaTheme="majorEastAsia"/>
          <w:bCs/>
          <w:sz w:val="24"/>
          <w:szCs w:val="24"/>
        </w:rPr>
        <w:t>qlin@fhcpec.com.cn</w:t>
      </w:r>
      <w:r>
        <w:rPr>
          <w:rStyle w:val="34"/>
          <w:rFonts w:asciiTheme="majorEastAsia" w:hAnsiTheme="majorEastAsia" w:eastAsiaTheme="majorEastAsia"/>
          <w:bCs/>
          <w:sz w:val="24"/>
          <w:szCs w:val="24"/>
        </w:rPr>
        <w:fldChar w:fldCharType="end"/>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8"/>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福建福海沧石油化工有限公司</w:t>
      </w:r>
    </w:p>
    <w:p>
      <w:pPr>
        <w:tabs>
          <w:tab w:val="left" w:pos="1272"/>
        </w:tabs>
        <w:spacing w:line="360" w:lineRule="auto"/>
        <w:ind w:left="9"/>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2021.4.29</w:t>
      </w:r>
    </w:p>
    <w:p>
      <w:pPr>
        <w:tabs>
          <w:tab w:val="left" w:pos="1272"/>
        </w:tabs>
        <w:ind w:left="9"/>
        <w:jc w:val="center"/>
        <w:rPr>
          <w:b/>
          <w:sz w:val="28"/>
          <w:lang w:eastAsia="zh-CN"/>
        </w:rPr>
      </w:pPr>
    </w:p>
    <w:p>
      <w:pPr>
        <w:pStyle w:val="44"/>
        <w:spacing w:before="0" w:line="360" w:lineRule="auto"/>
        <w:ind w:left="360" w:firstLine="0"/>
        <w:rPr>
          <w:rFonts w:asciiTheme="majorEastAsia" w:hAnsiTheme="majorEastAsia" w:eastAsiaTheme="majorEastAsia"/>
          <w:bCs/>
          <w:sz w:val="24"/>
          <w:szCs w:val="24"/>
          <w:lang w:eastAsia="zh-CN"/>
        </w:rPr>
      </w:pP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b/>
          <w:sz w:val="24"/>
          <w:szCs w:val="24"/>
          <w:lang w:eastAsia="zh-CN"/>
        </w:rPr>
      </w:pPr>
      <w:r>
        <w:rPr>
          <w:b/>
          <w:w w:val="95"/>
          <w:sz w:val="24"/>
          <w:szCs w:val="24"/>
          <w:lang w:eastAsia="zh-CN"/>
        </w:rPr>
        <w:t>一、比选内容</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sz w:val="24"/>
          <w:szCs w:val="24"/>
          <w:lang w:eastAsia="zh-CN"/>
        </w:rPr>
        <w:t>1.项目</w:t>
      </w:r>
      <w:r>
        <w:rPr>
          <w:sz w:val="24"/>
          <w:szCs w:val="24"/>
          <w:lang w:eastAsia="zh-CN"/>
        </w:rPr>
        <w:t>名称：</w:t>
      </w:r>
      <w:r>
        <w:rPr>
          <w:rFonts w:hint="eastAsia" w:asciiTheme="majorEastAsia" w:hAnsiTheme="majorEastAsia" w:eastAsiaTheme="majorEastAsia"/>
          <w:sz w:val="24"/>
          <w:szCs w:val="24"/>
          <w:lang w:eastAsia="zh-CN"/>
        </w:rPr>
        <w:t xml:space="preserve">2021年电力监控系统等级保护测评及安全防护评估与整改加                  </w:t>
      </w:r>
    </w:p>
    <w:p>
      <w:pPr>
        <w:pStyle w:val="13"/>
        <w:spacing w:line="360" w:lineRule="auto"/>
        <w:ind w:right="121" w:firstLine="1920" w:firstLineChars="800"/>
        <w:jc w:val="both"/>
        <w:rPr>
          <w:lang w:eastAsia="zh-CN"/>
        </w:rPr>
      </w:pPr>
      <w:r>
        <w:rPr>
          <w:rFonts w:hint="eastAsia" w:asciiTheme="majorEastAsia" w:hAnsiTheme="majorEastAsia" w:eastAsiaTheme="majorEastAsia"/>
          <w:lang w:eastAsia="zh-CN"/>
        </w:rPr>
        <w:t>固</w:t>
      </w:r>
      <w:r>
        <w:rPr>
          <w:rFonts w:hint="eastAsia" w:asciiTheme="majorEastAsia" w:hAnsiTheme="majorEastAsia" w:eastAsiaTheme="majorEastAsia"/>
          <w:bCs/>
          <w:lang w:eastAsia="zh-CN"/>
        </w:rPr>
        <w:t>项目</w:t>
      </w:r>
    </w:p>
    <w:p>
      <w:pPr>
        <w:pStyle w:val="13"/>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13"/>
        <w:spacing w:line="360" w:lineRule="auto"/>
        <w:ind w:right="121"/>
        <w:jc w:val="both"/>
        <w:rPr>
          <w:lang w:eastAsia="zh-CN"/>
        </w:rPr>
      </w:pPr>
      <w:r>
        <w:rPr>
          <w:rFonts w:hint="eastAsia"/>
          <w:lang w:eastAsia="zh-CN"/>
        </w:rPr>
        <w:t xml:space="preserve">    3.承包方式：固定总价包干</w:t>
      </w:r>
    </w:p>
    <w:p>
      <w:pPr>
        <w:pStyle w:val="13"/>
        <w:spacing w:line="360" w:lineRule="auto"/>
        <w:ind w:left="724" w:leftChars="220" w:right="121" w:hanging="240" w:hangingChars="100"/>
        <w:jc w:val="both"/>
        <w:rPr>
          <w:lang w:eastAsia="zh-CN"/>
        </w:rPr>
      </w:pPr>
      <w:r>
        <w:rPr>
          <w:rFonts w:hint="eastAsia"/>
          <w:lang w:eastAsia="zh-CN"/>
        </w:rPr>
        <w:t>4.项目工作范围及要求：</w:t>
      </w:r>
      <w:r>
        <w:rPr>
          <w:rFonts w:hint="eastAsia" w:asciiTheme="majorEastAsia" w:hAnsiTheme="majorEastAsia" w:eastAsiaTheme="majorEastAsia"/>
          <w:bCs/>
          <w:lang w:eastAsia="zh-CN"/>
        </w:rPr>
        <w:t>见附件1“技术规范书”</w:t>
      </w:r>
    </w:p>
    <w:p>
      <w:pPr>
        <w:pStyle w:val="13"/>
        <w:spacing w:line="360" w:lineRule="auto"/>
        <w:ind w:right="121" w:firstLine="480"/>
        <w:jc w:val="both"/>
        <w:rPr>
          <w:lang w:eastAsia="zh-CN"/>
        </w:rPr>
      </w:pPr>
      <w:r>
        <w:rPr>
          <w:lang w:eastAsia="zh-CN"/>
        </w:rPr>
        <w:t>5.服务期限</w:t>
      </w:r>
      <w:r>
        <w:rPr>
          <w:rFonts w:hint="eastAsia"/>
          <w:lang w:eastAsia="zh-CN"/>
        </w:rPr>
        <w:t>：合同生效后三个月完成</w:t>
      </w:r>
    </w:p>
    <w:p>
      <w:pPr>
        <w:pStyle w:val="13"/>
        <w:spacing w:line="360" w:lineRule="auto"/>
        <w:ind w:right="121"/>
        <w:jc w:val="both"/>
        <w:rPr>
          <w:b/>
          <w:lang w:eastAsia="zh-CN"/>
        </w:rPr>
      </w:pPr>
      <w:r>
        <w:rPr>
          <w:rFonts w:hint="eastAsia"/>
          <w:lang w:eastAsia="zh-CN"/>
        </w:rPr>
        <w:t xml:space="preserve">    </w:t>
      </w:r>
      <w:r>
        <w:rPr>
          <w:b/>
          <w:w w:val="95"/>
          <w:lang w:eastAsia="zh-CN"/>
        </w:rPr>
        <w:t>二、定义和解释</w:t>
      </w:r>
    </w:p>
    <w:p>
      <w:pPr>
        <w:pStyle w:val="13"/>
        <w:spacing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line="360" w:lineRule="auto"/>
        <w:rPr>
          <w:sz w:val="24"/>
          <w:szCs w:val="24"/>
          <w:lang w:eastAsia="zh-CN"/>
        </w:rPr>
      </w:pPr>
      <w:r>
        <w:rPr>
          <w:w w:val="95"/>
          <w:sz w:val="24"/>
          <w:szCs w:val="24"/>
          <w:lang w:eastAsia="zh-CN"/>
        </w:rPr>
        <w:t>三、比选文件组成</w:t>
      </w:r>
    </w:p>
    <w:p>
      <w:pPr>
        <w:pStyle w:val="13"/>
        <w:spacing w:line="360" w:lineRule="auto"/>
        <w:ind w:left="598"/>
        <w:rPr>
          <w:lang w:eastAsia="zh-CN"/>
        </w:rPr>
      </w:pPr>
      <w:r>
        <w:rPr>
          <w:lang w:eastAsia="zh-CN"/>
        </w:rPr>
        <w:t>1.比选文件包括下列内容：</w:t>
      </w:r>
    </w:p>
    <w:p>
      <w:pPr>
        <w:pStyle w:val="13"/>
        <w:spacing w:line="360" w:lineRule="auto"/>
        <w:ind w:left="598"/>
        <w:rPr>
          <w:lang w:eastAsia="zh-CN"/>
        </w:rPr>
      </w:pPr>
      <w:r>
        <w:rPr>
          <w:lang w:eastAsia="zh-CN"/>
        </w:rPr>
        <w:t>比选公告、比选须知、项目内容、合同书格式、报价单、承诺函等。</w:t>
      </w:r>
    </w:p>
    <w:p>
      <w:pPr>
        <w:pStyle w:val="13"/>
        <w:spacing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13"/>
        <w:spacing w:line="360" w:lineRule="auto"/>
        <w:ind w:right="92" w:firstLine="480"/>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13"/>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13"/>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13"/>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4.比选人所作的一切有效补充、修改文件，均被视为比选文件不可分割的部分。</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参选人必须具备有效的企业法人营业执照，具有在中华人民共和国注册的法人资格；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参选人须具有《信息安全等级保护测评机构推荐证书》或是具有此资质证书单位的授权代理单位；</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hint="eastAsia" w:asciiTheme="majorEastAsia" w:hAnsiTheme="majorEastAsia" w:eastAsiaTheme="majorEastAsia"/>
          <w:color w:val="000000"/>
          <w:sz w:val="24"/>
          <w:szCs w:val="24"/>
          <w:lang w:eastAsia="zh-CN"/>
        </w:rPr>
        <w:t>需具有公安部门和国家能源局认可的电力行业</w:t>
      </w:r>
      <w:r>
        <w:rPr>
          <w:rFonts w:hint="eastAsia" w:asciiTheme="majorEastAsia" w:hAnsiTheme="majorEastAsia" w:eastAsiaTheme="majorEastAsia"/>
          <w:sz w:val="24"/>
          <w:szCs w:val="24"/>
          <w:lang w:eastAsia="zh-CN"/>
        </w:rPr>
        <w:t>信息安全等级保护测评单位（</w:t>
      </w:r>
      <w:r>
        <w:rPr>
          <w:rFonts w:hint="eastAsia" w:asciiTheme="majorEastAsia" w:hAnsiTheme="majorEastAsia" w:eastAsiaTheme="majorEastAsia"/>
          <w:color w:val="4A4A4A"/>
          <w:sz w:val="24"/>
          <w:szCs w:val="24"/>
          <w:shd w:val="clear" w:color="auto" w:fill="FFFFFF"/>
          <w:lang w:eastAsia="zh-CN"/>
        </w:rPr>
        <w:t>第一实验室：北京华电卓识信息安全等级保护测评技术中心有限公司、第二实验室：中国电力科学研究、第三实验室：国网电力科学研究院、第四实验室：国电南京自动化股份有限公司、第五实验室：南方电网科学研究院有限责任公司、福建省网络与信息安全测评中心</w:t>
      </w:r>
      <w:r>
        <w:rPr>
          <w:rFonts w:hint="eastAsia" w:asciiTheme="majorEastAsia" w:hAnsiTheme="majorEastAsia" w:eastAsiaTheme="majorEastAsia"/>
          <w:sz w:val="24"/>
          <w:szCs w:val="24"/>
          <w:lang w:eastAsia="zh-CN"/>
        </w:rPr>
        <w:t>）；</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 服务团队现场工作结束后，如果比选人对提出的安全问题有疑义，服务团队应予解答；</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5. </w:t>
      </w:r>
      <w:r>
        <w:rPr>
          <w:rFonts w:asciiTheme="majorEastAsia" w:hAnsiTheme="majorEastAsia" w:eastAsiaTheme="majorEastAsia"/>
          <w:sz w:val="24"/>
          <w:szCs w:val="24"/>
        </w:rPr>
        <w:t>没有失信黑名单记录（以最高院失信被执行人系统发布信息为准）；</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6.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本项目不接受联合体参选。</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pStyle w:val="13"/>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1.参选单位应缴纳参选保证金，保证金金额10</w:t>
      </w:r>
      <w:r>
        <w:rPr>
          <w:rFonts w:asciiTheme="majorEastAsia" w:hAnsiTheme="majorEastAsia" w:eastAsiaTheme="majorEastAsia"/>
          <w:lang w:eastAsia="zh-CN"/>
        </w:rPr>
        <w:t>00</w:t>
      </w:r>
      <w:r>
        <w:rPr>
          <w:rFonts w:hint="eastAsia" w:asciiTheme="majorEastAsia" w:hAnsiTheme="majorEastAsia" w:eastAsiaTheme="majorEastAsia"/>
          <w:lang w:eastAsia="zh-CN"/>
        </w:rPr>
        <w:t>0元整，参选单位应按照要求从参选单位基本账户转入比选单位的账户，比选单位账户信息如下：</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pStyle w:val="13"/>
        <w:spacing w:line="360" w:lineRule="auto"/>
        <w:ind w:right="121" w:firstLine="480" w:firstLineChars="200"/>
        <w:jc w:val="both"/>
        <w:rPr>
          <w:rFonts w:asciiTheme="majorEastAsia" w:hAnsiTheme="majorEastAsia" w:eastAsiaTheme="majorEastAsia"/>
          <w:lang w:eastAsia="zh-CN"/>
        </w:rPr>
      </w:pPr>
      <w:r>
        <w:rPr>
          <w:rFonts w:hint="eastAsia" w:cs="Arial" w:asciiTheme="majorEastAsia" w:hAnsiTheme="majorEastAsia" w:eastAsiaTheme="majorEastAsia"/>
          <w:color w:val="333333"/>
          <w:lang w:eastAsia="zh-CN"/>
        </w:rPr>
        <w:t>帐   号：</w:t>
      </w:r>
      <w:r>
        <w:rPr>
          <w:rFonts w:hint="eastAsia"/>
          <w:lang w:eastAsia="zh-CN"/>
        </w:rPr>
        <w:t>4065 7481 6628</w:t>
      </w:r>
    </w:p>
    <w:p>
      <w:pPr>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注明用途：监控系统等级保护测评及安全防护评估与整改加固</w:t>
      </w:r>
      <w:r>
        <w:rPr>
          <w:rFonts w:hint="eastAsia" w:asciiTheme="majorEastAsia" w:hAnsiTheme="majorEastAsia" w:eastAsiaTheme="majorEastAsia"/>
          <w:bCs/>
          <w:sz w:val="24"/>
          <w:szCs w:val="24"/>
          <w:lang w:eastAsia="zh-CN"/>
        </w:rPr>
        <w:t>项目</w:t>
      </w:r>
      <w:r>
        <w:rPr>
          <w:rFonts w:hint="eastAsia" w:asciiTheme="majorEastAsia" w:hAnsiTheme="majorEastAsia" w:eastAsiaTheme="majorEastAsia"/>
          <w:sz w:val="24"/>
          <w:szCs w:val="24"/>
          <w:lang w:eastAsia="zh-CN"/>
        </w:rPr>
        <w:t>参选</w:t>
      </w:r>
      <w:r>
        <w:rPr>
          <w:rFonts w:asciiTheme="majorEastAsia" w:hAnsiTheme="majorEastAsia" w:eastAsiaTheme="majorEastAsia"/>
          <w:sz w:val="24"/>
          <w:szCs w:val="24"/>
          <w:lang w:eastAsia="zh-CN"/>
        </w:rPr>
        <w:t>保证金</w:t>
      </w:r>
    </w:p>
    <w:p>
      <w:pPr>
        <w:pStyle w:val="13"/>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参选保证金有效期：</w:t>
      </w:r>
      <w:r>
        <w:rPr>
          <w:rFonts w:asciiTheme="majorEastAsia" w:hAnsiTheme="majorEastAsia" w:eastAsiaTheme="majorEastAsia"/>
          <w:lang w:eastAsia="zh-CN"/>
        </w:rPr>
        <w:t>90</w:t>
      </w:r>
      <w:r>
        <w:rPr>
          <w:rFonts w:hint="eastAsia" w:asciiTheme="majorEastAsia" w:hAnsiTheme="majorEastAsia" w:eastAsiaTheme="majorEastAsia"/>
          <w:lang w:eastAsia="zh-CN"/>
        </w:rPr>
        <w:t>日历天。</w:t>
      </w:r>
    </w:p>
    <w:p>
      <w:pPr>
        <w:pStyle w:val="13"/>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13"/>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2.对于未能按要求提交保证金的参选文件，比选单位可以视为不符合上面比选要求而予以拒绝；</w:t>
      </w:r>
    </w:p>
    <w:p>
      <w:pPr>
        <w:pStyle w:val="13"/>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3.比选结束退还未中选者的比选保证金（无息），最迟不超过规定的比选有效期满后的20天；</w:t>
      </w:r>
    </w:p>
    <w:p>
      <w:pPr>
        <w:pStyle w:val="13"/>
        <w:spacing w:line="360" w:lineRule="auto"/>
        <w:ind w:right="121"/>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 xml:space="preserve">    4.中选者的参选保证金（无息），将在合同签订后自动转为履约保证金，将于合同周期完成后1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13"/>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5.如有下列情况发生，将被没收参选保证金：</w:t>
      </w:r>
    </w:p>
    <w:p>
      <w:pPr>
        <w:pStyle w:val="13"/>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pStyle w:val="3"/>
        <w:spacing w:line="360" w:lineRule="auto"/>
        <w:ind w:left="0" w:firstLine="360" w:firstLineChars="150"/>
        <w:rPr>
          <w:rFonts w:asciiTheme="majorEastAsia" w:hAnsiTheme="majorEastAsia" w:eastAsiaTheme="majorEastAsia"/>
          <w:b w:val="0"/>
          <w:sz w:val="24"/>
          <w:szCs w:val="24"/>
          <w:lang w:eastAsia="zh-CN"/>
        </w:rPr>
      </w:pPr>
      <w:r>
        <w:rPr>
          <w:rFonts w:hint="eastAsia" w:asciiTheme="majorEastAsia" w:hAnsiTheme="majorEastAsia" w:eastAsiaTheme="majorEastAsia"/>
          <w:b w:val="0"/>
          <w:sz w:val="24"/>
          <w:szCs w:val="24"/>
          <w:lang w:eastAsia="zh-CN"/>
        </w:rPr>
        <w:t>（2）参选单位未能按接到中标通知书后规定的时间内签定合同。</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bCs w:val="0"/>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lang w:eastAsia="zh-CN"/>
        </w:rPr>
      </w:pPr>
      <w:r>
        <w:rPr>
          <w:rFonts w:hint="eastAsia" w:asciiTheme="majorEastAsia" w:hAnsiTheme="majorEastAsia" w:eastAsiaTheme="majorEastAsia"/>
          <w:spacing w:val="-4"/>
          <w:lang w:eastAsia="zh-CN"/>
        </w:rPr>
        <w:t>技术联系人：陈重炫     电话：0596-6311299</w:t>
      </w:r>
    </w:p>
    <w:p>
      <w:pPr>
        <w:spacing w:line="360" w:lineRule="auto"/>
        <w:ind w:left="598" w:leftChars="272" w:firstLine="236" w:firstLineChars="98"/>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 EMS 快递，其他快递不能保证送达目的地。</w:t>
      </w:r>
    </w:p>
    <w:p>
      <w:pPr>
        <w:pStyle w:val="13"/>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3.只允许参选人有一个参选方案，否则将被视为无效参选。</w:t>
      </w:r>
    </w:p>
    <w:p>
      <w:pPr>
        <w:pStyle w:val="13"/>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4.</w:t>
      </w:r>
      <w:r>
        <w:rPr>
          <w:rFonts w:asciiTheme="majorEastAsia" w:hAnsiTheme="majorEastAsia" w:eastAsiaTheme="majorEastAsia"/>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5.</w:t>
      </w:r>
      <w:r>
        <w:rPr>
          <w:rFonts w:asciiTheme="majorEastAsia" w:hAnsiTheme="majorEastAsia" w:eastAsiaTheme="majorEastAsia"/>
          <w:spacing w:val="-9"/>
          <w:lang w:eastAsia="zh-CN"/>
        </w:rPr>
        <w:t>参选人收到比选文件后，如有疑问要澄清，请以书面形式在规定时间内报比选人汇总。</w:t>
      </w:r>
    </w:p>
    <w:p>
      <w:pPr>
        <w:pStyle w:val="13"/>
        <w:spacing w:line="360" w:lineRule="auto"/>
        <w:ind w:right="106" w:firstLine="480" w:firstLineChars="200"/>
        <w:jc w:val="both"/>
        <w:rPr>
          <w:rFonts w:asciiTheme="majorEastAsia" w:hAnsiTheme="majorEastAsia" w:eastAsiaTheme="majorEastAsia"/>
          <w:spacing w:val="-9"/>
          <w:lang w:eastAsia="zh-CN"/>
        </w:rPr>
      </w:pPr>
      <w:r>
        <w:rPr>
          <w:rFonts w:asciiTheme="majorEastAsia" w:hAnsiTheme="majorEastAsia" w:eastAsiaTheme="majorEastAsia"/>
          <w:lang w:eastAsia="zh-CN"/>
        </w:rPr>
        <w:t>6.</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最高控制价及参选报价要求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45万元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pPr>
        <w:pStyle w:val="2"/>
        <w:spacing w:line="360" w:lineRule="auto"/>
        <w:rPr>
          <w:rFonts w:asciiTheme="majorEastAsia" w:hAnsiTheme="majorEastAsia" w:eastAsiaTheme="majorEastAsia"/>
          <w:sz w:val="24"/>
          <w:szCs w:val="24"/>
        </w:rPr>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line="360" w:lineRule="auto"/>
        <w:ind w:left="538"/>
        <w:rPr>
          <w:b/>
          <w:sz w:val="24"/>
          <w:szCs w:val="24"/>
          <w:lang w:eastAsia="zh-CN"/>
        </w:rPr>
      </w:pPr>
      <w:r>
        <w:rPr>
          <w:b/>
          <w:w w:val="95"/>
          <w:sz w:val="24"/>
          <w:szCs w:val="24"/>
          <w:lang w:eastAsia="zh-CN"/>
        </w:rPr>
        <w:t>一、参选文件的组成：</w:t>
      </w:r>
    </w:p>
    <w:p>
      <w:pPr>
        <w:pStyle w:val="13"/>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13"/>
        <w:spacing w:before="23" w:line="360" w:lineRule="auto"/>
        <w:ind w:right="92" w:firstLine="480"/>
        <w:rPr>
          <w:lang w:eastAsia="zh-CN"/>
        </w:rPr>
      </w:pPr>
      <w:r>
        <w:rPr>
          <w:spacing w:val="-7"/>
          <w:lang w:eastAsia="zh-CN"/>
        </w:rPr>
        <w:t>②有良好</w:t>
      </w:r>
      <w:r>
        <w:rPr>
          <w:rFonts w:hint="eastAsia"/>
          <w:spacing w:val="-7"/>
          <w:lang w:eastAsia="zh-CN"/>
        </w:rPr>
        <w:t>相似企业</w:t>
      </w:r>
      <w:r>
        <w:rPr>
          <w:spacing w:val="-7"/>
          <w:lang w:eastAsia="zh-CN"/>
        </w:rPr>
        <w:t>工程</w:t>
      </w:r>
      <w:r>
        <w:rPr>
          <w:rFonts w:hint="eastAsia"/>
          <w:spacing w:val="-7"/>
          <w:lang w:eastAsia="zh-CN"/>
        </w:rPr>
        <w:t>项目</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1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,及参选保证金银行回单（复印件）和技术偏离表。</w:t>
      </w:r>
    </w:p>
    <w:p>
      <w:pPr>
        <w:pStyle w:val="13"/>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3"/>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3"/>
        <w:spacing w:line="360" w:lineRule="auto"/>
        <w:ind w:firstLine="482" w:firstLineChars="200"/>
        <w:rPr>
          <w:lang w:eastAsia="zh-CN"/>
        </w:rPr>
      </w:pPr>
      <w:r>
        <w:rPr>
          <w:rFonts w:hint="eastAsia"/>
          <w:b/>
          <w:lang w:eastAsia="zh-CN"/>
        </w:rPr>
        <w:t>须提供电子版参选文件及报价表（电子U盘 盖公章的PDF版）</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3"/>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参选文件（含PDF电子版U盘）。</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3"/>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after="0" w:line="360" w:lineRule="auto"/>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 “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15567504"/>
      <w:bookmarkStart w:id="2" w:name="_Toc430488651"/>
      <w:bookmarkStart w:id="3" w:name="_Toc304357904"/>
      <w:bookmarkStart w:id="4" w:name="_Toc430490619"/>
      <w:bookmarkStart w:id="5" w:name="_Toc430488858"/>
      <w:bookmarkStart w:id="6" w:name="_Toc430489126"/>
      <w:bookmarkStart w:id="7" w:name="_Toc177186249"/>
      <w:bookmarkStart w:id="8" w:name="_Toc430492133"/>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参选人应在参选文件所附的参选报价表上写明参选总价。</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80" w:firstLineChars="200"/>
        <w:rPr>
          <w:sz w:val="24"/>
          <w:szCs w:val="24"/>
          <w:lang w:eastAsia="zh-CN"/>
        </w:rPr>
      </w:pPr>
      <w:r>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pPr>
        <w:pStyle w:val="13"/>
        <w:spacing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line="360" w:lineRule="auto"/>
        <w:ind w:firstLine="343" w:firstLineChars="150"/>
        <w:rPr>
          <w:b/>
          <w:w w:val="95"/>
          <w:sz w:val="24"/>
          <w:szCs w:val="24"/>
          <w:lang w:eastAsia="zh-CN"/>
        </w:rPr>
      </w:pPr>
      <w:r>
        <w:rPr>
          <w:b/>
          <w:w w:val="95"/>
          <w:sz w:val="24"/>
          <w:szCs w:val="24"/>
          <w:lang w:eastAsia="zh-CN"/>
        </w:rPr>
        <w:t>一、规则</w:t>
      </w:r>
    </w:p>
    <w:p>
      <w:pPr>
        <w:pStyle w:val="13"/>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3"/>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3"/>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范围有缺漏、实际应标产品或服务存在重大偏差、或参选材料存在欺诈行为时、或参选人因不可抗力或自身原因不能履行合同的，将有理由取消中选人资格，保留依法追究的权利；并将依法</w:t>
      </w:r>
      <w:r>
        <w:rPr>
          <w:rFonts w:hint="eastAsia"/>
          <w:lang w:eastAsia="zh-CN"/>
        </w:rPr>
        <w:t>确定后续排名的中选候选人，或重新进行比选</w:t>
      </w:r>
      <w:r>
        <w:rPr>
          <w:lang w:eastAsia="zh-CN"/>
        </w:rPr>
        <w:t>。</w:t>
      </w:r>
    </w:p>
    <w:p>
      <w:pPr>
        <w:spacing w:line="360" w:lineRule="auto"/>
        <w:ind w:firstLine="458" w:firstLineChars="200"/>
        <w:rPr>
          <w:b/>
          <w:w w:val="95"/>
          <w:sz w:val="24"/>
          <w:szCs w:val="24"/>
          <w:lang w:eastAsia="zh-CN"/>
        </w:rPr>
      </w:pPr>
      <w:r>
        <w:rPr>
          <w:b/>
          <w:w w:val="95"/>
          <w:sz w:val="24"/>
          <w:szCs w:val="24"/>
          <w:lang w:eastAsia="zh-CN"/>
        </w:rPr>
        <w:t>二、资格审查</w:t>
      </w:r>
    </w:p>
    <w:p>
      <w:pPr>
        <w:pStyle w:val="13"/>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360" w:lineRule="auto"/>
        <w:ind w:firstLine="458" w:firstLineChars="200"/>
        <w:rPr>
          <w:b/>
          <w:w w:val="95"/>
          <w:sz w:val="24"/>
          <w:szCs w:val="24"/>
          <w:lang w:eastAsia="zh-CN"/>
        </w:rPr>
      </w:pPr>
      <w:r>
        <w:rPr>
          <w:b/>
          <w:w w:val="95"/>
          <w:sz w:val="24"/>
          <w:szCs w:val="24"/>
          <w:lang w:eastAsia="zh-CN"/>
        </w:rPr>
        <w:t>三、评选办法</w:t>
      </w:r>
    </w:p>
    <w:p>
      <w:pPr>
        <w:pStyle w:val="13"/>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45万元整</w:t>
      </w:r>
      <w:r>
        <w:rPr>
          <w:rFonts w:hint="eastAsia"/>
          <w:lang w:eastAsia="zh-CN"/>
        </w:rPr>
        <w:t>。参选人所填报的报价高于本项目最高限价的，其参选将被比选小组予以否决。</w:t>
      </w:r>
    </w:p>
    <w:p>
      <w:pPr>
        <w:pStyle w:val="13"/>
        <w:spacing w:line="360" w:lineRule="auto"/>
        <w:ind w:left="120" w:right="222" w:firstLine="480" w:firstLineChars="200"/>
        <w:rPr>
          <w:lang w:eastAsia="zh-CN"/>
        </w:rPr>
      </w:pP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进行商务报价的评选，商务报价最低者中选。</w:t>
      </w:r>
    </w:p>
    <w:p>
      <w:pPr>
        <w:pStyle w:val="13"/>
        <w:spacing w:line="360" w:lineRule="auto"/>
        <w:ind w:right="121" w:firstLine="480" w:firstLineChars="200"/>
        <w:jc w:val="both"/>
        <w:rPr>
          <w:lang w:eastAsia="zh-CN"/>
        </w:rPr>
      </w:pPr>
      <w:r>
        <w:rPr>
          <w:rFonts w:hint="eastAsia"/>
          <w:lang w:eastAsia="zh-CN"/>
        </w:rPr>
        <w:t>1</w:t>
      </w:r>
      <w:r>
        <w:rPr>
          <w:lang w:eastAsia="zh-CN"/>
        </w:rPr>
        <w:t>.技术</w:t>
      </w:r>
      <w:r>
        <w:rPr>
          <w:rFonts w:hint="eastAsia"/>
          <w:lang w:eastAsia="zh-CN"/>
        </w:rPr>
        <w:t>参选文件评选</w:t>
      </w:r>
    </w:p>
    <w:p>
      <w:pPr>
        <w:pStyle w:val="13"/>
        <w:spacing w:line="360" w:lineRule="auto"/>
        <w:ind w:right="121" w:firstLine="480" w:firstLineChars="200"/>
        <w:jc w:val="both"/>
        <w:rPr>
          <w:lang w:eastAsia="zh-CN"/>
        </w:rPr>
      </w:pPr>
      <w:r>
        <w:rPr>
          <w:rFonts w:hint="eastAsia"/>
          <w:lang w:eastAsia="zh-CN"/>
        </w:rPr>
        <w:t>资格符合业主要求方可进行商务报价评选。</w:t>
      </w:r>
    </w:p>
    <w:p>
      <w:pPr>
        <w:pStyle w:val="13"/>
        <w:spacing w:line="360" w:lineRule="auto"/>
        <w:ind w:right="121" w:firstLine="480" w:firstLineChars="200"/>
        <w:jc w:val="both"/>
        <w:rPr>
          <w:lang w:eastAsia="zh-CN"/>
        </w:rPr>
      </w:pPr>
      <w:r>
        <w:rPr>
          <w:rFonts w:hint="eastAsia"/>
          <w:lang w:eastAsia="zh-CN"/>
        </w:rPr>
        <w:t>2</w:t>
      </w:r>
      <w:r>
        <w:rPr>
          <w:lang w:eastAsia="zh-CN"/>
        </w:rPr>
        <w:t>.商务</w:t>
      </w:r>
      <w:r>
        <w:rPr>
          <w:rFonts w:hint="eastAsia"/>
          <w:lang w:eastAsia="zh-CN"/>
        </w:rPr>
        <w:t>参选文件评选</w:t>
      </w:r>
    </w:p>
    <w:p>
      <w:pPr>
        <w:pStyle w:val="13"/>
        <w:spacing w:line="360" w:lineRule="auto"/>
        <w:ind w:right="121" w:firstLine="480" w:firstLineChars="200"/>
        <w:jc w:val="both"/>
        <w:rPr>
          <w:lang w:eastAsia="zh-CN"/>
        </w:rPr>
      </w:pPr>
      <w:r>
        <w:rPr>
          <w:rFonts w:hint="eastAsia"/>
          <w:lang w:eastAsia="zh-CN"/>
        </w:rPr>
        <w:t>商务报价最低者中选。</w:t>
      </w:r>
    </w:p>
    <w:p>
      <w:pPr>
        <w:spacing w:line="360" w:lineRule="auto"/>
        <w:ind w:firstLine="458" w:firstLineChars="200"/>
        <w:rPr>
          <w:b/>
          <w:w w:val="95"/>
          <w:sz w:val="24"/>
          <w:szCs w:val="24"/>
          <w:lang w:eastAsia="zh-CN"/>
        </w:rPr>
      </w:pPr>
      <w:r>
        <w:rPr>
          <w:b/>
          <w:w w:val="95"/>
          <w:sz w:val="24"/>
          <w:szCs w:val="24"/>
          <w:lang w:eastAsia="zh-CN"/>
        </w:rPr>
        <w:t>四、以下情况作废选处理</w:t>
      </w:r>
    </w:p>
    <w:p>
      <w:pPr>
        <w:pStyle w:val="13"/>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3"/>
        <w:spacing w:line="360" w:lineRule="auto"/>
        <w:ind w:right="121" w:firstLine="480" w:firstLineChars="200"/>
        <w:jc w:val="both"/>
        <w:rPr>
          <w:lang w:eastAsia="zh-CN"/>
        </w:rPr>
      </w:pPr>
      <w:r>
        <w:rPr>
          <w:lang w:eastAsia="zh-CN"/>
        </w:rPr>
        <w:t>2.参选文件存在重大偏差的。</w:t>
      </w:r>
    </w:p>
    <w:p>
      <w:pPr>
        <w:pStyle w:val="13"/>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3"/>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line="360" w:lineRule="auto"/>
        <w:ind w:firstLine="458" w:firstLineChars="200"/>
        <w:rPr>
          <w:b/>
          <w:w w:val="95"/>
          <w:sz w:val="24"/>
          <w:szCs w:val="24"/>
          <w:lang w:eastAsia="zh-CN"/>
        </w:rPr>
      </w:pPr>
      <w:r>
        <w:rPr>
          <w:b/>
          <w:w w:val="95"/>
          <w:sz w:val="24"/>
          <w:szCs w:val="24"/>
          <w:lang w:eastAsia="zh-CN"/>
        </w:rPr>
        <w:t>五、评选</w:t>
      </w:r>
    </w:p>
    <w:p>
      <w:pPr>
        <w:pStyle w:val="13"/>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13"/>
        <w:spacing w:line="360" w:lineRule="auto"/>
        <w:ind w:right="121" w:firstLine="480" w:firstLineChars="200"/>
        <w:jc w:val="both"/>
        <w:rPr>
          <w:lang w:eastAsia="zh-CN"/>
        </w:rPr>
      </w:pPr>
      <w:r>
        <w:rPr>
          <w:lang w:eastAsia="zh-CN"/>
        </w:rPr>
        <w:t>2.在开选时没有启封和读出的参选文件，在评选时将不予考虑。</w:t>
      </w:r>
    </w:p>
    <w:p>
      <w:pPr>
        <w:pStyle w:val="13"/>
        <w:spacing w:line="360" w:lineRule="auto"/>
        <w:ind w:right="121" w:firstLine="480" w:firstLineChars="200"/>
        <w:jc w:val="both"/>
        <w:rPr>
          <w:lang w:eastAsia="zh-CN"/>
        </w:rPr>
      </w:pPr>
      <w:r>
        <w:rPr>
          <w:lang w:eastAsia="zh-CN"/>
        </w:rPr>
        <w:t>3.比选人将做开选记录。</w:t>
      </w:r>
    </w:p>
    <w:p>
      <w:pPr>
        <w:pStyle w:val="13"/>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60" w:lineRule="auto"/>
        <w:ind w:left="367" w:leftChars="167" w:firstLine="360" w:firstLineChars="150"/>
        <w:jc w:val="both"/>
        <w:rPr>
          <w:b w:val="0"/>
          <w:sz w:val="24"/>
          <w:szCs w:val="24"/>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rPr>
          <w:lang w:eastAsia="zh-CN"/>
        </w:rPr>
      </w:pPr>
    </w:p>
    <w:p>
      <w:pPr>
        <w:pStyle w:val="2"/>
      </w:pPr>
    </w:p>
    <w:p>
      <w:pPr>
        <w:pStyle w:val="2"/>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before="12"/>
        <w:rPr>
          <w:b/>
          <w:sz w:val="33"/>
          <w:lang w:eastAsia="zh-CN"/>
        </w:rPr>
      </w:pP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福建福海创石油化工有限公司的权属子公司“腾龙芳烃（漳州）有限公司”作为合同执行主体，将于中选通知书发出之日起20个工作日内与中选人完成合同签订事宜。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before="12"/>
        <w:rPr>
          <w:b/>
          <w:sz w:val="33"/>
          <w:lang w:eastAsia="zh-CN"/>
        </w:rPr>
      </w:pP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sz w:val="24"/>
          <w:szCs w:val="24"/>
          <w:lang w:eastAsia="zh-CN"/>
        </w:rPr>
        <w:t>2.</w:t>
      </w:r>
      <w:r>
        <w:rPr>
          <w:spacing w:val="-2"/>
          <w:sz w:val="24"/>
          <w:szCs w:val="24"/>
          <w:lang w:eastAsia="zh-CN"/>
        </w:rPr>
        <w:t>中选单位必须严格执行</w:t>
      </w:r>
      <w:r>
        <w:rPr>
          <w:rFonts w:hint="eastAsia" w:asciiTheme="majorEastAsia" w:hAnsiTheme="majorEastAsia" w:eastAsiaTheme="majorEastAsia"/>
          <w:sz w:val="24"/>
          <w:szCs w:val="24"/>
          <w:u w:val="single"/>
          <w:lang w:eastAsia="zh-CN"/>
        </w:rPr>
        <w:t>2021年电力监控系统等级保护测评及安全防护评估与整改加固</w:t>
      </w:r>
      <w:r>
        <w:rPr>
          <w:rFonts w:hint="eastAsia" w:asciiTheme="majorEastAsia" w:hAnsiTheme="majorEastAsia" w:eastAsiaTheme="majorEastAsia"/>
          <w:bCs/>
          <w:sz w:val="24"/>
          <w:szCs w:val="24"/>
          <w:u w:val="single"/>
          <w:lang w:eastAsia="zh-CN"/>
        </w:rPr>
        <w:t>项目</w:t>
      </w:r>
      <w:r>
        <w:rPr>
          <w:spacing w:val="-2"/>
          <w:sz w:val="24"/>
          <w:szCs w:val="24"/>
          <w:lang w:eastAsia="zh-CN"/>
        </w:rPr>
        <w:t>合同</w:t>
      </w:r>
      <w:r>
        <w:rPr>
          <w:sz w:val="24"/>
          <w:szCs w:val="24"/>
          <w:lang w:eastAsia="zh-CN"/>
        </w:rPr>
        <w:t>（详见附件一</w:t>
      </w:r>
      <w:r>
        <w:rPr>
          <w:spacing w:val="-17"/>
          <w:sz w:val="24"/>
          <w:szCs w:val="24"/>
          <w:lang w:eastAsia="zh-CN"/>
        </w:rPr>
        <w:t>）</w:t>
      </w:r>
      <w:r>
        <w:rPr>
          <w:spacing w:val="-13"/>
          <w:sz w:val="24"/>
          <w:szCs w:val="24"/>
          <w:lang w:eastAsia="zh-CN"/>
        </w:rPr>
        <w:t>、《承诺函》</w:t>
      </w:r>
      <w:r>
        <w:rPr>
          <w:sz w:val="24"/>
          <w:szCs w:val="24"/>
          <w:lang w:eastAsia="zh-CN"/>
        </w:rPr>
        <w:t>（详见附件二</w:t>
      </w:r>
      <w:r>
        <w:rPr>
          <w:spacing w:val="-17"/>
          <w:sz w:val="24"/>
          <w:szCs w:val="24"/>
          <w:lang w:eastAsia="zh-CN"/>
        </w:rPr>
        <w:t>）</w:t>
      </w:r>
      <w:r>
        <w:rPr>
          <w:sz w:val="24"/>
          <w:szCs w:val="24"/>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rPr>
          <w:b/>
          <w:sz w:val="28"/>
          <w:lang w:eastAsia="zh-CN"/>
        </w:rPr>
      </w:pPr>
    </w:p>
    <w:p>
      <w:pPr>
        <w:pStyle w:val="13"/>
        <w:spacing w:before="12" w:line="360" w:lineRule="auto"/>
        <w:rPr>
          <w:b/>
          <w:sz w:val="33"/>
          <w:lang w:eastAsia="zh-CN"/>
        </w:rPr>
      </w:pP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pStyle w:val="16"/>
        <w:spacing w:line="360" w:lineRule="auto"/>
        <w:jc w:val="center"/>
        <w:rPr>
          <w:rFonts w:hAnsi="宋体"/>
          <w:b/>
          <w:sz w:val="36"/>
          <w:szCs w:val="36"/>
          <w:lang w:eastAsia="zh-CN"/>
        </w:rPr>
      </w:pPr>
      <w:r>
        <w:rPr>
          <w:rFonts w:hint="eastAsia" w:hAnsi="宋体"/>
          <w:b/>
          <w:sz w:val="36"/>
          <w:szCs w:val="36"/>
          <w:lang w:eastAsia="zh-CN"/>
        </w:rPr>
        <w:t>腾龙芳烃（漳州）有限公司</w:t>
      </w:r>
    </w:p>
    <w:p>
      <w:pPr>
        <w:pStyle w:val="16"/>
        <w:spacing w:line="360" w:lineRule="auto"/>
        <w:jc w:val="center"/>
        <w:rPr>
          <w:rFonts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2021年电力监控系统等级保护测评及安全防护</w:t>
      </w:r>
    </w:p>
    <w:p>
      <w:pPr>
        <w:pStyle w:val="16"/>
        <w:spacing w:line="360" w:lineRule="auto"/>
        <w:jc w:val="center"/>
        <w:rPr>
          <w:rFonts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评估与整改加固</w:t>
      </w:r>
      <w:r>
        <w:rPr>
          <w:rFonts w:hint="eastAsia" w:asciiTheme="majorEastAsia" w:hAnsiTheme="majorEastAsia" w:eastAsiaTheme="majorEastAsia"/>
          <w:b/>
          <w:bCs/>
          <w:sz w:val="36"/>
          <w:szCs w:val="36"/>
          <w:lang w:eastAsia="zh-CN"/>
        </w:rPr>
        <w:t>项目</w:t>
      </w:r>
      <w:r>
        <w:rPr>
          <w:rFonts w:hint="eastAsia" w:hAnsi="宋体"/>
          <w:b/>
          <w:sz w:val="36"/>
          <w:szCs w:val="36"/>
          <w:lang w:eastAsia="zh-CN"/>
        </w:rPr>
        <w:t>技术服务合同</w:t>
      </w:r>
    </w:p>
    <w:p>
      <w:pPr>
        <w:pStyle w:val="16"/>
        <w:spacing w:line="400" w:lineRule="exact"/>
        <w:ind w:right="480"/>
        <w:jc w:val="center"/>
        <w:rPr>
          <w:rFonts w:hAnsi="宋体"/>
          <w:sz w:val="24"/>
          <w:szCs w:val="24"/>
          <w:lang w:eastAsia="zh-CN"/>
        </w:rPr>
      </w:pPr>
      <w:r>
        <w:rPr>
          <w:rFonts w:hint="eastAsia" w:hAnsi="宋体"/>
          <w:sz w:val="24"/>
          <w:szCs w:val="24"/>
          <w:lang w:eastAsia="zh-CN"/>
        </w:rPr>
        <w:t xml:space="preserve">        合同编号：</w:t>
      </w:r>
    </w:p>
    <w:p>
      <w:pPr>
        <w:pStyle w:val="16"/>
        <w:spacing w:line="400" w:lineRule="exact"/>
        <w:jc w:val="center"/>
        <w:rPr>
          <w:rFonts w:hAnsi="宋体"/>
          <w:sz w:val="24"/>
          <w:szCs w:val="24"/>
          <w:lang w:eastAsia="zh-CN"/>
        </w:rPr>
      </w:pPr>
      <w:r>
        <w:rPr>
          <w:rFonts w:hint="eastAsia" w:hAnsi="宋体"/>
          <w:sz w:val="24"/>
          <w:szCs w:val="24"/>
          <w:lang w:eastAsia="zh-CN"/>
        </w:rPr>
        <w:t xml:space="preserve">                       签订日期：     年    月    日</w:t>
      </w:r>
    </w:p>
    <w:p>
      <w:pPr>
        <w:pStyle w:val="16"/>
        <w:spacing w:line="400" w:lineRule="exact"/>
        <w:rPr>
          <w:rFonts w:hAnsi="宋体"/>
          <w:sz w:val="32"/>
          <w:szCs w:val="32"/>
          <w:lang w:eastAsia="zh-CN"/>
        </w:rPr>
      </w:pP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委托方（甲方）</w:t>
      </w:r>
      <w:r>
        <w:rPr>
          <w:rFonts w:hint="eastAsia" w:asciiTheme="minorEastAsia" w:hAnsiTheme="minorEastAsia" w:eastAsiaTheme="minorEastAsia"/>
          <w:sz w:val="24"/>
          <w:szCs w:val="24"/>
          <w:lang w:eastAsia="zh-CN"/>
        </w:rPr>
        <w:t>：腾龙芳烃（漳州）有限公司</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福建省漳州市古雷开发区腾龙路84号</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：陈重炫</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：0596-6311299</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 chenzx@fhcpec.com.cn</w:t>
      </w:r>
    </w:p>
    <w:p>
      <w:pPr>
        <w:pStyle w:val="16"/>
        <w:spacing w:line="360" w:lineRule="auto"/>
        <w:rPr>
          <w:rFonts w:asciiTheme="minorEastAsia" w:hAnsiTheme="minorEastAsia" w:eastAsiaTheme="minorEastAsia"/>
          <w:sz w:val="24"/>
          <w:szCs w:val="24"/>
          <w:lang w:eastAsia="zh-CN"/>
        </w:rPr>
      </w:pP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受托方（乙方）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项目联系人：</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传    真：</w:t>
      </w:r>
      <w:r>
        <w:rPr>
          <w:rFonts w:hint="eastAsia" w:asciiTheme="minorEastAsia" w:hAnsiTheme="minorEastAsia" w:eastAsiaTheme="minorEastAsia"/>
          <w:sz w:val="24"/>
          <w:szCs w:val="24"/>
          <w:lang w:eastAsia="zh-CN"/>
        </w:rPr>
        <w:tab/>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本合同由甲方委托乙方就</w:t>
      </w:r>
      <w:r>
        <w:rPr>
          <w:rFonts w:hint="eastAsia" w:asciiTheme="minorEastAsia" w:hAnsiTheme="minorEastAsia" w:eastAsiaTheme="minorEastAsia"/>
          <w:sz w:val="24"/>
          <w:szCs w:val="24"/>
          <w:u w:val="single"/>
          <w:lang w:eastAsia="zh-CN"/>
        </w:rPr>
        <w:t xml:space="preserve"> 腾龙芳烃（漳州）有限公司2021年电力监控系统等级保护测评及安全防护评估与整改加固项目</w:t>
      </w:r>
      <w:r>
        <w:rPr>
          <w:rFonts w:hint="eastAsia" w:asciiTheme="minorEastAsia" w:hAnsiTheme="minorEastAsia" w:eastAsiaTheme="minorEastAsia"/>
          <w:sz w:val="24"/>
          <w:szCs w:val="24"/>
          <w:lang w:eastAsia="zh-CN"/>
        </w:rPr>
        <w:t>进行技术服务及咨询，并支付技术服务及咨询报酬。双方经过平等协商，在真实、充分地表达各自意愿的基础上，根据《中华人民共和国民典法》的规定，达成如下协议，并由双方共同恪守。</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第一条</w:t>
      </w:r>
      <w:r>
        <w:rPr>
          <w:rFonts w:hint="eastAsia" w:asciiTheme="minorEastAsia" w:hAnsiTheme="minorEastAsia" w:eastAsiaTheme="minorEastAsia"/>
          <w:sz w:val="24"/>
          <w:szCs w:val="24"/>
          <w:lang w:eastAsia="zh-CN"/>
        </w:rPr>
        <w:t>　乙方进行技术咨询的内容、要求、方式：</w:t>
      </w:r>
    </w:p>
    <w:p>
      <w:pPr>
        <w:pStyle w:val="16"/>
        <w:spacing w:line="360" w:lineRule="auto"/>
        <w:ind w:left="2760" w:hanging="2760" w:hangingChars="1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1.技术服务及咨询内容：</w:t>
      </w:r>
      <w:r>
        <w:rPr>
          <w:rFonts w:hint="eastAsia" w:asciiTheme="minorEastAsia" w:hAnsiTheme="minorEastAsia" w:eastAsiaTheme="minorEastAsia"/>
          <w:sz w:val="24"/>
          <w:szCs w:val="24"/>
          <w:u w:val="single"/>
          <w:lang w:eastAsia="zh-CN"/>
        </w:rPr>
        <w:t xml:space="preserve">电力监控系统等级保护测评及安全防护评估与整改加固项目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2.技术服务及咨询要求：</w:t>
      </w:r>
      <w:r>
        <w:rPr>
          <w:rFonts w:hint="eastAsia" w:asciiTheme="minorEastAsia" w:hAnsiTheme="minorEastAsia" w:eastAsiaTheme="minorEastAsia"/>
          <w:sz w:val="24"/>
          <w:szCs w:val="24"/>
          <w:u w:val="single"/>
          <w:lang w:eastAsia="zh-CN"/>
        </w:rPr>
        <w:t xml:space="preserve"> 见“发包说明”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第二条</w:t>
      </w:r>
      <w:r>
        <w:rPr>
          <w:rFonts w:hint="eastAsia" w:asciiTheme="minorEastAsia" w:hAnsiTheme="minorEastAsia" w:eastAsiaTheme="minorEastAsia"/>
          <w:sz w:val="24"/>
          <w:szCs w:val="24"/>
          <w:lang w:eastAsia="zh-CN"/>
        </w:rPr>
        <w:t xml:space="preserve"> 乙方按照下列要求进行本合同项目的技术咨询工作：</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1.技术服务及咨询地点：</w:t>
      </w:r>
      <w:r>
        <w:rPr>
          <w:rFonts w:hint="eastAsia" w:asciiTheme="minorEastAsia" w:hAnsiTheme="minorEastAsia" w:eastAsiaTheme="minorEastAsia"/>
          <w:sz w:val="24"/>
          <w:szCs w:val="24"/>
          <w:u w:val="single"/>
          <w:lang w:eastAsia="zh-CN"/>
        </w:rPr>
        <w:t xml:space="preserve"> 腾龙芳烃（漳州）有限公司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2.技术服务及咨询期限：</w:t>
      </w:r>
      <w:r>
        <w:rPr>
          <w:rFonts w:hint="eastAsia" w:asciiTheme="minorEastAsia" w:hAnsiTheme="minorEastAsia" w:eastAsiaTheme="minorEastAsia"/>
          <w:sz w:val="24"/>
          <w:szCs w:val="24"/>
          <w:u w:val="single"/>
          <w:lang w:eastAsia="zh-CN"/>
        </w:rPr>
        <w:t xml:space="preserve">  合同生效后3个月（暂定）,甲方确认。  </w:t>
      </w:r>
    </w:p>
    <w:p>
      <w:pPr>
        <w:pStyle w:val="16"/>
        <w:spacing w:line="360" w:lineRule="auto"/>
        <w:ind w:left="1"/>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3.技术服务及咨询进度：</w:t>
      </w:r>
      <w:r>
        <w:rPr>
          <w:rFonts w:hint="eastAsia" w:asciiTheme="minorEastAsia" w:hAnsiTheme="minorEastAsia" w:eastAsiaTheme="minorEastAsia"/>
          <w:sz w:val="24"/>
          <w:szCs w:val="24"/>
          <w:u w:val="single"/>
          <w:lang w:eastAsia="zh-CN"/>
        </w:rPr>
        <w:t xml:space="preserve">  依据甲方现场情况执行，乙方须无条件根据甲方厂区工作进度计划的总体安排开展相关技术服务工作，并满足工期调整的要求。 </w:t>
      </w:r>
    </w:p>
    <w:p>
      <w:pPr>
        <w:pStyle w:val="16"/>
        <w:spacing w:line="360" w:lineRule="auto"/>
        <w:ind w:left="1"/>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4、技术服务及咨询质量要求：</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napToGrid w:val="0"/>
          <w:color w:val="000000"/>
          <w:sz w:val="24"/>
          <w:szCs w:val="24"/>
          <w:u w:val="single"/>
          <w:lang w:eastAsia="zh-CN"/>
        </w:rPr>
        <w:t>使</w:t>
      </w:r>
      <w:r>
        <w:rPr>
          <w:rFonts w:hint="eastAsia" w:asciiTheme="minorEastAsia" w:hAnsiTheme="minorEastAsia" w:eastAsiaTheme="minorEastAsia"/>
          <w:snapToGrid w:val="0"/>
          <w:color w:val="000000"/>
          <w:sz w:val="24"/>
          <w:szCs w:val="24"/>
          <w:u w:val="single"/>
          <w:lang w:eastAsia="zh-CN"/>
        </w:rPr>
        <w:t>甲方电力</w:t>
      </w:r>
      <w:r>
        <w:rPr>
          <w:rFonts w:asciiTheme="minorEastAsia" w:hAnsiTheme="minorEastAsia" w:eastAsiaTheme="minorEastAsia"/>
          <w:snapToGrid w:val="0"/>
          <w:color w:val="000000"/>
          <w:sz w:val="24"/>
          <w:szCs w:val="24"/>
          <w:u w:val="single"/>
          <w:lang w:eastAsia="zh-CN"/>
        </w:rPr>
        <w:t>系统正常投入运行、完成</w:t>
      </w:r>
      <w:r>
        <w:rPr>
          <w:rFonts w:hint="eastAsia" w:asciiTheme="minorEastAsia" w:hAnsiTheme="minorEastAsia" w:eastAsiaTheme="minorEastAsia"/>
          <w:snapToGrid w:val="0"/>
          <w:color w:val="000000"/>
          <w:sz w:val="24"/>
          <w:szCs w:val="24"/>
          <w:u w:val="single"/>
          <w:lang w:eastAsia="zh-CN"/>
        </w:rPr>
        <w:t>24</w:t>
      </w:r>
      <w:r>
        <w:rPr>
          <w:rFonts w:asciiTheme="minorEastAsia" w:hAnsiTheme="minorEastAsia" w:eastAsiaTheme="minorEastAsia"/>
          <w:snapToGrid w:val="0"/>
          <w:color w:val="000000"/>
          <w:sz w:val="24"/>
          <w:szCs w:val="24"/>
          <w:u w:val="single"/>
          <w:lang w:eastAsia="zh-CN"/>
        </w:rPr>
        <w:t>小时连续试运行并达标</w:t>
      </w:r>
      <w:r>
        <w:rPr>
          <w:rFonts w:hint="eastAsia" w:asciiTheme="minorEastAsia" w:hAnsiTheme="minorEastAsia" w:eastAsiaTheme="minorEastAsia"/>
          <w:snapToGrid w:val="0"/>
          <w:color w:val="000000"/>
          <w:sz w:val="24"/>
          <w:szCs w:val="24"/>
          <w:u w:val="single"/>
          <w:lang w:eastAsia="zh-CN"/>
        </w:rPr>
        <w:t>；</w:t>
      </w:r>
      <w:r>
        <w:rPr>
          <w:rFonts w:hint="eastAsia"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5、技术服务及咨询质量期限要求：</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napToGrid w:val="0"/>
          <w:color w:val="000000"/>
          <w:sz w:val="24"/>
          <w:szCs w:val="24"/>
          <w:u w:val="single"/>
          <w:lang w:eastAsia="zh-CN"/>
        </w:rPr>
        <w:t>24</w:t>
      </w:r>
      <w:r>
        <w:rPr>
          <w:rFonts w:asciiTheme="minorEastAsia" w:hAnsiTheme="minorEastAsia" w:eastAsiaTheme="minorEastAsia"/>
          <w:snapToGrid w:val="0"/>
          <w:color w:val="000000"/>
          <w:sz w:val="24"/>
          <w:szCs w:val="24"/>
          <w:u w:val="single"/>
          <w:lang w:eastAsia="zh-CN"/>
        </w:rPr>
        <w:t>小时连续试运行</w:t>
      </w:r>
      <w:r>
        <w:rPr>
          <w:rFonts w:hint="eastAsia"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第三条</w:t>
      </w:r>
      <w:r>
        <w:rPr>
          <w:rFonts w:hint="eastAsia" w:asciiTheme="minorEastAsia" w:hAnsiTheme="minorEastAsia" w:eastAsiaTheme="minorEastAsia"/>
          <w:sz w:val="24"/>
          <w:szCs w:val="24"/>
          <w:lang w:eastAsia="zh-CN"/>
        </w:rPr>
        <w:t xml:space="preserve"> 为保证乙方有效进行技术咨询工作，甲方应当向乙方提供下列协作事项：</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提供技术资料：</w:t>
      </w:r>
      <w:r>
        <w:rPr>
          <w:rFonts w:hint="eastAsia" w:asciiTheme="minorEastAsia" w:hAnsiTheme="minorEastAsia" w:eastAsiaTheme="minorEastAsia"/>
          <w:sz w:val="24"/>
          <w:szCs w:val="24"/>
          <w:u w:val="single"/>
          <w:lang w:eastAsia="zh-CN"/>
        </w:rPr>
        <w:t xml:space="preserve">   按工作要求提供相关的资料和信息，详见技术规范书   </w:t>
      </w:r>
      <w:r>
        <w:rPr>
          <w:rFonts w:hint="eastAsia" w:asciiTheme="minorEastAsia" w:hAnsiTheme="minorEastAsia" w:eastAsiaTheme="minorEastAsia"/>
          <w:sz w:val="24"/>
          <w:szCs w:val="24"/>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提供工作条件：</w:t>
      </w:r>
      <w:r>
        <w:rPr>
          <w:rFonts w:hint="eastAsia" w:asciiTheme="minorEastAsia" w:hAnsiTheme="minorEastAsia" w:eastAsiaTheme="minorEastAsia"/>
          <w:sz w:val="24"/>
          <w:szCs w:val="24"/>
          <w:u w:val="single"/>
          <w:lang w:eastAsia="zh-CN"/>
        </w:rPr>
        <w:t xml:space="preserve">   详见技术规范书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w:t>
      </w:r>
      <w:r>
        <w:rPr>
          <w:rFonts w:hint="eastAsia" w:asciiTheme="minorEastAsia" w:hAnsiTheme="minorEastAsia" w:eastAsiaTheme="minorEastAsia"/>
          <w:sz w:val="24"/>
          <w:szCs w:val="24"/>
          <w:u w:val="single"/>
          <w:lang w:eastAsia="zh-CN"/>
        </w:rPr>
        <w:t xml:space="preserve">  无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r>
        <w:rPr>
          <w:rFonts w:hint="eastAsia" w:asciiTheme="minorEastAsia" w:hAnsiTheme="minorEastAsia" w:eastAsiaTheme="minorEastAsia"/>
          <w:sz w:val="24"/>
          <w:szCs w:val="24"/>
          <w:u w:val="single"/>
          <w:lang w:eastAsia="zh-CN"/>
        </w:rPr>
        <w:t xml:space="preserve">  甲方负责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第四条</w:t>
      </w:r>
      <w:r>
        <w:rPr>
          <w:rFonts w:hint="eastAsia" w:asciiTheme="minorEastAsia" w:hAnsiTheme="minorEastAsia" w:eastAsiaTheme="minorEastAsia"/>
          <w:sz w:val="24"/>
          <w:szCs w:val="24"/>
          <w:lang w:eastAsia="zh-CN"/>
        </w:rPr>
        <w:t xml:space="preserve"> 甲方向乙方支付技术服务及咨询报酬及支付方式为：</w:t>
      </w:r>
    </w:p>
    <w:p>
      <w:pPr>
        <w:pStyle w:val="16"/>
        <w:numPr>
          <w:ilvl w:val="0"/>
          <w:numId w:val="5"/>
        </w:numPr>
        <w:autoSpaceDE/>
        <w:autoSpaceDN/>
        <w:spacing w:line="36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技术服务及咨询报酬总价款为：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，税率   %  </w:t>
      </w:r>
    </w:p>
    <w:p>
      <w:pPr>
        <w:pStyle w:val="44"/>
        <w:widowControl/>
        <w:spacing w:before="0" w:line="360" w:lineRule="auto"/>
        <w:ind w:left="0" w:firstLine="482"/>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本合同的技术服务费为包干制，</w:t>
      </w:r>
      <w:r>
        <w:rPr>
          <w:rFonts w:hint="eastAsia" w:asciiTheme="minorEastAsia" w:hAnsiTheme="minorEastAsia" w:eastAsiaTheme="minorEastAsia"/>
          <w:sz w:val="24"/>
          <w:lang w:eastAsia="zh-CN"/>
        </w:rPr>
        <w:t>费用包括乙方工作涉及到的劳务费、管理费、工具费、劳保费、所有税费、各种保险、安全费用、利润、食宿费、运输费、耗材费及合同涉及到的所有风险、责任、义务等费用</w:t>
      </w:r>
      <w:r>
        <w:rPr>
          <w:rFonts w:hint="eastAsia" w:asciiTheme="minorEastAsia" w:hAnsiTheme="minorEastAsia" w:eastAsiaTheme="minorEastAsia"/>
          <w:color w:val="000000"/>
          <w:sz w:val="24"/>
          <w:lang w:eastAsia="zh-CN"/>
        </w:rPr>
        <w:t>。乙方根据实际需要增加或者减少工作人员数量，本合同总价不变。</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 具体支付方式和时间分配如下：</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1）预付款：无</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2）验收款：工作完成并经甲方及政府相关部门验收合格后，支付合同总价100%（即</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元）作为验收款，</w:t>
      </w:r>
      <w:r>
        <w:rPr>
          <w:rFonts w:hint="eastAsia"/>
          <w:sz w:val="24"/>
          <w:lang w:eastAsia="zh-CN"/>
        </w:rPr>
        <w:t>领取</w:t>
      </w:r>
      <w:r>
        <w:rPr>
          <w:rFonts w:hint="eastAsia" w:asciiTheme="minorEastAsia" w:hAnsiTheme="minorEastAsia" w:eastAsiaTheme="minorEastAsia"/>
          <w:sz w:val="24"/>
          <w:szCs w:val="24"/>
          <w:lang w:eastAsia="zh-CN"/>
        </w:rPr>
        <w:t>《等级保护测评报告》及《安全防护评估报告》。</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3）乙方应在甲方付款期限届满</w:t>
      </w:r>
      <w:r>
        <w:rPr>
          <w:rFonts w:hint="eastAsia" w:asciiTheme="minorEastAsia" w:hAnsiTheme="minorEastAsia" w:eastAsiaTheme="minorEastAsia"/>
          <w:sz w:val="24"/>
          <w:szCs w:val="24"/>
          <w:u w:val="single"/>
          <w:lang w:eastAsia="zh-CN"/>
        </w:rPr>
        <w:t xml:space="preserve"> 10</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日前提供全额的</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%增值税专用发票，否则甲方有权顺延付款。上述技术服务及咨询报酬直接支付至乙方指定的下列账号：</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公司名称：</w:t>
      </w:r>
      <w:r>
        <w:rPr>
          <w:rFonts w:hint="eastAsia" w:asciiTheme="minorEastAsia" w:hAnsiTheme="minorEastAsia" w:eastAsiaTheme="minorEastAsia"/>
          <w:sz w:val="24"/>
          <w:szCs w:val="24"/>
          <w:u w:val="single"/>
          <w:lang w:eastAsia="zh-CN"/>
        </w:rPr>
        <w:t xml:space="preserve">           </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开户银行：</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 xml:space="preserve"> </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账    号：</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第五条</w:t>
      </w:r>
      <w:r>
        <w:rPr>
          <w:rFonts w:hint="eastAsia" w:asciiTheme="minorEastAsia" w:hAnsiTheme="minorEastAsia" w:eastAsiaTheme="minorEastAsia"/>
          <w:sz w:val="24"/>
          <w:szCs w:val="24"/>
          <w:lang w:eastAsia="zh-CN"/>
        </w:rPr>
        <w:t xml:space="preserve"> 双方确定因履行本合同应遵守的保密义务如下：</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1.保密内容：乙方提供的资料，服务咨询报告及该服务咨询报告的附件资料除外。</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2.涉密人员范围：甲方及甲方工作人员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  按本合同约定及国家有关保密法的规定执行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1.保密内容：甲方提供的资料以及乙方在提供本合同约定服务过程中知悉的甲方技术信息、经营信息、生产工艺、操作流程等。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2.涉密人员范围：乙方及乙方工作人员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3.泄密责任：按本合同约定及国家有关保密法的规定执行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注：具体见</w:t>
      </w:r>
      <w:r>
        <w:rPr>
          <w:rFonts w:hint="eastAsia" w:asciiTheme="minorEastAsia" w:hAnsiTheme="minorEastAsia" w:eastAsiaTheme="minorEastAsia"/>
          <w:b/>
          <w:sz w:val="24"/>
          <w:szCs w:val="24"/>
          <w:lang w:eastAsia="zh-CN"/>
        </w:rPr>
        <w:t>附件四“保密协议”</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第六条</w:t>
      </w:r>
      <w:r>
        <w:rPr>
          <w:rFonts w:hint="eastAsia" w:asciiTheme="minorEastAsia" w:hAnsiTheme="minorEastAsia" w:eastAsiaTheme="minorEastAsia"/>
          <w:sz w:val="24"/>
          <w:szCs w:val="24"/>
          <w:lang w:eastAsia="zh-CN"/>
        </w:rPr>
        <w:t xml:space="preserve"> 本合同的变更必须由双方协商一致，并以书面形式确定。</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第七条</w:t>
      </w:r>
      <w:r>
        <w:rPr>
          <w:rFonts w:hint="eastAsia" w:asciiTheme="minorEastAsia" w:hAnsiTheme="minorEastAsia" w:eastAsiaTheme="minorEastAsia"/>
          <w:sz w:val="24"/>
          <w:szCs w:val="24"/>
          <w:lang w:eastAsia="zh-CN"/>
        </w:rPr>
        <w:t xml:space="preserve"> 双方确定，按以下标准和方式对乙方提交的技术咨询工作成果进行验收：</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1、乙方提交技术服务工作成果的形式：</w:t>
      </w:r>
      <w:r>
        <w:rPr>
          <w:rFonts w:hint="eastAsia" w:asciiTheme="minorEastAsia" w:hAnsiTheme="minorEastAsia" w:eastAsiaTheme="minorEastAsia"/>
          <w:sz w:val="24"/>
          <w:szCs w:val="24"/>
          <w:u w:val="single"/>
          <w:lang w:eastAsia="zh-CN"/>
        </w:rPr>
        <w:t xml:space="preserve"> 按验收测试大纲进行，全过程须有甲方在场见证，具体见发包说明书。</w:t>
      </w:r>
      <w:r>
        <w:rPr>
          <w:rFonts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2、技术服务工作成果的验收标准：</w:t>
      </w:r>
    </w:p>
    <w:p>
      <w:pPr>
        <w:spacing w:line="360" w:lineRule="auto"/>
        <w:ind w:firstLine="480" w:firstLineChars="200"/>
        <w:rPr>
          <w:sz w:val="24"/>
          <w:lang w:eastAsia="zh-CN"/>
        </w:rPr>
      </w:pPr>
      <w:r>
        <w:rPr>
          <w:rFonts w:hint="eastAsia"/>
          <w:sz w:val="24"/>
          <w:lang w:eastAsia="zh-CN"/>
        </w:rPr>
        <w:t>乙方应依照相关国家、行业标准提供用于本项目的合格设备、材料及组织实施。以发包说明书中1.3条标准和规范作为完成本项目所需的基本标准及规范，如在工作中需引用其他标准或规范，则该标准或规范同样是承揽商所遵循的依据，若当技术标准、规范、工程图等出现矛盾时，除特别规定外，其余依照要求高的规范执行，并及时通知甲方审核确认。若在工作前有更高版本时，按更高版本来执行。</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3、验收地点：</w:t>
      </w:r>
      <w:r>
        <w:rPr>
          <w:rFonts w:hint="eastAsia" w:asciiTheme="minorEastAsia" w:hAnsiTheme="minorEastAsia" w:eastAsiaTheme="minorEastAsia"/>
          <w:sz w:val="24"/>
          <w:szCs w:val="24"/>
          <w:u w:val="single"/>
          <w:lang w:eastAsia="zh-CN"/>
        </w:rPr>
        <w:t xml:space="preserve">  腾龙芳烃（漳州）有限公司</w:t>
      </w:r>
      <w:r>
        <w:rPr>
          <w:rFonts w:asciiTheme="minorEastAsia" w:hAnsiTheme="minorEastAsia" w:eastAsiaTheme="minorEastAsia"/>
          <w:sz w:val="24"/>
          <w:szCs w:val="24"/>
          <w:u w:val="single"/>
          <w:lang w:eastAsia="zh-CN"/>
        </w:rPr>
        <w:t xml:space="preserve"> </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第八条</w:t>
      </w:r>
      <w:r>
        <w:rPr>
          <w:rFonts w:hint="eastAsia" w:asciiTheme="minorEastAsia" w:hAnsiTheme="minorEastAsia" w:eastAsiaTheme="minorEastAsia"/>
          <w:sz w:val="24"/>
          <w:szCs w:val="24"/>
          <w:lang w:eastAsia="zh-CN"/>
        </w:rPr>
        <w:t xml:space="preserve"> 双方确定，甲方指定</w:t>
      </w:r>
      <w:r>
        <w:rPr>
          <w:rFonts w:hint="eastAsia" w:asciiTheme="minorEastAsia" w:hAnsiTheme="minorEastAsia" w:eastAsiaTheme="minorEastAsia"/>
          <w:sz w:val="24"/>
          <w:szCs w:val="24"/>
          <w:u w:val="single"/>
          <w:lang w:eastAsia="zh-CN"/>
        </w:rPr>
        <w:t xml:space="preserve"> 陈重炫0596-6311299</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16"/>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 xml:space="preserve">   </w:t>
      </w:r>
      <w:r>
        <w:rPr>
          <w:rFonts w:hint="eastAsia" w:hAnsi="宋体" w:cs="宋体"/>
          <w:sz w:val="24"/>
          <w:u w:val="single"/>
          <w:lang w:eastAsia="zh-CN"/>
        </w:rPr>
        <w:t>联系具体项目进度并实施</w:t>
      </w:r>
      <w:r>
        <w:rPr>
          <w:rFonts w:asciiTheme="minorEastAsia" w:hAnsiTheme="minorEastAsia" w:eastAsiaTheme="minorEastAsia"/>
          <w:sz w:val="24"/>
          <w:szCs w:val="24"/>
          <w:u w:val="single"/>
          <w:lang w:eastAsia="zh-CN"/>
        </w:rPr>
        <w:t xml:space="preserve">     </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第九条</w:t>
      </w:r>
      <w:r>
        <w:rPr>
          <w:rFonts w:hint="eastAsia" w:asciiTheme="minorEastAsia" w:hAnsiTheme="minorEastAsia" w:eastAsiaTheme="minorEastAsia"/>
          <w:sz w:val="24"/>
          <w:szCs w:val="24"/>
          <w:lang w:eastAsia="zh-CN"/>
        </w:rPr>
        <w:t xml:space="preserve"> 甲乙方的责任和义务</w:t>
      </w:r>
    </w:p>
    <w:p>
      <w:pPr>
        <w:pStyle w:val="16"/>
        <w:numPr>
          <w:ilvl w:val="0"/>
          <w:numId w:val="6"/>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乙方责任</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合同的各项规定，乙方应按照甲方工厂章程开展工作，精心组织，加强质量控制，按时完成本合同项目工作及其服务缺陷的恢复，确保测评及评估工作质量。为此，乙方应按合同规定提供所需的全部监督管理、劳务、材料、设备和其他物品。</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乙方应为本合同的工作内容建立强有力的质保体系和质检系统，按质量体系文件要求开展全面质量管理，确保工作质量。乙方应执行国家和电力行业的法规与文件，服从甲方的质量管理要求。具体做到：</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建立质量责任制；</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1）对现场人员加强质量教育，强化质量意识，开工前技术交底；</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2）加强质量监控，确保规范规定的检验，现场质检的原始资料必须真实、准确、可靠；</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3）必须完备检验手段，要根据技术规范的规定配齐检测和试验仪器、仪表；</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乙方应负担由于服务措施不当（或欠考虑）而造成的全部损失，乙方应采取有效措施使得服务作业不至于损害乙方及他人的人身、设备、设施等，乙方对由此引起的事件负有全部责任，保障甲方免于承担由乙方负责事项所导致的诉讼、行政处罚或一切索赔、罚款。</w:t>
      </w:r>
    </w:p>
    <w:p>
      <w:pPr>
        <w:pStyle w:val="16"/>
        <w:numPr>
          <w:ilvl w:val="0"/>
          <w:numId w:val="6"/>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甲方责任</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1）将负责测评实施过程中同相关单位和部门的协调，在取得甲方同意的情况下为乙方提供的工作、生活必要的帮助；</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2）向乙方提供良好的工作场地和环境；</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3）协调工作现场上的各相互交叉作业关系，及时处理有关问题；</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4）按工作要求提供相关的资料和信息；</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5）准备应急措施，负责实施过程中的紧急情况的处理。</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第十条</w:t>
      </w:r>
      <w:r>
        <w:rPr>
          <w:rFonts w:hint="eastAsia" w:asciiTheme="minorEastAsia" w:hAnsiTheme="minorEastAsia" w:eastAsiaTheme="minorEastAsia"/>
          <w:sz w:val="24"/>
          <w:szCs w:val="24"/>
          <w:lang w:eastAsia="zh-CN"/>
        </w:rPr>
        <w:t xml:space="preserve">  保险</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除非合同另有规定，在本合同工程的施工和缺陷修复过程中，甲方对乙方的人身死亡或伤残，或财产的损失或损害不予赔偿。甲方也不对乙方与此有关的索赔、损害、赔偿及诉讼等费用和其他开支承担责任。</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第十一条</w:t>
      </w:r>
      <w:r>
        <w:rPr>
          <w:rFonts w:hint="eastAsia" w:asciiTheme="minorEastAsia" w:hAnsiTheme="minorEastAsia" w:eastAsiaTheme="minorEastAsia"/>
          <w:sz w:val="24"/>
          <w:szCs w:val="24"/>
          <w:lang w:eastAsia="zh-CN"/>
        </w:rPr>
        <w:t xml:space="preserve">  违约责任</w:t>
      </w:r>
    </w:p>
    <w:p>
      <w:pPr>
        <w:spacing w:line="360" w:lineRule="auto"/>
        <w:rPr>
          <w:rStyle w:val="53"/>
          <w:rFonts w:asciiTheme="minorEastAsia" w:hAnsiTheme="minorEastAsia" w:eastAsiaTheme="minorEastAsia"/>
          <w:sz w:val="24"/>
          <w:lang w:eastAsia="zh-CN"/>
        </w:rPr>
      </w:pPr>
      <w:r>
        <w:rPr>
          <w:rStyle w:val="53"/>
          <w:rFonts w:hint="eastAsia" w:asciiTheme="minorEastAsia" w:hAnsiTheme="minorEastAsia" w:eastAsiaTheme="minorEastAsia"/>
          <w:color w:val="000000"/>
          <w:sz w:val="24"/>
          <w:lang w:eastAsia="zh-CN"/>
        </w:rPr>
        <w:t>1．乙方逾期完成工作目标的，每日应向甲方支付违约金为合同价格的3‰，逾期超过</w:t>
      </w:r>
      <w:r>
        <w:rPr>
          <w:rFonts w:hint="eastAsia" w:asciiTheme="minorEastAsia" w:hAnsiTheme="minorEastAsia" w:eastAsiaTheme="minorEastAsia"/>
          <w:sz w:val="24"/>
          <w:u w:val="single"/>
          <w:lang w:eastAsia="zh-CN"/>
        </w:rPr>
        <w:t xml:space="preserve"> 15</w:t>
      </w:r>
      <w:r>
        <w:rPr>
          <w:rFonts w:asciiTheme="minorEastAsia" w:hAnsiTheme="minorEastAsia" w:eastAsiaTheme="minorEastAsia"/>
          <w:sz w:val="24"/>
          <w:u w:val="single"/>
          <w:lang w:eastAsia="zh-CN"/>
        </w:rPr>
        <w:t xml:space="preserve"> </w:t>
      </w:r>
      <w:r>
        <w:rPr>
          <w:rStyle w:val="53"/>
          <w:rFonts w:hint="eastAsia" w:asciiTheme="minorEastAsia" w:hAnsiTheme="minorEastAsia" w:eastAsiaTheme="minorEastAsia"/>
          <w:color w:val="000000"/>
          <w:sz w:val="24"/>
          <w:lang w:eastAsia="zh-CN"/>
        </w:rPr>
        <w:t>日的，甲方还有权解除本合同并要求乙方退还已经收取的费用及占用期间利息，乙方还需支付甲方合同总</w:t>
      </w:r>
      <w:r>
        <w:rPr>
          <w:rStyle w:val="53"/>
          <w:rFonts w:hint="eastAsia" w:asciiTheme="minorEastAsia" w:hAnsiTheme="minorEastAsia" w:eastAsiaTheme="minorEastAsia"/>
          <w:sz w:val="24"/>
          <w:lang w:eastAsia="zh-CN"/>
        </w:rPr>
        <w:t>额</w:t>
      </w:r>
      <w:r>
        <w:rPr>
          <w:rStyle w:val="53"/>
          <w:rFonts w:asciiTheme="minorEastAsia" w:hAnsiTheme="minorEastAsia" w:eastAsiaTheme="minorEastAsia"/>
          <w:sz w:val="24"/>
          <w:u w:val="single"/>
          <w:lang w:eastAsia="zh-CN"/>
        </w:rPr>
        <w:t>5</w:t>
      </w:r>
      <w:r>
        <w:rPr>
          <w:rStyle w:val="53"/>
          <w:rFonts w:hint="eastAsia" w:asciiTheme="minorEastAsia" w:hAnsiTheme="minorEastAsia" w:eastAsiaTheme="minorEastAsia"/>
          <w:sz w:val="24"/>
          <w:u w:val="single"/>
          <w:lang w:eastAsia="zh-CN"/>
        </w:rPr>
        <w:t>%</w:t>
      </w:r>
      <w:r>
        <w:rPr>
          <w:rStyle w:val="53"/>
          <w:rFonts w:hint="eastAsia" w:asciiTheme="minorEastAsia" w:hAnsiTheme="minorEastAsia" w:eastAsiaTheme="minorEastAsia"/>
          <w:sz w:val="24"/>
          <w:lang w:eastAsia="zh-CN"/>
        </w:rPr>
        <w:t>的违约金。</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2．乙方提交的服务咨询结果不符合合同约定的，应在甲方指定期限内修改完善直至符合合同约定为止，由此造成逾期提交的，按照第1款约定执行。</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3．任何一方违反保密义务的，应向对方支付违约金人民币</w:t>
      </w:r>
      <w:r>
        <w:rPr>
          <w:rFonts w:hint="eastAsia" w:asciiTheme="minorEastAsia" w:hAnsiTheme="minorEastAsia" w:eastAsiaTheme="minorEastAsia"/>
          <w:sz w:val="24"/>
          <w:szCs w:val="24"/>
          <w:u w:val="single"/>
          <w:lang w:eastAsia="zh-CN"/>
        </w:rPr>
        <w:t xml:space="preserve"> 壹万</w:t>
      </w:r>
      <w:r>
        <w:rPr>
          <w:rFonts w:asciiTheme="minorEastAsia" w:hAnsiTheme="minorEastAsia" w:eastAsiaTheme="minorEastAsia"/>
          <w:sz w:val="24"/>
          <w:szCs w:val="24"/>
          <w:u w:val="single"/>
          <w:lang w:eastAsia="zh-CN"/>
        </w:rPr>
        <w:t xml:space="preserve"> </w:t>
      </w:r>
      <w:r>
        <w:rPr>
          <w:rStyle w:val="53"/>
          <w:rFonts w:hint="eastAsia" w:asciiTheme="minorEastAsia" w:hAnsiTheme="minorEastAsia" w:eastAsiaTheme="minorEastAsia"/>
          <w:sz w:val="24"/>
          <w:szCs w:val="24"/>
          <w:lang w:eastAsia="zh-CN"/>
        </w:rPr>
        <w:t>元；并赔偿由此给对方造成的损失。</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4、任何一方无正当理由单方解除合同的，应向对方支付合同总额</w:t>
      </w:r>
      <w:r>
        <w:rPr>
          <w:rStyle w:val="53"/>
          <w:rFonts w:hint="eastAsia" w:asciiTheme="minorEastAsia" w:hAnsiTheme="minorEastAsia" w:eastAsiaTheme="minorEastAsia"/>
          <w:sz w:val="24"/>
          <w:szCs w:val="24"/>
          <w:u w:val="single"/>
          <w:lang w:eastAsia="zh-CN"/>
        </w:rPr>
        <w:t>5%</w:t>
      </w:r>
      <w:r>
        <w:rPr>
          <w:rStyle w:val="53"/>
          <w:rFonts w:hint="eastAsia" w:asciiTheme="minorEastAsia" w:hAnsiTheme="minorEastAsia" w:eastAsiaTheme="minorEastAsia"/>
          <w:sz w:val="24"/>
          <w:szCs w:val="24"/>
          <w:lang w:eastAsia="zh-CN"/>
        </w:rPr>
        <w:t>的违约金，并赔偿对方的损失。</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5、若乙方在履行合同过程中存在弄虚作假的情形，甲方有权单方解除合同，乙方应退还已收取的费用及占用期间利息，并支付甲方合同总额</w:t>
      </w:r>
      <w:r>
        <w:rPr>
          <w:rStyle w:val="53"/>
          <w:rFonts w:hint="eastAsia" w:asciiTheme="minorEastAsia" w:hAnsiTheme="minorEastAsia" w:eastAsiaTheme="minorEastAsia"/>
          <w:sz w:val="24"/>
          <w:szCs w:val="24"/>
          <w:u w:val="single"/>
          <w:lang w:eastAsia="zh-CN"/>
        </w:rPr>
        <w:t>5%</w:t>
      </w:r>
      <w:r>
        <w:rPr>
          <w:rStyle w:val="53"/>
          <w:rFonts w:hint="eastAsia" w:asciiTheme="minorEastAsia" w:hAnsiTheme="minorEastAsia" w:eastAsiaTheme="minorEastAsia"/>
          <w:sz w:val="24"/>
          <w:szCs w:val="24"/>
          <w:lang w:eastAsia="zh-CN"/>
        </w:rPr>
        <w:t>的违约金。</w:t>
      </w:r>
    </w:p>
    <w:p>
      <w:pPr>
        <w:pStyle w:val="16"/>
        <w:spacing w:line="360" w:lineRule="auto"/>
        <w:rPr>
          <w:rStyle w:val="53"/>
          <w:rFonts w:asciiTheme="minorEastAsia" w:hAnsiTheme="minorEastAsia" w:eastAsiaTheme="minorEastAsia"/>
          <w:color w:val="000000"/>
          <w:sz w:val="24"/>
          <w:szCs w:val="24"/>
          <w:lang w:eastAsia="zh-CN"/>
        </w:rPr>
      </w:pPr>
      <w:r>
        <w:rPr>
          <w:rStyle w:val="53"/>
          <w:rFonts w:hint="eastAsia" w:asciiTheme="minorEastAsia" w:hAnsiTheme="minorEastAsia" w:eastAsiaTheme="minorEastAsia"/>
          <w:sz w:val="24"/>
          <w:szCs w:val="24"/>
          <w:lang w:eastAsia="zh-CN"/>
        </w:rPr>
        <w:t>6、乙方进入甲方现场服务期间，因不可归责于甲方的原因造成甲方、</w:t>
      </w:r>
      <w:r>
        <w:rPr>
          <w:rStyle w:val="53"/>
          <w:rFonts w:hint="eastAsia" w:asciiTheme="minorEastAsia" w:hAnsiTheme="minorEastAsia" w:eastAsiaTheme="minorEastAsia"/>
          <w:color w:val="000000"/>
          <w:sz w:val="24"/>
          <w:szCs w:val="24"/>
          <w:lang w:eastAsia="zh-CN"/>
        </w:rPr>
        <w:t>乙方或任何第三方人身财产损失的，由乙方承担全部责任。</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第十二条</w:t>
      </w:r>
      <w:r>
        <w:rPr>
          <w:rFonts w:hint="eastAsia" w:asciiTheme="minorEastAsia" w:hAnsiTheme="minorEastAsia" w:eastAsiaTheme="minorEastAsia"/>
          <w:sz w:val="24"/>
          <w:szCs w:val="24"/>
          <w:lang w:eastAsia="zh-CN"/>
        </w:rPr>
        <w:t xml:space="preserve"> 双方因履行本合同而发生的争议，可协商、调解解决，也可直接采取下列第</w:t>
      </w:r>
      <w:r>
        <w:rPr>
          <w:rFonts w:hint="eastAsia" w:asciiTheme="minorEastAsia" w:hAnsiTheme="minorEastAsia" w:eastAsiaTheme="minorEastAsia"/>
          <w:sz w:val="24"/>
          <w:szCs w:val="24"/>
          <w:u w:val="single"/>
          <w:lang w:eastAsia="zh-CN"/>
        </w:rPr>
        <w:t xml:space="preserve"> 2</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种方式解决：</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1．向</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仲裁委员会申请仲裁；</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2．向甲方所在地人民法院提起诉讼。</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第十三条</w:t>
      </w:r>
      <w:r>
        <w:rPr>
          <w:rFonts w:hint="eastAsia" w:asciiTheme="minorEastAsia" w:hAnsiTheme="minorEastAsia" w:eastAsiaTheme="minorEastAsia"/>
          <w:sz w:val="24"/>
          <w:szCs w:val="24"/>
          <w:lang w:eastAsia="zh-CN"/>
        </w:rPr>
        <w:t xml:space="preserve"> 其他</w:t>
      </w:r>
    </w:p>
    <w:p>
      <w:pPr>
        <w:pStyle w:val="16"/>
        <w:spacing w:line="360" w:lineRule="auto"/>
        <w:rPr>
          <w:rStyle w:val="53"/>
          <w:rFonts w:asciiTheme="minorEastAsia" w:hAnsiTheme="minorEastAsia" w:eastAsiaTheme="minorEastAsia"/>
          <w:color w:val="000000"/>
          <w:sz w:val="24"/>
          <w:szCs w:val="24"/>
          <w:lang w:eastAsia="zh-CN"/>
        </w:rPr>
      </w:pPr>
      <w:r>
        <w:rPr>
          <w:rStyle w:val="53"/>
          <w:rFonts w:hint="eastAsia" w:asciiTheme="minorEastAsia" w:hAnsiTheme="minorEastAsia" w:eastAsiaTheme="minor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第十四条</w:t>
      </w:r>
      <w:r>
        <w:rPr>
          <w:rFonts w:hint="eastAsia" w:asciiTheme="minorEastAsia" w:hAnsiTheme="minorEastAsia" w:eastAsiaTheme="minorEastAsia"/>
          <w:sz w:val="24"/>
          <w:szCs w:val="24"/>
          <w:lang w:eastAsia="zh-CN"/>
        </w:rPr>
        <w:t xml:space="preserve"> 本合同经双方盖章后生效。本合同一式</w:t>
      </w:r>
      <w:r>
        <w:rPr>
          <w:rFonts w:hint="eastAsia" w:asciiTheme="minorEastAsia" w:hAnsiTheme="minorEastAsia" w:eastAsiaTheme="minorEastAsia"/>
          <w:sz w:val="24"/>
          <w:szCs w:val="24"/>
          <w:u w:val="single"/>
          <w:lang w:eastAsia="zh-CN"/>
        </w:rPr>
        <w:t xml:space="preserve"> 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 xml:space="preserve"> 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 xml:space="preserve"> 贰</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份，具有同等法律效力。</w:t>
      </w:r>
    </w:p>
    <w:p>
      <w:pPr>
        <w:tabs>
          <w:tab w:val="left" w:pos="2010"/>
        </w:tabs>
        <w:spacing w:line="520" w:lineRule="exact"/>
        <w:rPr>
          <w:sz w:val="24"/>
          <w:lang w:eastAsia="zh-CN"/>
        </w:rPr>
      </w:pPr>
      <w:r>
        <w:rPr>
          <w:rFonts w:hint="eastAsia"/>
          <w:b/>
          <w:sz w:val="24"/>
          <w:lang w:eastAsia="zh-CN"/>
        </w:rPr>
        <w:t>第十五条</w:t>
      </w:r>
      <w:r>
        <w:rPr>
          <w:rFonts w:hint="eastAsia"/>
          <w:sz w:val="24"/>
          <w:lang w:eastAsia="zh-CN"/>
        </w:rPr>
        <w:t xml:space="preserve"> .附件及双方往来的有效书面文件与合同共同具备法律效力。</w:t>
      </w:r>
    </w:p>
    <w:p>
      <w:pPr>
        <w:tabs>
          <w:tab w:val="left" w:pos="2010"/>
        </w:tabs>
        <w:spacing w:line="520" w:lineRule="exact"/>
        <w:ind w:firstLine="360" w:firstLineChars="150"/>
        <w:rPr>
          <w:sz w:val="24"/>
          <w:lang w:eastAsia="zh-CN"/>
        </w:rPr>
      </w:pPr>
      <w:r>
        <w:rPr>
          <w:rFonts w:hint="eastAsia"/>
          <w:sz w:val="24"/>
          <w:lang w:eastAsia="zh-CN"/>
        </w:rPr>
        <w:t>本合同未尽事宜，如需更改经双方协商后可另签补充协议。</w:t>
      </w:r>
    </w:p>
    <w:p>
      <w:pPr>
        <w:tabs>
          <w:tab w:val="left" w:pos="2010"/>
        </w:tabs>
        <w:spacing w:line="520" w:lineRule="exact"/>
        <w:ind w:firstLine="360" w:firstLineChars="150"/>
        <w:rPr>
          <w:sz w:val="24"/>
          <w:lang w:eastAsia="zh-CN"/>
        </w:rPr>
      </w:pPr>
    </w:p>
    <w:p>
      <w:pPr>
        <w:tabs>
          <w:tab w:val="left" w:pos="2010"/>
        </w:tabs>
        <w:spacing w:line="360" w:lineRule="auto"/>
        <w:rPr>
          <w:sz w:val="24"/>
          <w:lang w:eastAsia="zh-CN"/>
        </w:rPr>
      </w:pPr>
      <w:r>
        <w:rPr>
          <w:rFonts w:hint="eastAsia"/>
          <w:sz w:val="24"/>
          <w:lang w:eastAsia="zh-CN"/>
        </w:rPr>
        <w:t>附件1：发包说明书</w:t>
      </w:r>
    </w:p>
    <w:p>
      <w:pPr>
        <w:tabs>
          <w:tab w:val="left" w:pos="2010"/>
        </w:tabs>
        <w:spacing w:line="360" w:lineRule="auto"/>
        <w:rPr>
          <w:sz w:val="24"/>
          <w:lang w:eastAsia="zh-CN"/>
        </w:rPr>
      </w:pPr>
      <w:r>
        <w:rPr>
          <w:rFonts w:hint="eastAsia"/>
          <w:sz w:val="24"/>
          <w:lang w:eastAsia="zh-CN"/>
        </w:rPr>
        <w:t>附件2：价格表</w:t>
      </w:r>
    </w:p>
    <w:p>
      <w:pPr>
        <w:tabs>
          <w:tab w:val="left" w:pos="2010"/>
        </w:tabs>
        <w:spacing w:line="360" w:lineRule="auto"/>
        <w:rPr>
          <w:sz w:val="24"/>
          <w:lang w:eastAsia="zh-CN"/>
        </w:rPr>
      </w:pPr>
      <w:r>
        <w:rPr>
          <w:rFonts w:hint="eastAsia"/>
          <w:sz w:val="24"/>
          <w:lang w:eastAsia="zh-CN"/>
        </w:rPr>
        <w:t>附件3：安全环保协议书</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附件4：保密协议</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附件5：</w:t>
      </w:r>
      <w:r>
        <w:rPr>
          <w:rFonts w:hint="eastAsia"/>
          <w:snapToGrid w:val="0"/>
          <w:sz w:val="24"/>
          <w:szCs w:val="24"/>
          <w:lang w:eastAsia="zh-CN"/>
        </w:rPr>
        <w:t>建设项目廉洁从业承诺书</w:t>
      </w:r>
    </w:p>
    <w:p>
      <w:pPr>
        <w:tabs>
          <w:tab w:val="left" w:pos="2010"/>
        </w:tabs>
        <w:spacing w:line="360" w:lineRule="auto"/>
        <w:ind w:firstLine="964" w:firstLineChars="400"/>
        <w:rPr>
          <w:rFonts w:cs="Arial"/>
          <w:b/>
          <w:sz w:val="24"/>
          <w:lang w:eastAsia="zh-CN"/>
        </w:rPr>
      </w:pPr>
    </w:p>
    <w:p>
      <w:pPr>
        <w:tabs>
          <w:tab w:val="left" w:pos="2010"/>
        </w:tabs>
        <w:spacing w:line="360" w:lineRule="auto"/>
        <w:ind w:firstLine="964" w:firstLineChars="400"/>
        <w:rPr>
          <w:rFonts w:cs="Arial"/>
          <w:b/>
          <w:sz w:val="24"/>
          <w:lang w:eastAsia="zh-CN"/>
        </w:rPr>
      </w:pPr>
    </w:p>
    <w:p>
      <w:pPr>
        <w:tabs>
          <w:tab w:val="left" w:pos="2010"/>
        </w:tabs>
        <w:spacing w:line="360" w:lineRule="auto"/>
        <w:ind w:firstLine="964" w:firstLineChars="400"/>
        <w:rPr>
          <w:rFonts w:cs="Arial"/>
          <w:b/>
          <w:sz w:val="24"/>
          <w:lang w:eastAsia="zh-CN"/>
        </w:rPr>
      </w:pPr>
      <w:r>
        <w:rPr>
          <w:rFonts w:hint="eastAsia" w:cs="Arial"/>
          <w:b/>
          <w:sz w:val="24"/>
          <w:lang w:eastAsia="zh-CN"/>
        </w:rPr>
        <w:t>（以下无正文）</w:t>
      </w:r>
    </w:p>
    <w:p>
      <w:pPr>
        <w:tabs>
          <w:tab w:val="left" w:pos="2010"/>
        </w:tabs>
        <w:spacing w:line="360" w:lineRule="auto"/>
        <w:ind w:firstLine="964" w:firstLineChars="400"/>
        <w:rPr>
          <w:rFonts w:cs="Arial"/>
          <w:b/>
          <w:sz w:val="24"/>
          <w:lang w:eastAsia="zh-CN"/>
        </w:rPr>
      </w:pPr>
    </w:p>
    <w:p>
      <w:pPr>
        <w:pStyle w:val="2"/>
      </w:pPr>
    </w:p>
    <w:p>
      <w:pPr>
        <w:pStyle w:val="2"/>
      </w:pPr>
    </w:p>
    <w:p>
      <w:pPr>
        <w:spacing w:line="360" w:lineRule="auto"/>
        <w:ind w:right="-147" w:rightChars="-67"/>
        <w:rPr>
          <w:rFonts w:cs="Arial"/>
          <w:b/>
          <w:sz w:val="24"/>
          <w:lang w:eastAsia="zh-CN"/>
        </w:rPr>
      </w:pPr>
      <w:r>
        <w:rPr>
          <w:rFonts w:hint="eastAsia" w:cs="Arial"/>
          <w:b/>
          <w:sz w:val="24"/>
          <w:lang w:eastAsia="zh-CN"/>
        </w:rPr>
        <w:t>委托方（甲方）</w:t>
      </w:r>
      <w:r>
        <w:rPr>
          <w:rFonts w:cs="Arial"/>
          <w:b/>
          <w:sz w:val="24"/>
          <w:lang w:eastAsia="zh-CN"/>
        </w:rPr>
        <w:t>：</w:t>
      </w:r>
      <w:r>
        <w:rPr>
          <w:rFonts w:hint="eastAsia" w:cs="Arial"/>
          <w:b/>
          <w:sz w:val="24"/>
          <w:lang w:eastAsia="zh-CN"/>
        </w:rPr>
        <w:t xml:space="preserve">                          受托方（乙方）：</w:t>
      </w:r>
    </w:p>
    <w:p>
      <w:pPr>
        <w:spacing w:line="240" w:lineRule="atLeast"/>
        <w:ind w:right="-147" w:rightChars="-67"/>
        <w:rPr>
          <w:szCs w:val="21"/>
          <w:lang w:eastAsia="zh-CN"/>
        </w:rPr>
      </w:pPr>
      <w:r>
        <w:rPr>
          <w:rFonts w:hint="eastAsia"/>
          <w:b/>
          <w:spacing w:val="20"/>
          <w:sz w:val="24"/>
          <w:lang w:eastAsia="zh-CN"/>
        </w:rPr>
        <w:t xml:space="preserve">腾龙芳烃（漳州）有限公司          </w:t>
      </w:r>
      <w:r>
        <w:rPr>
          <w:rFonts w:cs="Arial"/>
          <w:b/>
          <w:sz w:val="24"/>
          <w:lang w:eastAsia="zh-CN"/>
        </w:rPr>
        <w:br w:type="textWrapping"/>
      </w:r>
    </w:p>
    <w:p>
      <w:pPr>
        <w:spacing w:line="240" w:lineRule="atLeast"/>
        <w:ind w:right="-147" w:rightChars="-67"/>
        <w:rPr>
          <w:b/>
          <w:sz w:val="24"/>
          <w:lang w:eastAsia="zh-CN"/>
        </w:rPr>
      </w:pP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p>
    <w:p>
      <w:pPr>
        <w:spacing w:line="240" w:lineRule="atLeast"/>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w:t>
      </w:r>
    </w:p>
    <w:p>
      <w:pPr>
        <w:spacing w:line="240" w:lineRule="atLeast"/>
        <w:ind w:left="1038" w:right="-147" w:rightChars="-67" w:hanging="1038" w:hangingChars="472"/>
        <w:rPr>
          <w:szCs w:val="21"/>
          <w:lang w:eastAsia="zh-CN"/>
        </w:rPr>
      </w:pPr>
      <w:r>
        <w:rPr>
          <w:rFonts w:hint="eastAsia"/>
          <w:szCs w:val="21"/>
          <w:lang w:eastAsia="zh-CN"/>
        </w:rPr>
        <w:t xml:space="preserve">开户行：兴业银行漳州古雷支行                 开户行：                                </w:t>
      </w:r>
    </w:p>
    <w:p>
      <w:pPr>
        <w:spacing w:line="240" w:lineRule="atLeast"/>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spacing w:line="240" w:lineRule="atLeast"/>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16"/>
        <w:spacing w:line="360" w:lineRule="auto"/>
        <w:rPr>
          <w:rFonts w:hAnsi="宋体"/>
          <w:b/>
          <w:sz w:val="28"/>
          <w:szCs w:val="28"/>
          <w:lang w:eastAsia="zh-CN"/>
        </w:rPr>
      </w:pPr>
      <w:r>
        <w:rPr>
          <w:rFonts w:hint="eastAsia" w:hAnsi="宋体"/>
          <w:b/>
          <w:sz w:val="28"/>
          <w:szCs w:val="28"/>
          <w:lang w:eastAsia="zh-CN"/>
        </w:rPr>
        <w:t>附件1</w:t>
      </w:r>
    </w:p>
    <w:p>
      <w:pPr>
        <w:spacing w:line="360" w:lineRule="auto"/>
        <w:jc w:val="center"/>
        <w:rPr>
          <w:rFonts w:ascii="黑体" w:hAnsi="黑体" w:eastAsia="黑体"/>
          <w:sz w:val="48"/>
          <w:szCs w:val="48"/>
          <w:lang w:eastAsia="zh-CN"/>
        </w:rPr>
      </w:pPr>
    </w:p>
    <w:p>
      <w:pPr>
        <w:spacing w:line="720" w:lineRule="auto"/>
        <w:jc w:val="center"/>
        <w:rPr>
          <w:sz w:val="52"/>
          <w:szCs w:val="52"/>
          <w:lang w:eastAsia="zh-CN"/>
        </w:rPr>
      </w:pPr>
      <w:r>
        <w:rPr>
          <w:rFonts w:hint="eastAsia"/>
          <w:sz w:val="52"/>
          <w:szCs w:val="52"/>
          <w:lang w:eastAsia="zh-CN"/>
        </w:rPr>
        <w:t>2021年电力监控系统等级保护测评及安全防护评估与整改加固项目</w:t>
      </w:r>
    </w:p>
    <w:p>
      <w:pPr>
        <w:spacing w:line="720" w:lineRule="auto"/>
        <w:jc w:val="center"/>
        <w:rPr>
          <w:sz w:val="52"/>
          <w:szCs w:val="52"/>
          <w:lang w:eastAsia="zh-CN"/>
        </w:rPr>
      </w:pPr>
      <w:r>
        <w:rPr>
          <w:rFonts w:hint="eastAsia"/>
          <w:sz w:val="52"/>
          <w:szCs w:val="52"/>
          <w:lang w:eastAsia="zh-CN"/>
        </w:rPr>
        <w:t>发包说明</w:t>
      </w:r>
    </w:p>
    <w:p>
      <w:pPr>
        <w:spacing w:line="360" w:lineRule="auto"/>
        <w:jc w:val="center"/>
        <w:rPr>
          <w:rFonts w:ascii="黑体" w:hAnsi="黑体" w:eastAsia="黑体"/>
          <w:sz w:val="52"/>
          <w:szCs w:val="52"/>
          <w:lang w:eastAsia="zh-CN"/>
        </w:rPr>
      </w:pPr>
    </w:p>
    <w:p>
      <w:pPr>
        <w:spacing w:line="360" w:lineRule="auto"/>
        <w:jc w:val="center"/>
        <w:rPr>
          <w:rFonts w:ascii="黑体" w:hAnsi="黑体" w:eastAsia="黑体"/>
          <w:sz w:val="52"/>
          <w:szCs w:val="52"/>
          <w:lang w:eastAsia="zh-CN"/>
        </w:rPr>
      </w:pPr>
    </w:p>
    <w:p>
      <w:pPr>
        <w:tabs>
          <w:tab w:val="left" w:pos="8820"/>
        </w:tabs>
        <w:spacing w:line="360" w:lineRule="auto"/>
        <w:ind w:firstLine="3116" w:firstLineChars="974"/>
        <w:rPr>
          <w:rFonts w:ascii="黑体" w:hAnsi="Arial" w:eastAsia="黑体" w:cs="Arial"/>
          <w:sz w:val="32"/>
          <w:u w:val="single"/>
          <w:lang w:eastAsia="zh-CN"/>
        </w:rPr>
      </w:pPr>
      <w:r>
        <w:rPr>
          <w:rFonts w:hint="eastAsia" w:ascii="黑体" w:hAnsi="Arial" w:eastAsia="黑体" w:cs="Arial"/>
          <w:sz w:val="32"/>
          <w:lang w:eastAsia="zh-CN"/>
        </w:rPr>
        <w:t xml:space="preserve">        </w:t>
      </w:r>
    </w:p>
    <w:p>
      <w:pPr>
        <w:tabs>
          <w:tab w:val="left" w:pos="8820"/>
        </w:tabs>
        <w:spacing w:line="360" w:lineRule="auto"/>
        <w:ind w:firstLine="3116" w:firstLineChars="974"/>
        <w:rPr>
          <w:rFonts w:ascii="黑体" w:hAnsi="Arial" w:eastAsia="黑体" w:cs="Arial"/>
          <w:sz w:val="32"/>
          <w:lang w:eastAsia="zh-CN"/>
        </w:rPr>
      </w:pPr>
      <w:r>
        <w:rPr>
          <w:rFonts w:hint="eastAsia" w:ascii="黑体" w:hAnsi="Arial" w:eastAsia="黑体" w:cs="Arial"/>
          <w:sz w:val="32"/>
          <w:lang w:eastAsia="zh-CN"/>
        </w:rPr>
        <w:t xml:space="preserve">        </w:t>
      </w:r>
    </w:p>
    <w:p>
      <w:pPr>
        <w:tabs>
          <w:tab w:val="left" w:pos="8820"/>
        </w:tabs>
        <w:spacing w:line="360" w:lineRule="auto"/>
        <w:ind w:firstLine="3116" w:firstLineChars="974"/>
        <w:rPr>
          <w:rFonts w:ascii="黑体" w:hAnsi="Arial" w:eastAsia="黑体" w:cs="Arial"/>
          <w:sz w:val="32"/>
          <w:lang w:eastAsia="zh-CN"/>
        </w:rPr>
      </w:pPr>
      <w:r>
        <w:rPr>
          <w:rFonts w:hint="eastAsia" w:ascii="黑体" w:hAnsi="Arial" w:eastAsia="黑体" w:cs="Arial"/>
          <w:sz w:val="32"/>
          <w:lang w:eastAsia="zh-CN"/>
        </w:rPr>
        <w:t xml:space="preserve">        </w:t>
      </w:r>
    </w:p>
    <w:p>
      <w:pPr>
        <w:tabs>
          <w:tab w:val="left" w:pos="8820"/>
        </w:tabs>
        <w:spacing w:line="360" w:lineRule="auto"/>
        <w:ind w:firstLine="3116" w:firstLineChars="974"/>
        <w:rPr>
          <w:rFonts w:ascii="黑体" w:hAnsi="Arial" w:eastAsia="黑体" w:cs="Arial"/>
          <w:sz w:val="32"/>
          <w:lang w:eastAsia="zh-CN"/>
        </w:rPr>
      </w:pPr>
      <w:r>
        <w:rPr>
          <w:rFonts w:hint="eastAsia" w:ascii="黑体" w:hAnsi="Arial" w:eastAsia="黑体" w:cs="Arial"/>
          <w:sz w:val="32"/>
          <w:lang w:eastAsia="zh-CN"/>
        </w:rPr>
        <w:t xml:space="preserve">       </w:t>
      </w:r>
    </w:p>
    <w:p>
      <w:pPr>
        <w:jc w:val="center"/>
        <w:rPr>
          <w:rFonts w:ascii="华文宋体" w:hAnsi="华文宋体" w:eastAsia="华文宋体"/>
          <w:b/>
          <w:position w:val="30"/>
          <w:sz w:val="28"/>
          <w:szCs w:val="28"/>
          <w:lang w:eastAsia="zh-CN"/>
        </w:rPr>
      </w:pPr>
      <w:r>
        <w:rPr>
          <w:rFonts w:hint="eastAsia" w:ascii="华文宋体" w:hAnsi="华文宋体" w:eastAsia="华文宋体"/>
          <w:b/>
          <w:position w:val="30"/>
          <w:sz w:val="28"/>
          <w:szCs w:val="28"/>
          <w:lang w:eastAsia="zh-CN"/>
        </w:rPr>
        <w:t>腾龙芳烃（漳州）有限公司</w:t>
      </w:r>
    </w:p>
    <w:p>
      <w:pPr>
        <w:pStyle w:val="2"/>
        <w:jc w:val="center"/>
      </w:pPr>
      <w:r>
        <w:rPr>
          <w:rFonts w:hint="eastAsia"/>
        </w:rPr>
        <w:t>2021年4月</w:t>
      </w:r>
    </w:p>
    <w:p>
      <w:pPr>
        <w:spacing w:line="360" w:lineRule="auto"/>
        <w:jc w:val="center"/>
        <w:rPr>
          <w:b/>
          <w:sz w:val="32"/>
          <w:szCs w:val="32"/>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274" w:bottom="1440" w:left="1800" w:header="851" w:footer="992" w:gutter="0"/>
          <w:pgNumType w:start="0"/>
          <w:cols w:space="425" w:num="1"/>
          <w:titlePg/>
          <w:docGrid w:type="lines" w:linePitch="312" w:charSpace="0"/>
        </w:sectPr>
      </w:pPr>
      <w:r>
        <w:rPr>
          <w:rFonts w:hint="eastAsia"/>
          <w:sz w:val="32"/>
          <w:szCs w:val="32"/>
          <w:lang w:eastAsia="zh-CN"/>
        </w:rPr>
        <w:t xml:space="preserve"> </w:t>
      </w:r>
    </w:p>
    <w:p>
      <w:pPr>
        <w:numPr>
          <w:ilvl w:val="0"/>
          <w:numId w:val="7"/>
        </w:numPr>
        <w:autoSpaceDE/>
        <w:autoSpaceDN/>
        <w:spacing w:line="360" w:lineRule="auto"/>
        <w:jc w:val="both"/>
        <w:outlineLvl w:val="0"/>
        <w:rPr>
          <w:b/>
          <w:sz w:val="24"/>
          <w:szCs w:val="24"/>
        </w:rPr>
      </w:pPr>
      <w:bookmarkStart w:id="9" w:name="_Toc311015395"/>
      <w:r>
        <w:rPr>
          <w:rFonts w:hint="eastAsia"/>
          <w:b/>
          <w:sz w:val="24"/>
          <w:szCs w:val="24"/>
        </w:rPr>
        <w:t>总则</w:t>
      </w:r>
      <w:bookmarkEnd w:id="9"/>
    </w:p>
    <w:p>
      <w:pPr>
        <w:numPr>
          <w:ilvl w:val="1"/>
          <w:numId w:val="7"/>
        </w:numPr>
        <w:autoSpaceDE/>
        <w:autoSpaceDN/>
        <w:spacing w:line="360" w:lineRule="auto"/>
        <w:jc w:val="both"/>
        <w:outlineLvl w:val="1"/>
        <w:rPr>
          <w:b/>
          <w:sz w:val="28"/>
          <w:szCs w:val="28"/>
        </w:rPr>
      </w:pPr>
      <w:bookmarkStart w:id="10" w:name="_Toc311015396"/>
      <w:r>
        <w:rPr>
          <w:b/>
          <w:sz w:val="28"/>
          <w:szCs w:val="28"/>
        </w:rPr>
        <w:t>引言</w:t>
      </w:r>
      <w:bookmarkEnd w:id="10"/>
    </w:p>
    <w:p>
      <w:pPr>
        <w:pStyle w:val="44"/>
        <w:spacing w:before="0" w:line="360" w:lineRule="auto"/>
        <w:ind w:left="0" w:firstLine="482"/>
        <w:rPr>
          <w:color w:val="000000"/>
          <w:sz w:val="24"/>
          <w:szCs w:val="24"/>
          <w:lang w:eastAsia="zh-CN"/>
        </w:rPr>
      </w:pPr>
      <w:bookmarkStart w:id="11" w:name="_Toc311015397"/>
      <w:r>
        <w:rPr>
          <w:rFonts w:hint="eastAsia"/>
          <w:color w:val="000000"/>
          <w:sz w:val="24"/>
          <w:szCs w:val="24"/>
          <w:lang w:eastAsia="zh-CN"/>
        </w:rPr>
        <w:t>为了落实公安部、国家能源局关于电力监控系统安全等级保护要求，进一步增强电力监控系统安全防护能力，确保电力监控系统安全稳定运行，依据《信息系统安全等级保护基本要求》（</w:t>
      </w:r>
      <w:r>
        <w:rPr>
          <w:color w:val="000000"/>
          <w:sz w:val="24"/>
          <w:szCs w:val="24"/>
          <w:lang w:eastAsia="zh-CN"/>
        </w:rPr>
        <w:t>GB/T 22239-2008</w:t>
      </w:r>
      <w:r>
        <w:rPr>
          <w:rFonts w:hint="eastAsia"/>
          <w:color w:val="000000"/>
          <w:sz w:val="24"/>
          <w:szCs w:val="24"/>
          <w:lang w:eastAsia="zh-CN"/>
        </w:rPr>
        <w:t>）、《电力行业信息系统安全等级保护基本要求》（电监信息[2012]62号）、《电力监控系统安全防护规定》（</w:t>
      </w:r>
      <w:r>
        <w:rPr>
          <w:rFonts w:hint="eastAsia"/>
          <w:sz w:val="24"/>
          <w:lang w:eastAsia="zh-CN"/>
        </w:rPr>
        <w:t>国家发展改革委员会</w:t>
      </w:r>
      <w:r>
        <w:rPr>
          <w:rFonts w:hint="eastAsia"/>
          <w:color w:val="000000"/>
          <w:sz w:val="24"/>
          <w:lang w:eastAsia="zh-CN"/>
        </w:rPr>
        <w:t>[2014年]</w:t>
      </w:r>
      <w:r>
        <w:rPr>
          <w:rFonts w:hint="eastAsia"/>
          <w:sz w:val="24"/>
          <w:lang w:eastAsia="zh-CN"/>
        </w:rPr>
        <w:t>第14号令</w:t>
      </w:r>
      <w:r>
        <w:rPr>
          <w:rFonts w:hint="eastAsia"/>
          <w:color w:val="000000"/>
          <w:sz w:val="24"/>
          <w:szCs w:val="24"/>
          <w:lang w:eastAsia="zh-CN"/>
        </w:rPr>
        <w:t>）、《电力行业网络与信息安全管理办法》（国能安全[2014]317号）和《电力行业信息安全等级保护管理办法》（国能安全[2014]318号）等制度和标准要求，进行本次电力监控系统等级保护测评及安全防护评估。</w:t>
      </w:r>
    </w:p>
    <w:p>
      <w:pPr>
        <w:numPr>
          <w:ilvl w:val="1"/>
          <w:numId w:val="7"/>
        </w:numPr>
        <w:autoSpaceDE/>
        <w:autoSpaceDN/>
        <w:spacing w:line="360" w:lineRule="auto"/>
        <w:jc w:val="both"/>
        <w:outlineLvl w:val="1"/>
        <w:rPr>
          <w:b/>
          <w:sz w:val="24"/>
          <w:szCs w:val="24"/>
        </w:rPr>
      </w:pPr>
      <w:r>
        <w:rPr>
          <w:b/>
          <w:sz w:val="24"/>
          <w:szCs w:val="24"/>
        </w:rPr>
        <w:t>适用范围</w:t>
      </w:r>
      <w:bookmarkEnd w:id="11"/>
    </w:p>
    <w:p>
      <w:pPr>
        <w:pStyle w:val="79"/>
        <w:overflowPunct w:val="0"/>
        <w:topLinePunct/>
        <w:adjustRightInd/>
        <w:snapToGrid/>
        <w:spacing w:line="360" w:lineRule="auto"/>
        <w:ind w:firstLine="480"/>
        <w:textAlignment w:val="auto"/>
        <w:rPr>
          <w:sz w:val="24"/>
          <w:szCs w:val="24"/>
          <w:lang w:eastAsia="zh-CN"/>
        </w:rPr>
      </w:pPr>
      <w:r>
        <w:rPr>
          <w:sz w:val="24"/>
          <w:szCs w:val="24"/>
          <w:lang w:eastAsia="zh-CN"/>
        </w:rPr>
        <w:t>本技术</w:t>
      </w:r>
      <w:r>
        <w:rPr>
          <w:rFonts w:hint="eastAsia"/>
          <w:sz w:val="24"/>
          <w:szCs w:val="24"/>
          <w:lang w:eastAsia="zh-CN"/>
        </w:rPr>
        <w:t>规范</w:t>
      </w:r>
      <w:r>
        <w:rPr>
          <w:sz w:val="24"/>
          <w:szCs w:val="24"/>
          <w:lang w:eastAsia="zh-CN"/>
        </w:rPr>
        <w:t>适用于</w:t>
      </w:r>
      <w:r>
        <w:rPr>
          <w:rFonts w:hint="eastAsia"/>
          <w:sz w:val="24"/>
          <w:szCs w:val="24"/>
          <w:lang w:eastAsia="zh-CN"/>
        </w:rPr>
        <w:t>电力监控系统等级保护测评及安全防护评估与整改加固服务项目</w:t>
      </w:r>
      <w:r>
        <w:rPr>
          <w:sz w:val="24"/>
          <w:szCs w:val="24"/>
          <w:lang w:eastAsia="zh-CN"/>
        </w:rPr>
        <w:t>的采购，包括</w:t>
      </w:r>
      <w:r>
        <w:rPr>
          <w:rFonts w:hint="eastAsia"/>
          <w:sz w:val="24"/>
          <w:szCs w:val="24"/>
          <w:lang w:eastAsia="zh-CN"/>
        </w:rPr>
        <w:t>技术服务要求、整改、验收要求</w:t>
      </w:r>
      <w:r>
        <w:rPr>
          <w:sz w:val="24"/>
          <w:szCs w:val="24"/>
          <w:lang w:eastAsia="zh-CN"/>
        </w:rPr>
        <w:t>。</w:t>
      </w:r>
    </w:p>
    <w:p>
      <w:pPr>
        <w:numPr>
          <w:ilvl w:val="2"/>
          <w:numId w:val="7"/>
        </w:numPr>
        <w:tabs>
          <w:tab w:val="left" w:pos="0"/>
          <w:tab w:val="clear" w:pos="851"/>
        </w:tabs>
        <w:overflowPunct w:val="0"/>
        <w:topLinePunct/>
        <w:autoSpaceDE/>
        <w:autoSpaceDN/>
        <w:snapToGrid w:val="0"/>
        <w:spacing w:line="360" w:lineRule="auto"/>
        <w:ind w:left="0" w:firstLine="0"/>
        <w:jc w:val="both"/>
        <w:rPr>
          <w:sz w:val="24"/>
          <w:szCs w:val="24"/>
          <w:lang w:eastAsia="zh-CN"/>
        </w:rPr>
      </w:pPr>
      <w:r>
        <w:rPr>
          <w:sz w:val="24"/>
          <w:szCs w:val="24"/>
          <w:lang w:eastAsia="zh-CN"/>
        </w:rPr>
        <w:t>本技术规范提出的是最低限度的技术要求。凡本技术规范中未规定，但在相关国家标准、电力行业标准或IEC标准中有规定的规范条文，</w:t>
      </w:r>
      <w:r>
        <w:rPr>
          <w:rFonts w:hint="eastAsia"/>
          <w:sz w:val="24"/>
          <w:szCs w:val="24"/>
          <w:lang w:eastAsia="zh-CN"/>
        </w:rPr>
        <w:t>投标方</w:t>
      </w:r>
      <w:r>
        <w:rPr>
          <w:sz w:val="24"/>
          <w:szCs w:val="24"/>
          <w:lang w:eastAsia="zh-CN"/>
        </w:rPr>
        <w:t>应按相应标准的条文进行</w:t>
      </w:r>
      <w:r>
        <w:rPr>
          <w:rFonts w:hint="eastAsia"/>
          <w:sz w:val="24"/>
          <w:szCs w:val="24"/>
          <w:lang w:eastAsia="zh-CN"/>
        </w:rPr>
        <w:t>服务供应说明</w:t>
      </w:r>
      <w:r>
        <w:rPr>
          <w:sz w:val="24"/>
          <w:szCs w:val="24"/>
          <w:lang w:eastAsia="zh-CN"/>
        </w:rPr>
        <w:t>。</w:t>
      </w:r>
    </w:p>
    <w:p>
      <w:pPr>
        <w:numPr>
          <w:ilvl w:val="2"/>
          <w:numId w:val="7"/>
        </w:numPr>
        <w:tabs>
          <w:tab w:val="left" w:pos="0"/>
          <w:tab w:val="clear" w:pos="851"/>
        </w:tabs>
        <w:overflowPunct w:val="0"/>
        <w:topLinePunct/>
        <w:autoSpaceDE/>
        <w:autoSpaceDN/>
        <w:snapToGrid w:val="0"/>
        <w:spacing w:line="360" w:lineRule="auto"/>
        <w:ind w:left="0" w:firstLine="0"/>
        <w:jc w:val="both"/>
        <w:rPr>
          <w:sz w:val="24"/>
          <w:szCs w:val="24"/>
          <w:lang w:eastAsia="zh-CN"/>
        </w:rPr>
      </w:pPr>
      <w:r>
        <w:rPr>
          <w:sz w:val="24"/>
          <w:szCs w:val="24"/>
          <w:lang w:eastAsia="zh-CN"/>
        </w:rPr>
        <w:t>如果</w:t>
      </w:r>
      <w:r>
        <w:rPr>
          <w:rFonts w:hint="eastAsia"/>
          <w:sz w:val="24"/>
          <w:szCs w:val="24"/>
          <w:lang w:eastAsia="zh-CN"/>
        </w:rPr>
        <w:t>投标方</w:t>
      </w:r>
      <w:r>
        <w:rPr>
          <w:sz w:val="24"/>
          <w:szCs w:val="24"/>
          <w:lang w:eastAsia="zh-CN"/>
        </w:rPr>
        <w:t>没有以书面形式对本技术规范的条文提出异议，则</w:t>
      </w:r>
      <w:r>
        <w:rPr>
          <w:rFonts w:hint="eastAsia"/>
          <w:sz w:val="24"/>
          <w:szCs w:val="24"/>
          <w:lang w:eastAsia="zh-CN"/>
        </w:rPr>
        <w:t>招标方</w:t>
      </w:r>
      <w:r>
        <w:rPr>
          <w:sz w:val="24"/>
          <w:szCs w:val="24"/>
          <w:lang w:eastAsia="zh-CN"/>
        </w:rPr>
        <w:t>认为</w:t>
      </w:r>
      <w:r>
        <w:rPr>
          <w:rFonts w:hint="eastAsia"/>
          <w:sz w:val="24"/>
          <w:szCs w:val="24"/>
          <w:lang w:eastAsia="zh-CN"/>
        </w:rPr>
        <w:t>投标方</w:t>
      </w:r>
      <w:r>
        <w:rPr>
          <w:sz w:val="24"/>
          <w:szCs w:val="24"/>
          <w:lang w:eastAsia="zh-CN"/>
        </w:rPr>
        <w:t>提供的</w:t>
      </w:r>
      <w:r>
        <w:rPr>
          <w:rFonts w:hint="eastAsia"/>
          <w:sz w:val="24"/>
          <w:szCs w:val="24"/>
          <w:lang w:eastAsia="zh-CN"/>
        </w:rPr>
        <w:t>服务</w:t>
      </w:r>
      <w:r>
        <w:rPr>
          <w:sz w:val="24"/>
          <w:szCs w:val="24"/>
          <w:lang w:eastAsia="zh-CN"/>
        </w:rPr>
        <w:t>完全符合本技术规范。</w:t>
      </w:r>
    </w:p>
    <w:p>
      <w:pPr>
        <w:numPr>
          <w:ilvl w:val="2"/>
          <w:numId w:val="7"/>
        </w:numPr>
        <w:tabs>
          <w:tab w:val="left" w:pos="0"/>
          <w:tab w:val="clear" w:pos="851"/>
        </w:tabs>
        <w:overflowPunct w:val="0"/>
        <w:topLinePunct/>
        <w:autoSpaceDE/>
        <w:autoSpaceDN/>
        <w:snapToGrid w:val="0"/>
        <w:spacing w:line="360" w:lineRule="auto"/>
        <w:ind w:left="0" w:firstLine="0"/>
        <w:jc w:val="both"/>
        <w:rPr>
          <w:sz w:val="24"/>
          <w:szCs w:val="24"/>
          <w:lang w:eastAsia="zh-CN"/>
        </w:rPr>
      </w:pPr>
      <w:r>
        <w:rPr>
          <w:sz w:val="24"/>
          <w:szCs w:val="24"/>
          <w:lang w:eastAsia="zh-CN"/>
        </w:rPr>
        <w:t>本技术规范所建议使用的标准如与</w:t>
      </w:r>
      <w:r>
        <w:rPr>
          <w:rFonts w:hint="eastAsia"/>
          <w:sz w:val="24"/>
          <w:szCs w:val="24"/>
          <w:lang w:eastAsia="zh-CN"/>
        </w:rPr>
        <w:t>投标方</w:t>
      </w:r>
      <w:r>
        <w:rPr>
          <w:sz w:val="24"/>
          <w:szCs w:val="24"/>
          <w:lang w:eastAsia="zh-CN"/>
        </w:rPr>
        <w:t>所执行的标准不一致，</w:t>
      </w:r>
      <w:r>
        <w:rPr>
          <w:rFonts w:hint="eastAsia"/>
          <w:sz w:val="24"/>
          <w:szCs w:val="24"/>
          <w:lang w:eastAsia="zh-CN"/>
        </w:rPr>
        <w:t>投标方</w:t>
      </w:r>
      <w:r>
        <w:rPr>
          <w:sz w:val="24"/>
          <w:szCs w:val="24"/>
          <w:lang w:eastAsia="zh-CN"/>
        </w:rPr>
        <w:t>应按更严格标准的条文执行或按双方商定的标准执行。</w:t>
      </w:r>
    </w:p>
    <w:p>
      <w:pPr>
        <w:numPr>
          <w:ilvl w:val="1"/>
          <w:numId w:val="7"/>
        </w:numPr>
        <w:autoSpaceDE/>
        <w:autoSpaceDN/>
        <w:spacing w:line="360" w:lineRule="auto"/>
        <w:jc w:val="both"/>
        <w:outlineLvl w:val="1"/>
        <w:rPr>
          <w:b/>
          <w:sz w:val="24"/>
          <w:szCs w:val="24"/>
        </w:rPr>
      </w:pPr>
      <w:r>
        <w:rPr>
          <w:rFonts w:hint="eastAsia"/>
          <w:b/>
          <w:sz w:val="24"/>
          <w:szCs w:val="24"/>
        </w:rPr>
        <w:t>标准和规范</w:t>
      </w:r>
    </w:p>
    <w:p>
      <w:pPr>
        <w:adjustRightInd w:val="0"/>
        <w:spacing w:line="360" w:lineRule="auto"/>
        <w:ind w:firstLine="480" w:firstLineChars="200"/>
        <w:rPr>
          <w:sz w:val="24"/>
          <w:szCs w:val="24"/>
          <w:lang w:eastAsia="zh-CN"/>
        </w:rPr>
      </w:pPr>
      <w:r>
        <w:rPr>
          <w:rFonts w:hint="eastAsia"/>
          <w:sz w:val="24"/>
          <w:szCs w:val="24"/>
          <w:lang w:eastAsia="zh-CN"/>
        </w:rPr>
        <w:t>下列文件中的条款通过本规范的引用而成为本规范的条款，</w:t>
      </w:r>
      <w:r>
        <w:rPr>
          <w:rFonts w:hint="eastAsia"/>
          <w:sz w:val="24"/>
          <w:lang w:eastAsia="zh-CN"/>
        </w:rPr>
        <w:t>除本技术规范书特别规定外，投标方所提供的测评标准均应遵循公安部、能源局相关文件要求和招标方的相关文件要求，所用的标准必须是其最新版本；如果这些标准内容矛盾时，应按最高标准的条款执行或按双方商定的标准执行；如果投标方选用本技术规范书规定以外的标准时，需提交与这种替换标准相当的或优于规定标准的证明，供招标方确认。</w:t>
      </w:r>
    </w:p>
    <w:p>
      <w:pPr>
        <w:numPr>
          <w:ilvl w:val="0"/>
          <w:numId w:val="8"/>
        </w:numPr>
        <w:autoSpaceDE/>
        <w:autoSpaceDN/>
        <w:spacing w:line="360" w:lineRule="auto"/>
        <w:ind w:firstLine="147"/>
        <w:jc w:val="both"/>
        <w:rPr>
          <w:sz w:val="24"/>
          <w:szCs w:val="24"/>
          <w:lang w:eastAsia="zh-CN"/>
        </w:rPr>
      </w:pPr>
      <w:bookmarkStart w:id="12" w:name="_Toc303532071"/>
      <w:bookmarkStart w:id="13" w:name="_Toc311015399"/>
      <w:bookmarkStart w:id="14" w:name="_Toc157912713"/>
      <w:bookmarkStart w:id="15" w:name="_Toc77760877"/>
      <w:bookmarkStart w:id="16" w:name="_Toc83482791"/>
      <w:bookmarkStart w:id="17" w:name="_Toc77760638"/>
      <w:bookmarkStart w:id="18" w:name="_Toc77760799"/>
      <w:bookmarkStart w:id="19" w:name="_Toc77761128"/>
      <w:bookmarkStart w:id="20" w:name="_Toc77760955"/>
      <w:r>
        <w:rPr>
          <w:rFonts w:hint="eastAsia"/>
          <w:sz w:val="24"/>
          <w:szCs w:val="24"/>
          <w:lang w:eastAsia="zh-CN"/>
        </w:rPr>
        <w:t>《信息安全等级保护管理办法》（公通字[2007]43号）</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《GB/T 22239-2008 信息安全技术 信息系统安全等级保护基本要求》</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《GB/T 22240-2008 信息安全技术 信息系统安全等级保护定级指南》</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w:t>
      </w:r>
      <w:r>
        <w:rPr>
          <w:sz w:val="24"/>
          <w:lang w:eastAsia="zh-CN"/>
        </w:rPr>
        <w:t>GB/T 25058-2010</w:t>
      </w:r>
      <w:r>
        <w:rPr>
          <w:rFonts w:hint="eastAsia"/>
          <w:sz w:val="24"/>
          <w:lang w:eastAsia="zh-CN"/>
        </w:rPr>
        <w:t xml:space="preserve"> 信息安全技术 信息系统安全等级保护实施指南</w:t>
      </w:r>
      <w:r>
        <w:rPr>
          <w:rFonts w:hint="eastAsia"/>
          <w:sz w:val="24"/>
          <w:szCs w:val="24"/>
          <w:lang w:eastAsia="zh-CN"/>
        </w:rPr>
        <w:t>》</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w:t>
      </w:r>
      <w:r>
        <w:rPr>
          <w:rFonts w:hint="eastAsia"/>
          <w:sz w:val="24"/>
          <w:lang w:eastAsia="zh-CN"/>
        </w:rPr>
        <w:t>GB/T 28448-2012 信息安全技术 信息系统安全等级保护测评要求</w:t>
      </w:r>
      <w:r>
        <w:rPr>
          <w:rFonts w:hint="eastAsia"/>
          <w:sz w:val="24"/>
          <w:szCs w:val="24"/>
          <w:lang w:eastAsia="zh-CN"/>
        </w:rPr>
        <w:t>》</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w:t>
      </w:r>
      <w:r>
        <w:rPr>
          <w:rFonts w:hint="eastAsia"/>
          <w:sz w:val="24"/>
          <w:lang w:eastAsia="zh-CN"/>
        </w:rPr>
        <w:t>GB/T 28449-2012 信息安全技术 信息系统安全等级保护测评过程指南</w:t>
      </w:r>
      <w:r>
        <w:rPr>
          <w:rFonts w:hint="eastAsia"/>
          <w:sz w:val="24"/>
          <w:szCs w:val="24"/>
          <w:lang w:eastAsia="zh-CN"/>
        </w:rPr>
        <w:t>》</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《关于开展电力行业信息系统安全等级保护定级工作的通知》（电监信息〔2007〕34号）</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《电力行业信息系统安全等级保护基本要求》（电监信息[2012]62号</w:t>
      </w:r>
      <w:r>
        <w:rPr>
          <w:sz w:val="24"/>
          <w:szCs w:val="24"/>
          <w:lang w:eastAsia="zh-CN"/>
        </w:rPr>
        <w:t>）</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《电力行业网络与信息安全管理办法》（国能安全[2014]317号）</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《电力行业信息安全等级保护管理办法》（国能安全[2014]318号）</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《电力监控系统安全防护规定》（</w:t>
      </w:r>
      <w:r>
        <w:rPr>
          <w:rFonts w:hint="eastAsia"/>
          <w:sz w:val="24"/>
          <w:lang w:eastAsia="zh-CN"/>
        </w:rPr>
        <w:t>国家发展改革委员会</w:t>
      </w:r>
      <w:r>
        <w:rPr>
          <w:rFonts w:hint="eastAsia"/>
          <w:color w:val="000000"/>
          <w:sz w:val="24"/>
          <w:lang w:eastAsia="zh-CN"/>
        </w:rPr>
        <w:t>[2014年]</w:t>
      </w:r>
      <w:r>
        <w:rPr>
          <w:rFonts w:hint="eastAsia"/>
          <w:sz w:val="24"/>
          <w:lang w:eastAsia="zh-CN"/>
        </w:rPr>
        <w:t>第14号令</w:t>
      </w:r>
      <w:r>
        <w:rPr>
          <w:rFonts w:hint="eastAsia"/>
          <w:sz w:val="24"/>
          <w:szCs w:val="24"/>
          <w:lang w:eastAsia="zh-CN"/>
        </w:rPr>
        <w:t>）</w:t>
      </w:r>
    </w:p>
    <w:p>
      <w:pPr>
        <w:numPr>
          <w:ilvl w:val="0"/>
          <w:numId w:val="8"/>
        </w:numPr>
        <w:autoSpaceDE/>
        <w:autoSpaceDN/>
        <w:spacing w:line="360" w:lineRule="auto"/>
        <w:ind w:firstLine="147"/>
        <w:jc w:val="both"/>
        <w:rPr>
          <w:sz w:val="24"/>
          <w:lang w:eastAsia="zh-CN"/>
        </w:rPr>
      </w:pPr>
      <w:r>
        <w:rPr>
          <w:rFonts w:hint="eastAsia"/>
          <w:sz w:val="24"/>
          <w:lang w:eastAsia="zh-CN"/>
        </w:rPr>
        <w:t>《电力监控系统安全防护总体方案》国能安全[2015]36号</w:t>
      </w:r>
    </w:p>
    <w:p>
      <w:pPr>
        <w:numPr>
          <w:ilvl w:val="0"/>
          <w:numId w:val="8"/>
        </w:numPr>
        <w:autoSpaceDE/>
        <w:autoSpaceDN/>
        <w:spacing w:line="360" w:lineRule="auto"/>
        <w:ind w:firstLine="147"/>
        <w:jc w:val="both"/>
        <w:rPr>
          <w:sz w:val="24"/>
          <w:lang w:eastAsia="zh-CN"/>
        </w:rPr>
      </w:pPr>
      <w:r>
        <w:rPr>
          <w:rFonts w:hint="eastAsia"/>
          <w:sz w:val="24"/>
          <w:lang w:eastAsia="zh-CN"/>
        </w:rPr>
        <w:t>《发电厂监控系统安全防护方案》国能安全[2015]36号</w:t>
      </w:r>
    </w:p>
    <w:p>
      <w:pPr>
        <w:numPr>
          <w:ilvl w:val="0"/>
          <w:numId w:val="8"/>
        </w:numPr>
        <w:autoSpaceDE/>
        <w:autoSpaceDN/>
        <w:spacing w:line="360" w:lineRule="auto"/>
        <w:ind w:firstLine="147"/>
        <w:jc w:val="both"/>
        <w:rPr>
          <w:sz w:val="24"/>
          <w:lang w:eastAsia="zh-CN"/>
        </w:rPr>
      </w:pPr>
      <w:r>
        <w:rPr>
          <w:rFonts w:hint="eastAsia"/>
          <w:sz w:val="24"/>
          <w:lang w:eastAsia="zh-CN"/>
        </w:rPr>
        <w:t>《电力监控系统安全防护评估规范》国能安全[2015]36号</w:t>
      </w:r>
    </w:p>
    <w:p>
      <w:pPr>
        <w:numPr>
          <w:ilvl w:val="1"/>
          <w:numId w:val="7"/>
        </w:numPr>
        <w:autoSpaceDE/>
        <w:autoSpaceDN/>
        <w:spacing w:line="360" w:lineRule="auto"/>
        <w:jc w:val="both"/>
        <w:outlineLvl w:val="1"/>
        <w:rPr>
          <w:b/>
          <w:sz w:val="24"/>
          <w:szCs w:val="24"/>
        </w:rPr>
      </w:pPr>
      <w:r>
        <w:rPr>
          <w:rFonts w:hint="eastAsia"/>
          <w:b/>
          <w:sz w:val="24"/>
          <w:szCs w:val="24"/>
        </w:rPr>
        <w:t>权利和职责</w:t>
      </w:r>
      <w:bookmarkEnd w:id="12"/>
      <w:bookmarkEnd w:id="13"/>
      <w:bookmarkEnd w:id="14"/>
    </w:p>
    <w:bookmarkEnd w:id="15"/>
    <w:bookmarkEnd w:id="16"/>
    <w:bookmarkEnd w:id="17"/>
    <w:bookmarkEnd w:id="18"/>
    <w:bookmarkEnd w:id="19"/>
    <w:bookmarkEnd w:id="20"/>
    <w:p>
      <w:pPr>
        <w:spacing w:line="360" w:lineRule="auto"/>
        <w:ind w:firstLine="480" w:firstLineChars="200"/>
        <w:rPr>
          <w:sz w:val="24"/>
          <w:szCs w:val="24"/>
          <w:lang w:eastAsia="zh-CN"/>
        </w:rPr>
      </w:pPr>
      <w:r>
        <w:rPr>
          <w:rFonts w:hint="eastAsia"/>
          <w:sz w:val="24"/>
          <w:szCs w:val="24"/>
          <w:lang w:eastAsia="zh-CN"/>
        </w:rPr>
        <w:t>为切实保障本项目的工作质量，确保测评及评估工作达到预期目标，对招标方及项目实施方双方技术工作责任约定如下：</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sz w:val="24"/>
          <w:szCs w:val="24"/>
        </w:rPr>
      </w:pPr>
      <w:r>
        <w:rPr>
          <w:rFonts w:hint="eastAsia"/>
          <w:b/>
          <w:sz w:val="24"/>
          <w:szCs w:val="24"/>
        </w:rPr>
        <w:t>招标方责任</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负责测评实施过程中同相关单位和部门的协调。</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为项目实施方提供良好的工作场地和环境。</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按工作要求提供相关的资料和信息。</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准备应急措施，负责实施过程中的紧急情况的处理。</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sz w:val="24"/>
          <w:szCs w:val="24"/>
        </w:rPr>
      </w:pPr>
      <w:r>
        <w:rPr>
          <w:rFonts w:hint="eastAsia"/>
          <w:b/>
          <w:sz w:val="24"/>
          <w:szCs w:val="24"/>
        </w:rPr>
        <w:t>投标方责任</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按照招标方工作章程开展工作。</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项目内容的变更及时与招标方代表沟通。</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按照协议要求提供技术服务和成果。</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确保测评及评估工作质量。</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配合招标方准备应急预案和实施过程中的紧急情况处理。</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负责按时完成所有工作。</w:t>
      </w:r>
    </w:p>
    <w:p>
      <w:pPr>
        <w:spacing w:line="360" w:lineRule="auto"/>
        <w:ind w:firstLine="482" w:firstLineChars="200"/>
        <w:rPr>
          <w:b/>
          <w:sz w:val="24"/>
          <w:szCs w:val="24"/>
          <w:lang w:eastAsia="zh-CN"/>
        </w:rPr>
      </w:pPr>
      <w:r>
        <w:rPr>
          <w:rFonts w:hint="eastAsia"/>
          <w:b/>
          <w:sz w:val="24"/>
          <w:szCs w:val="24"/>
          <w:lang w:eastAsia="zh-CN"/>
        </w:rPr>
        <w:t>同时，双方都必须遵循保密要求。</w:t>
      </w:r>
    </w:p>
    <w:p>
      <w:pPr>
        <w:numPr>
          <w:ilvl w:val="1"/>
          <w:numId w:val="7"/>
        </w:numPr>
        <w:autoSpaceDE/>
        <w:autoSpaceDN/>
        <w:spacing w:line="360" w:lineRule="auto"/>
        <w:jc w:val="both"/>
        <w:outlineLvl w:val="1"/>
        <w:rPr>
          <w:b/>
          <w:sz w:val="24"/>
          <w:szCs w:val="24"/>
        </w:rPr>
      </w:pPr>
      <w:bookmarkStart w:id="21" w:name="_Toc311015400"/>
      <w:bookmarkStart w:id="22" w:name="_Toc287704423"/>
      <w:r>
        <w:rPr>
          <w:rFonts w:hint="eastAsia"/>
          <w:b/>
          <w:sz w:val="24"/>
          <w:szCs w:val="24"/>
        </w:rPr>
        <w:t>项目概况</w:t>
      </w:r>
    </w:p>
    <w:p>
      <w:pPr>
        <w:spacing w:line="360" w:lineRule="auto"/>
        <w:ind w:firstLine="480" w:firstLineChars="200"/>
        <w:rPr>
          <w:sz w:val="24"/>
          <w:szCs w:val="24"/>
          <w:lang w:eastAsia="zh-CN"/>
        </w:rPr>
      </w:pPr>
      <w:r>
        <w:rPr>
          <w:rFonts w:hint="eastAsia"/>
          <w:sz w:val="24"/>
          <w:szCs w:val="24"/>
          <w:lang w:eastAsia="zh-CN"/>
        </w:rPr>
        <w:t>本项目属于福建福海创石油化工</w:t>
      </w:r>
      <w:r>
        <w:rPr>
          <w:sz w:val="24"/>
          <w:szCs w:val="24"/>
          <w:lang w:eastAsia="zh-CN"/>
        </w:rPr>
        <w:t>有限公司</w:t>
      </w:r>
      <w:r>
        <w:rPr>
          <w:rFonts w:hint="eastAsia"/>
          <w:sz w:val="24"/>
          <w:szCs w:val="24"/>
          <w:lang w:eastAsia="zh-CN"/>
        </w:rPr>
        <w:t>内自备热电厂</w:t>
      </w:r>
      <w:r>
        <w:rPr>
          <w:sz w:val="24"/>
          <w:szCs w:val="24"/>
          <w:lang w:eastAsia="zh-CN"/>
        </w:rPr>
        <w:t>共装</w:t>
      </w:r>
      <w:r>
        <w:rPr>
          <w:rFonts w:hint="eastAsia"/>
          <w:sz w:val="24"/>
          <w:szCs w:val="24"/>
          <w:lang w:eastAsia="zh-CN"/>
        </w:rPr>
        <w:t>设4×670t/h超高压自然循环锅炉+3*150MW单抽冷凝式汽轮发电</w:t>
      </w:r>
      <w:r>
        <w:rPr>
          <w:sz w:val="24"/>
          <w:szCs w:val="24"/>
          <w:lang w:eastAsia="zh-CN"/>
        </w:rPr>
        <w:t>机组</w:t>
      </w:r>
      <w:r>
        <w:rPr>
          <w:rFonts w:hint="eastAsia"/>
          <w:sz w:val="24"/>
          <w:szCs w:val="24"/>
          <w:lang w:eastAsia="zh-CN"/>
        </w:rPr>
        <w:t>、1座220kV总降压站</w:t>
      </w:r>
      <w:r>
        <w:rPr>
          <w:sz w:val="24"/>
          <w:szCs w:val="24"/>
          <w:lang w:eastAsia="zh-CN"/>
        </w:rPr>
        <w:t>，</w:t>
      </w:r>
      <w:r>
        <w:rPr>
          <w:rFonts w:hint="eastAsia"/>
          <w:sz w:val="24"/>
          <w:szCs w:val="24"/>
          <w:lang w:eastAsia="zh-CN"/>
        </w:rPr>
        <w:t xml:space="preserve">分别于2014年1月12日、2014年4月9日、2018年11月17日年完成了三台机组168小时试运行并投产，机组及总降站数据分别接入国网福建电力调控中心、国网漳州电力调控中心。 </w:t>
      </w:r>
    </w:p>
    <w:p>
      <w:pPr>
        <w:spacing w:line="360" w:lineRule="auto"/>
        <w:ind w:firstLine="480" w:firstLineChars="200"/>
        <w:rPr>
          <w:sz w:val="24"/>
          <w:szCs w:val="24"/>
          <w:lang w:eastAsia="zh-CN"/>
        </w:rPr>
      </w:pPr>
      <w:r>
        <w:rPr>
          <w:rFonts w:hint="eastAsia"/>
          <w:sz w:val="24"/>
          <w:szCs w:val="24"/>
          <w:lang w:eastAsia="zh-CN"/>
        </w:rPr>
        <w:t>其中，远动系统、PMU系统、故障信息系统业务信息部署在安全Ⅰ区，发电计划工作站、电量采集系统、故障录波系统等业务信息部署在与生产控制大区非实时区Ⅱ区，边界分别部署了纵向加密认证装置进行通讯，OMS系统部署在管理信息大区，边界部署了防火墙装置进行通讯，通过专用调度数据网与省调、地调主站进行通信。</w:t>
      </w:r>
    </w:p>
    <w:p>
      <w:pPr>
        <w:numPr>
          <w:ilvl w:val="1"/>
          <w:numId w:val="7"/>
        </w:numPr>
        <w:autoSpaceDE/>
        <w:autoSpaceDN/>
        <w:spacing w:line="360" w:lineRule="auto"/>
        <w:jc w:val="both"/>
        <w:outlineLvl w:val="1"/>
        <w:rPr>
          <w:b/>
          <w:sz w:val="24"/>
          <w:szCs w:val="24"/>
        </w:rPr>
      </w:pPr>
      <w:r>
        <w:rPr>
          <w:rFonts w:hint="eastAsia"/>
          <w:b/>
          <w:sz w:val="24"/>
          <w:szCs w:val="24"/>
        </w:rPr>
        <w:t>项目范围</w:t>
      </w:r>
      <w:bookmarkEnd w:id="21"/>
    </w:p>
    <w:p>
      <w:pPr>
        <w:spacing w:line="360" w:lineRule="auto"/>
        <w:ind w:firstLine="480" w:firstLineChars="200"/>
        <w:rPr>
          <w:color w:val="000000"/>
          <w:sz w:val="24"/>
          <w:szCs w:val="24"/>
          <w:lang w:eastAsia="zh-CN"/>
        </w:rPr>
      </w:pPr>
      <w:bookmarkStart w:id="23" w:name="_Toc311015401"/>
      <w:r>
        <w:rPr>
          <w:rFonts w:hint="eastAsia"/>
          <w:color w:val="000000"/>
          <w:sz w:val="24"/>
          <w:szCs w:val="24"/>
          <w:lang w:eastAsia="zh-CN"/>
        </w:rPr>
        <w:t>电力监控系统信息安全等级保护测评与安全防护评估范围如下：</w:t>
      </w:r>
    </w:p>
    <w:p>
      <w:pPr>
        <w:numPr>
          <w:ilvl w:val="0"/>
          <w:numId w:val="9"/>
        </w:numPr>
        <w:autoSpaceDE/>
        <w:autoSpaceDN/>
        <w:spacing w:line="360" w:lineRule="auto"/>
        <w:rPr>
          <w:color w:val="000000"/>
          <w:sz w:val="24"/>
          <w:szCs w:val="24"/>
          <w:lang w:eastAsia="zh-CN"/>
        </w:rPr>
      </w:pPr>
      <w:r>
        <w:rPr>
          <w:rFonts w:hint="eastAsia"/>
          <w:color w:val="000000"/>
          <w:sz w:val="24"/>
          <w:szCs w:val="24"/>
          <w:lang w:eastAsia="zh-CN"/>
        </w:rPr>
        <w:t>系统整改加固（详见附件：系统整改加固）。</w:t>
      </w:r>
    </w:p>
    <w:p>
      <w:pPr>
        <w:numPr>
          <w:ilvl w:val="0"/>
          <w:numId w:val="9"/>
        </w:numPr>
        <w:autoSpaceDE/>
        <w:autoSpaceDN/>
        <w:spacing w:line="360" w:lineRule="auto"/>
        <w:rPr>
          <w:color w:val="000000"/>
          <w:sz w:val="24"/>
          <w:szCs w:val="24"/>
          <w:lang w:eastAsia="zh-CN"/>
        </w:rPr>
      </w:pPr>
      <w:r>
        <w:rPr>
          <w:rFonts w:hint="eastAsia"/>
          <w:color w:val="000000"/>
          <w:sz w:val="24"/>
          <w:szCs w:val="24"/>
          <w:lang w:eastAsia="zh-CN"/>
        </w:rPr>
        <w:t>NCS信息系统（三级）等级保护测评、电力监控系统安全防护评估。</w:t>
      </w:r>
    </w:p>
    <w:p>
      <w:pPr>
        <w:numPr>
          <w:ilvl w:val="0"/>
          <w:numId w:val="9"/>
        </w:numPr>
        <w:autoSpaceDE/>
        <w:autoSpaceDN/>
        <w:spacing w:line="360" w:lineRule="auto"/>
        <w:jc w:val="both"/>
        <w:rPr>
          <w:color w:val="000000"/>
          <w:sz w:val="24"/>
          <w:szCs w:val="24"/>
          <w:lang w:eastAsia="zh-CN"/>
        </w:rPr>
      </w:pPr>
      <w:r>
        <w:rPr>
          <w:rFonts w:hint="eastAsia"/>
          <w:color w:val="000000"/>
          <w:sz w:val="24"/>
          <w:szCs w:val="24"/>
          <w:lang w:eastAsia="zh-CN"/>
        </w:rPr>
        <w:t>工程涉及文档整改（安全管理制度不完善或缺失等）。</w:t>
      </w:r>
    </w:p>
    <w:p>
      <w:pPr>
        <w:spacing w:line="360" w:lineRule="auto"/>
        <w:ind w:firstLine="480" w:firstLineChars="200"/>
        <w:rPr>
          <w:color w:val="000000"/>
          <w:sz w:val="24"/>
          <w:szCs w:val="24"/>
          <w:lang w:eastAsia="zh-CN"/>
        </w:rPr>
      </w:pPr>
      <w:r>
        <w:rPr>
          <w:rFonts w:hint="eastAsia"/>
          <w:color w:val="000000"/>
          <w:sz w:val="24"/>
          <w:szCs w:val="24"/>
          <w:lang w:eastAsia="zh-CN"/>
        </w:rPr>
        <w:t>（4）电力监控系统等级保护测评工作需提交公安部门和国家能源局认可的等级保护测评报告，电力监控系统安全防护评估工作交付物为国家能源局认可的安全防护评估报告。</w:t>
      </w:r>
    </w:p>
    <w:p>
      <w:pPr>
        <w:spacing w:line="360" w:lineRule="auto"/>
        <w:ind w:firstLine="480" w:firstLineChars="200"/>
        <w:rPr>
          <w:sz w:val="24"/>
          <w:szCs w:val="24"/>
          <w:lang w:eastAsia="zh-CN"/>
        </w:rPr>
      </w:pPr>
      <w:r>
        <w:rPr>
          <w:rFonts w:hint="eastAsia"/>
          <w:color w:val="000000"/>
          <w:sz w:val="24"/>
          <w:szCs w:val="24"/>
          <w:lang w:eastAsia="zh-CN"/>
        </w:rPr>
        <w:t>（5）根据国家等级保护相关标准，电力监控系统的安全等级保护测评应包括以下内容：</w:t>
      </w:r>
    </w:p>
    <w:p>
      <w:pPr>
        <w:tabs>
          <w:tab w:val="left" w:pos="1080"/>
          <w:tab w:val="left" w:pos="1680"/>
        </w:tabs>
        <w:snapToGrid w:val="0"/>
        <w:spacing w:line="360" w:lineRule="auto"/>
        <w:ind w:firstLine="480" w:firstLineChars="200"/>
        <w:rPr>
          <w:color w:val="000000"/>
          <w:sz w:val="24"/>
          <w:szCs w:val="24"/>
          <w:lang w:eastAsia="zh-CN"/>
        </w:rPr>
      </w:pPr>
      <w:r>
        <w:rPr>
          <w:rFonts w:hint="eastAsia"/>
          <w:color w:val="000000"/>
          <w:sz w:val="24"/>
          <w:szCs w:val="24"/>
          <w:lang w:eastAsia="zh-CN"/>
        </w:rPr>
        <w:t>安全技术测评：包括物理安全、网络安全、主机安全、应用安全和数据安全及备份恢复等五个方面的安全测评；</w:t>
      </w:r>
    </w:p>
    <w:p>
      <w:pPr>
        <w:tabs>
          <w:tab w:val="left" w:pos="1080"/>
          <w:tab w:val="left" w:pos="1680"/>
        </w:tabs>
        <w:snapToGrid w:val="0"/>
        <w:spacing w:line="360" w:lineRule="auto"/>
        <w:ind w:firstLine="480" w:firstLineChars="200"/>
        <w:rPr>
          <w:color w:val="000000"/>
          <w:sz w:val="24"/>
          <w:szCs w:val="24"/>
          <w:lang w:eastAsia="zh-CN"/>
        </w:rPr>
      </w:pPr>
      <w:r>
        <w:rPr>
          <w:rFonts w:hint="eastAsia"/>
          <w:color w:val="000000"/>
          <w:sz w:val="24"/>
          <w:szCs w:val="24"/>
          <w:lang w:eastAsia="zh-CN"/>
        </w:rPr>
        <w:t>安全管理测评：包括安全管理制度、安全管理机构、人员安全管理、系统建设管理和系统运维管理等五个方面的安全测评。</w:t>
      </w:r>
    </w:p>
    <w:p>
      <w:pPr>
        <w:overflowPunct w:val="0"/>
        <w:topLinePunct/>
        <w:snapToGrid w:val="0"/>
        <w:spacing w:line="360" w:lineRule="auto"/>
        <w:ind w:firstLine="480" w:firstLineChars="200"/>
        <w:rPr>
          <w:sz w:val="24"/>
          <w:szCs w:val="24"/>
          <w:lang w:eastAsia="zh-CN"/>
        </w:rPr>
      </w:pPr>
      <w:r>
        <w:rPr>
          <w:sz w:val="24"/>
          <w:szCs w:val="24"/>
          <w:lang w:eastAsia="zh-CN"/>
        </w:rPr>
        <w:t>电力</w:t>
      </w:r>
      <w:r>
        <w:rPr>
          <w:rFonts w:hint="eastAsia"/>
          <w:color w:val="000000"/>
          <w:sz w:val="24"/>
          <w:szCs w:val="24"/>
          <w:lang w:eastAsia="zh-CN"/>
        </w:rPr>
        <w:t>监控系统</w:t>
      </w:r>
      <w:r>
        <w:rPr>
          <w:sz w:val="24"/>
          <w:szCs w:val="24"/>
          <w:lang w:eastAsia="zh-CN"/>
        </w:rPr>
        <w:t>安全防护评估的主要内容包括：资产评估、威胁评估、脆弱性评估</w:t>
      </w:r>
      <w:r>
        <w:rPr>
          <w:rFonts w:hint="eastAsia"/>
          <w:sz w:val="24"/>
          <w:szCs w:val="24"/>
          <w:lang w:eastAsia="zh-CN"/>
        </w:rPr>
        <w:t>、现有安全措施有效性评估</w:t>
      </w:r>
      <w:r>
        <w:rPr>
          <w:sz w:val="24"/>
          <w:szCs w:val="24"/>
          <w:lang w:eastAsia="zh-CN"/>
        </w:rPr>
        <w:t>等</w:t>
      </w:r>
      <w:r>
        <w:rPr>
          <w:rFonts w:hint="eastAsia"/>
          <w:sz w:val="24"/>
          <w:szCs w:val="24"/>
          <w:lang w:eastAsia="zh-CN"/>
        </w:rPr>
        <w:t>。</w:t>
      </w:r>
    </w:p>
    <w:p>
      <w:pPr>
        <w:overflowPunct w:val="0"/>
        <w:topLinePunct/>
        <w:snapToGrid w:val="0"/>
        <w:spacing w:line="360" w:lineRule="auto"/>
        <w:ind w:firstLine="548" w:firstLineChars="196"/>
        <w:rPr>
          <w:sz w:val="24"/>
          <w:szCs w:val="24"/>
          <w:u w:val="single"/>
          <w:lang w:eastAsia="zh-CN"/>
        </w:rPr>
      </w:pPr>
      <w:r>
        <w:rPr>
          <w:rFonts w:hint="eastAsia"/>
          <w:bCs/>
          <w:sz w:val="28"/>
          <w:szCs w:val="28"/>
          <w:lang w:eastAsia="zh-CN"/>
        </w:rPr>
        <w:t>注：</w:t>
      </w:r>
      <w:r>
        <w:rPr>
          <w:rFonts w:hint="eastAsia"/>
          <w:sz w:val="28"/>
          <w:szCs w:val="28"/>
          <w:lang w:eastAsia="zh-CN"/>
        </w:rPr>
        <w:t>本次提供的工程量清单系预估的，仅供投标方参考，投标方应到工作现场实际核对工程量（数量）及做一步测算后报价，如有遗漏、缺项、计算错误均视为投标方优惠报价，不予追加工程款项。</w:t>
      </w:r>
    </w:p>
    <w:p>
      <w:pPr>
        <w:numPr>
          <w:ilvl w:val="0"/>
          <w:numId w:val="7"/>
        </w:numPr>
        <w:autoSpaceDE/>
        <w:autoSpaceDN/>
        <w:spacing w:line="360" w:lineRule="auto"/>
        <w:jc w:val="both"/>
        <w:outlineLvl w:val="0"/>
        <w:rPr>
          <w:b/>
          <w:sz w:val="24"/>
          <w:szCs w:val="24"/>
        </w:rPr>
      </w:pPr>
      <w:r>
        <w:rPr>
          <w:rFonts w:hint="eastAsia"/>
          <w:b/>
          <w:sz w:val="24"/>
          <w:szCs w:val="24"/>
        </w:rPr>
        <w:t>项目服务商要求</w:t>
      </w:r>
    </w:p>
    <w:p>
      <w:pPr>
        <w:numPr>
          <w:ilvl w:val="1"/>
          <w:numId w:val="7"/>
        </w:numPr>
        <w:autoSpaceDE/>
        <w:autoSpaceDN/>
        <w:spacing w:line="360" w:lineRule="auto"/>
        <w:jc w:val="both"/>
        <w:outlineLvl w:val="1"/>
        <w:rPr>
          <w:b/>
          <w:sz w:val="24"/>
          <w:szCs w:val="24"/>
        </w:rPr>
      </w:pPr>
      <w:r>
        <w:rPr>
          <w:rFonts w:hint="eastAsia"/>
          <w:b/>
          <w:sz w:val="24"/>
          <w:szCs w:val="24"/>
        </w:rPr>
        <w:t>服务团队技术要求</w:t>
      </w:r>
    </w:p>
    <w:p>
      <w:pPr>
        <w:spacing w:line="360" w:lineRule="auto"/>
        <w:ind w:firstLine="480" w:firstLineChars="200"/>
        <w:rPr>
          <w:color w:val="000000"/>
          <w:sz w:val="24"/>
          <w:szCs w:val="24"/>
          <w:lang w:eastAsia="zh-CN"/>
        </w:rPr>
      </w:pPr>
      <w:r>
        <w:rPr>
          <w:rFonts w:hint="eastAsia"/>
          <w:color w:val="000000"/>
          <w:sz w:val="24"/>
          <w:szCs w:val="24"/>
          <w:lang w:eastAsia="zh-CN"/>
        </w:rPr>
        <w:t>投标方应仔细阅读本技术规范书所列的各项规范，所提供的安全服务应满足本技术规范书提出的要求。投标方也可以推荐满足本技术规范的其他方案，但必须对其在技术规范方面与本技术规范书之间所存在的差异加以详细说明。若无说明，则按对投标方不利的方面理解。</w:t>
      </w:r>
    </w:p>
    <w:p>
      <w:pPr>
        <w:spacing w:line="360" w:lineRule="auto"/>
        <w:ind w:firstLine="480" w:firstLineChars="200"/>
        <w:rPr>
          <w:color w:val="FF0000"/>
          <w:sz w:val="24"/>
          <w:szCs w:val="24"/>
          <w:lang w:eastAsia="zh-CN"/>
        </w:rPr>
      </w:pPr>
      <w:r>
        <w:rPr>
          <w:rFonts w:hint="eastAsia"/>
          <w:color w:val="000000"/>
          <w:sz w:val="24"/>
          <w:szCs w:val="24"/>
          <w:lang w:eastAsia="zh-CN"/>
        </w:rPr>
        <w:t>投标方及投标产品应满足以下要求：</w:t>
      </w:r>
    </w:p>
    <w:p>
      <w:pPr>
        <w:pStyle w:val="44"/>
        <w:numPr>
          <w:ilvl w:val="0"/>
          <w:numId w:val="10"/>
        </w:numPr>
        <w:autoSpaceDE/>
        <w:autoSpaceDN/>
        <w:spacing w:before="0" w:line="360" w:lineRule="auto"/>
        <w:jc w:val="both"/>
        <w:rPr>
          <w:sz w:val="24"/>
          <w:szCs w:val="24"/>
          <w:lang w:eastAsia="zh-CN"/>
        </w:rPr>
      </w:pPr>
      <w:r>
        <w:rPr>
          <w:rFonts w:hint="eastAsia"/>
          <w:sz w:val="24"/>
          <w:szCs w:val="24"/>
          <w:lang w:eastAsia="zh-CN"/>
        </w:rPr>
        <w:t>投标方须具有《信息安全等级保护测评机构推荐证书》或是具有此资质证书单位的授权代理单位；</w:t>
      </w:r>
    </w:p>
    <w:p>
      <w:pPr>
        <w:pStyle w:val="44"/>
        <w:numPr>
          <w:ilvl w:val="0"/>
          <w:numId w:val="10"/>
        </w:numPr>
        <w:autoSpaceDE/>
        <w:autoSpaceDN/>
        <w:spacing w:before="0" w:line="360" w:lineRule="auto"/>
        <w:jc w:val="both"/>
        <w:rPr>
          <w:sz w:val="24"/>
          <w:szCs w:val="24"/>
          <w:lang w:eastAsia="zh-CN"/>
        </w:rPr>
      </w:pPr>
      <w:r>
        <w:rPr>
          <w:rFonts w:hint="eastAsia"/>
          <w:color w:val="000000"/>
          <w:sz w:val="24"/>
          <w:szCs w:val="24"/>
          <w:lang w:eastAsia="zh-CN"/>
        </w:rPr>
        <w:t>需具有公安部门和国家能源局认可的电力行业</w:t>
      </w:r>
      <w:r>
        <w:rPr>
          <w:rFonts w:hint="eastAsia"/>
          <w:sz w:val="24"/>
          <w:szCs w:val="24"/>
          <w:lang w:eastAsia="zh-CN"/>
        </w:rPr>
        <w:t>信息安全等级保护测评单位（</w:t>
      </w:r>
      <w:r>
        <w:rPr>
          <w:rFonts w:hint="eastAsia"/>
          <w:color w:val="4A4A4A"/>
          <w:sz w:val="24"/>
          <w:szCs w:val="24"/>
          <w:shd w:val="clear" w:color="auto" w:fill="FFFFFF"/>
          <w:lang w:eastAsia="zh-CN"/>
        </w:rPr>
        <w:t>第一实验室：北京华电卓识信息安全等级保护测评技术中心有限公司、第二实验室：中国电力科学研究、第三实验室：国网电力科学研究院、第四实验室：国电南京自动化股份有限公司、第五实验室：南方电网科学研究院有限责任公司、福建省网络与信息安全测评中心</w:t>
      </w:r>
      <w:r>
        <w:rPr>
          <w:rFonts w:hint="eastAsia"/>
          <w:sz w:val="24"/>
          <w:szCs w:val="24"/>
          <w:lang w:eastAsia="zh-CN"/>
        </w:rPr>
        <w:t>）；</w:t>
      </w:r>
    </w:p>
    <w:p>
      <w:pPr>
        <w:pStyle w:val="44"/>
        <w:numPr>
          <w:ilvl w:val="0"/>
          <w:numId w:val="10"/>
        </w:numPr>
        <w:autoSpaceDE/>
        <w:autoSpaceDN/>
        <w:spacing w:before="0" w:line="360" w:lineRule="auto"/>
        <w:jc w:val="both"/>
        <w:rPr>
          <w:sz w:val="24"/>
          <w:szCs w:val="24"/>
          <w:lang w:eastAsia="zh-CN"/>
        </w:rPr>
      </w:pPr>
      <w:r>
        <w:rPr>
          <w:rFonts w:hint="eastAsia"/>
          <w:sz w:val="24"/>
          <w:szCs w:val="24"/>
          <w:lang w:eastAsia="zh-CN"/>
        </w:rPr>
        <w:t>服务团队现场工作结束后，如果招标方对提出的安全问题有疑义，服务团队应予解答。</w:t>
      </w:r>
    </w:p>
    <w:p>
      <w:pPr>
        <w:numPr>
          <w:ilvl w:val="1"/>
          <w:numId w:val="7"/>
        </w:numPr>
        <w:autoSpaceDE/>
        <w:autoSpaceDN/>
        <w:spacing w:line="360" w:lineRule="auto"/>
        <w:jc w:val="both"/>
        <w:outlineLvl w:val="1"/>
        <w:rPr>
          <w:b/>
          <w:sz w:val="24"/>
          <w:szCs w:val="24"/>
        </w:rPr>
      </w:pPr>
      <w:r>
        <w:rPr>
          <w:rFonts w:hint="eastAsia"/>
          <w:b/>
          <w:sz w:val="24"/>
          <w:szCs w:val="24"/>
        </w:rPr>
        <w:t>驻场服务人员要求</w:t>
      </w:r>
    </w:p>
    <w:p>
      <w:pPr>
        <w:spacing w:line="360" w:lineRule="auto"/>
        <w:ind w:firstLine="480" w:firstLineChars="200"/>
        <w:rPr>
          <w:color w:val="000000"/>
          <w:sz w:val="24"/>
          <w:szCs w:val="24"/>
          <w:lang w:eastAsia="zh-CN"/>
        </w:rPr>
      </w:pPr>
      <w:r>
        <w:rPr>
          <w:rFonts w:hint="eastAsia"/>
          <w:color w:val="000000"/>
          <w:sz w:val="24"/>
          <w:szCs w:val="24"/>
          <w:lang w:eastAsia="zh-CN"/>
        </w:rPr>
        <w:t>投标方应与招标方签订保密协议，对检测和加固过程数据和结果数据严格保密，未经授权不得泄露给任何单位和个人，不得利用此数据侵害招标方的权益，否则招标方有权追究投标方的法律责任。</w:t>
      </w:r>
    </w:p>
    <w:p>
      <w:pPr>
        <w:spacing w:line="360" w:lineRule="auto"/>
        <w:ind w:firstLine="480" w:firstLineChars="200"/>
        <w:rPr>
          <w:color w:val="000000"/>
          <w:sz w:val="24"/>
          <w:szCs w:val="24"/>
          <w:lang w:eastAsia="zh-CN"/>
        </w:rPr>
      </w:pPr>
      <w:r>
        <w:rPr>
          <w:rFonts w:hint="eastAsia"/>
          <w:color w:val="000000"/>
          <w:sz w:val="24"/>
          <w:szCs w:val="24"/>
          <w:lang w:eastAsia="zh-CN"/>
        </w:rPr>
        <w:t>投标方工作中的过程和文档，应具有规范性，便于项目跟踪和控制。</w:t>
      </w:r>
    </w:p>
    <w:p>
      <w:pPr>
        <w:numPr>
          <w:ilvl w:val="1"/>
          <w:numId w:val="7"/>
        </w:numPr>
        <w:autoSpaceDE/>
        <w:autoSpaceDN/>
        <w:spacing w:line="360" w:lineRule="auto"/>
        <w:jc w:val="both"/>
        <w:outlineLvl w:val="1"/>
        <w:rPr>
          <w:b/>
          <w:sz w:val="24"/>
          <w:szCs w:val="24"/>
        </w:rPr>
      </w:pPr>
      <w:r>
        <w:rPr>
          <w:rFonts w:hint="eastAsia"/>
          <w:b/>
          <w:sz w:val="24"/>
          <w:szCs w:val="24"/>
        </w:rPr>
        <w:t>技术支持服务要求</w:t>
      </w:r>
    </w:p>
    <w:p>
      <w:pPr>
        <w:pStyle w:val="81"/>
        <w:overflowPunct w:val="0"/>
        <w:topLinePunct/>
        <w:spacing w:line="360" w:lineRule="auto"/>
        <w:ind w:firstLine="480" w:firstLineChars="200"/>
        <w:rPr>
          <w:color w:val="auto"/>
          <w:sz w:val="24"/>
          <w:szCs w:val="24"/>
          <w:lang w:eastAsia="zh-CN"/>
        </w:rPr>
      </w:pPr>
      <w:r>
        <w:rPr>
          <w:rFonts w:hint="eastAsia"/>
          <w:color w:val="auto"/>
          <w:sz w:val="24"/>
          <w:szCs w:val="24"/>
          <w:lang w:eastAsia="zh-CN"/>
        </w:rPr>
        <w:t>测评及评估工作本身也会引入安全风险，必须加强测评及评估过程中的风险控制。项目实施前，双方应充分讨论并明确测评及评估对系统可能带来的风险和隐患，确定测评及评估对象、测评及评估方法和工具，并</w:t>
      </w:r>
      <w:r>
        <w:rPr>
          <w:color w:val="auto"/>
          <w:sz w:val="24"/>
          <w:szCs w:val="24"/>
          <w:lang w:eastAsia="zh-CN"/>
        </w:rPr>
        <w:t>制定</w:t>
      </w:r>
      <w:r>
        <w:rPr>
          <w:rFonts w:hint="eastAsia"/>
          <w:color w:val="auto"/>
          <w:sz w:val="24"/>
          <w:szCs w:val="24"/>
          <w:lang w:eastAsia="zh-CN"/>
        </w:rPr>
        <w:t>应急恢复措施。</w:t>
      </w:r>
    </w:p>
    <w:p>
      <w:pPr>
        <w:spacing w:line="360" w:lineRule="auto"/>
        <w:ind w:firstLine="480" w:firstLineChars="200"/>
        <w:rPr>
          <w:sz w:val="24"/>
          <w:szCs w:val="24"/>
          <w:lang w:eastAsia="zh-CN"/>
        </w:rPr>
      </w:pPr>
      <w:r>
        <w:rPr>
          <w:rFonts w:hint="eastAsia"/>
          <w:sz w:val="24"/>
          <w:szCs w:val="24"/>
          <w:lang w:eastAsia="zh-CN"/>
        </w:rPr>
        <w:t>（1）</w:t>
      </w:r>
      <w:r>
        <w:rPr>
          <w:sz w:val="24"/>
          <w:szCs w:val="24"/>
          <w:lang w:eastAsia="zh-CN"/>
        </w:rPr>
        <w:t>操作的申请和监护</w:t>
      </w:r>
    </w:p>
    <w:p>
      <w:pPr>
        <w:spacing w:line="360" w:lineRule="auto"/>
        <w:ind w:firstLine="480" w:firstLineChars="200"/>
        <w:rPr>
          <w:sz w:val="24"/>
          <w:szCs w:val="24"/>
          <w:lang w:eastAsia="zh-CN"/>
        </w:rPr>
      </w:pPr>
      <w:r>
        <w:rPr>
          <w:rFonts w:hint="eastAsia"/>
          <w:sz w:val="24"/>
          <w:szCs w:val="24"/>
          <w:lang w:eastAsia="zh-CN"/>
        </w:rPr>
        <w:t>测评及评估</w:t>
      </w:r>
      <w:r>
        <w:rPr>
          <w:sz w:val="24"/>
          <w:szCs w:val="24"/>
          <w:lang w:eastAsia="zh-CN"/>
        </w:rPr>
        <w:t>操作必须遵守</w:t>
      </w:r>
      <w:r>
        <w:rPr>
          <w:rFonts w:hint="eastAsia"/>
          <w:sz w:val="24"/>
          <w:szCs w:val="24"/>
          <w:lang w:eastAsia="zh-CN"/>
        </w:rPr>
        <w:t>现场运行规章制度，确保系统安全稳定运行。如需在线测试，按照相关工作规程，事前提前申请，并在专责人员的指导和监护下进行。</w:t>
      </w:r>
    </w:p>
    <w:p>
      <w:pPr>
        <w:spacing w:line="360" w:lineRule="auto"/>
        <w:ind w:firstLine="480" w:firstLineChars="200"/>
        <w:rPr>
          <w:sz w:val="24"/>
          <w:szCs w:val="24"/>
          <w:lang w:eastAsia="zh-CN"/>
        </w:rPr>
      </w:pPr>
      <w:r>
        <w:rPr>
          <w:rFonts w:hint="eastAsia"/>
          <w:sz w:val="24"/>
          <w:szCs w:val="24"/>
          <w:lang w:eastAsia="zh-CN"/>
        </w:rPr>
        <w:t>（2）</w:t>
      </w:r>
      <w:r>
        <w:rPr>
          <w:sz w:val="24"/>
          <w:szCs w:val="24"/>
          <w:lang w:eastAsia="zh-CN"/>
        </w:rPr>
        <w:t>人员与数据管理</w:t>
      </w:r>
    </w:p>
    <w:p>
      <w:pPr>
        <w:spacing w:line="360" w:lineRule="auto"/>
        <w:ind w:firstLine="480" w:firstLineChars="200"/>
        <w:rPr>
          <w:sz w:val="24"/>
          <w:szCs w:val="24"/>
          <w:lang w:eastAsia="zh-CN"/>
        </w:rPr>
      </w:pPr>
      <w:r>
        <w:rPr>
          <w:sz w:val="24"/>
          <w:szCs w:val="24"/>
          <w:lang w:eastAsia="zh-CN"/>
        </w:rPr>
        <w:t>重视保密工作，加强</w:t>
      </w:r>
      <w:r>
        <w:rPr>
          <w:rFonts w:hint="eastAsia"/>
          <w:sz w:val="24"/>
          <w:szCs w:val="24"/>
          <w:lang w:eastAsia="zh-CN"/>
        </w:rPr>
        <w:t>测评及评估过程中的保密管理，</w:t>
      </w:r>
      <w:r>
        <w:rPr>
          <w:sz w:val="24"/>
          <w:szCs w:val="24"/>
          <w:lang w:eastAsia="zh-CN"/>
        </w:rPr>
        <w:t>确保</w:t>
      </w:r>
      <w:r>
        <w:rPr>
          <w:rFonts w:hint="eastAsia"/>
          <w:sz w:val="24"/>
          <w:szCs w:val="24"/>
          <w:lang w:eastAsia="zh-CN"/>
        </w:rPr>
        <w:t>参与</w:t>
      </w:r>
      <w:r>
        <w:rPr>
          <w:sz w:val="24"/>
          <w:szCs w:val="24"/>
          <w:lang w:eastAsia="zh-CN"/>
        </w:rPr>
        <w:t>测评</w:t>
      </w:r>
      <w:r>
        <w:rPr>
          <w:rFonts w:hint="eastAsia"/>
          <w:sz w:val="24"/>
          <w:szCs w:val="24"/>
          <w:lang w:eastAsia="zh-CN"/>
        </w:rPr>
        <w:t>工作</w:t>
      </w:r>
      <w:r>
        <w:rPr>
          <w:sz w:val="24"/>
          <w:szCs w:val="24"/>
          <w:lang w:eastAsia="zh-CN"/>
        </w:rPr>
        <w:t>人员</w:t>
      </w:r>
      <w:r>
        <w:rPr>
          <w:rFonts w:hint="eastAsia"/>
          <w:sz w:val="24"/>
          <w:szCs w:val="24"/>
          <w:lang w:eastAsia="zh-CN"/>
        </w:rPr>
        <w:t>的</w:t>
      </w:r>
      <w:r>
        <w:rPr>
          <w:sz w:val="24"/>
          <w:szCs w:val="24"/>
          <w:lang w:eastAsia="zh-CN"/>
        </w:rPr>
        <w:t>可靠</w:t>
      </w:r>
      <w:r>
        <w:rPr>
          <w:rFonts w:hint="eastAsia"/>
          <w:sz w:val="24"/>
          <w:szCs w:val="24"/>
          <w:lang w:eastAsia="zh-CN"/>
        </w:rPr>
        <w:t>、</w:t>
      </w:r>
      <w:r>
        <w:rPr>
          <w:sz w:val="24"/>
          <w:szCs w:val="24"/>
          <w:lang w:eastAsia="zh-CN"/>
        </w:rPr>
        <w:t>稳定</w:t>
      </w:r>
      <w:r>
        <w:rPr>
          <w:rFonts w:hint="eastAsia"/>
          <w:sz w:val="24"/>
          <w:szCs w:val="24"/>
          <w:lang w:eastAsia="zh-CN"/>
        </w:rPr>
        <w:t>，</w:t>
      </w:r>
      <w:r>
        <w:rPr>
          <w:sz w:val="24"/>
          <w:szCs w:val="24"/>
          <w:lang w:eastAsia="zh-CN"/>
        </w:rPr>
        <w:t>防止敏感信息泄漏。</w:t>
      </w:r>
    </w:p>
    <w:p>
      <w:pPr>
        <w:spacing w:line="360" w:lineRule="auto"/>
        <w:ind w:firstLine="480" w:firstLineChars="200"/>
        <w:rPr>
          <w:sz w:val="24"/>
          <w:szCs w:val="24"/>
          <w:lang w:eastAsia="zh-CN"/>
        </w:rPr>
      </w:pPr>
      <w:r>
        <w:rPr>
          <w:rFonts w:hint="eastAsia"/>
          <w:sz w:val="24"/>
          <w:szCs w:val="24"/>
          <w:lang w:eastAsia="zh-CN"/>
        </w:rPr>
        <w:t>（3）测评对象选择</w:t>
      </w:r>
    </w:p>
    <w:p>
      <w:pPr>
        <w:spacing w:line="360" w:lineRule="auto"/>
        <w:ind w:firstLine="480" w:firstLineChars="200"/>
        <w:rPr>
          <w:sz w:val="24"/>
          <w:szCs w:val="24"/>
          <w:lang w:eastAsia="zh-CN"/>
        </w:rPr>
      </w:pPr>
      <w:r>
        <w:rPr>
          <w:rFonts w:hint="eastAsia"/>
          <w:sz w:val="24"/>
          <w:szCs w:val="24"/>
          <w:lang w:eastAsia="zh-CN"/>
        </w:rPr>
        <w:t>优先选择备用设备（系统）或</w:t>
      </w:r>
      <w:r>
        <w:rPr>
          <w:sz w:val="24"/>
          <w:szCs w:val="24"/>
          <w:lang w:eastAsia="zh-CN"/>
        </w:rPr>
        <w:t>临时搭建的</w:t>
      </w:r>
      <w:r>
        <w:rPr>
          <w:bCs/>
          <w:iCs/>
          <w:sz w:val="24"/>
          <w:szCs w:val="24"/>
          <w:lang w:eastAsia="zh-CN"/>
        </w:rPr>
        <w:t>模拟</w:t>
      </w:r>
      <w:r>
        <w:rPr>
          <w:sz w:val="24"/>
          <w:szCs w:val="24"/>
          <w:lang w:eastAsia="zh-CN"/>
        </w:rPr>
        <w:t>环境</w:t>
      </w:r>
      <w:r>
        <w:rPr>
          <w:rFonts w:hint="eastAsia"/>
          <w:sz w:val="24"/>
          <w:szCs w:val="24"/>
          <w:lang w:eastAsia="zh-CN"/>
        </w:rPr>
        <w:t>进行测评及评估，避免影响在线系统运行</w:t>
      </w:r>
      <w:r>
        <w:rPr>
          <w:sz w:val="24"/>
          <w:szCs w:val="24"/>
          <w:lang w:eastAsia="zh-CN"/>
        </w:rPr>
        <w:t>。</w:t>
      </w:r>
    </w:p>
    <w:p>
      <w:pPr>
        <w:spacing w:line="360" w:lineRule="auto"/>
        <w:ind w:firstLine="480" w:firstLineChars="200"/>
        <w:rPr>
          <w:sz w:val="24"/>
          <w:szCs w:val="24"/>
          <w:lang w:eastAsia="zh-CN"/>
        </w:rPr>
      </w:pPr>
      <w:r>
        <w:rPr>
          <w:rFonts w:hint="eastAsia"/>
          <w:sz w:val="24"/>
          <w:szCs w:val="24"/>
          <w:lang w:eastAsia="zh-CN"/>
        </w:rPr>
        <w:t>（4）</w:t>
      </w:r>
      <w:r>
        <w:rPr>
          <w:sz w:val="24"/>
          <w:szCs w:val="24"/>
          <w:lang w:eastAsia="zh-CN"/>
        </w:rPr>
        <w:t>制定应急预案</w:t>
      </w:r>
    </w:p>
    <w:p>
      <w:pPr>
        <w:spacing w:line="360" w:lineRule="auto"/>
        <w:ind w:firstLine="480" w:firstLineChars="200"/>
        <w:rPr>
          <w:sz w:val="24"/>
          <w:szCs w:val="24"/>
          <w:lang w:eastAsia="zh-CN"/>
        </w:rPr>
      </w:pPr>
      <w:r>
        <w:rPr>
          <w:rFonts w:hint="eastAsia"/>
          <w:sz w:val="24"/>
          <w:szCs w:val="24"/>
          <w:lang w:eastAsia="zh-CN"/>
        </w:rPr>
        <w:t>根据被测系统情况，在测评及评估实施前</w:t>
      </w:r>
      <w:r>
        <w:rPr>
          <w:sz w:val="24"/>
          <w:szCs w:val="24"/>
          <w:lang w:eastAsia="zh-CN"/>
        </w:rPr>
        <w:t>制定应急预案</w:t>
      </w:r>
      <w:r>
        <w:rPr>
          <w:rFonts w:hint="eastAsia"/>
          <w:sz w:val="24"/>
          <w:szCs w:val="24"/>
          <w:lang w:eastAsia="zh-CN"/>
        </w:rPr>
        <w:t>，加强系统在线应急处置能力。</w:t>
      </w:r>
    </w:p>
    <w:p>
      <w:pPr>
        <w:spacing w:line="360" w:lineRule="auto"/>
        <w:ind w:firstLine="480" w:firstLineChars="200"/>
        <w:rPr>
          <w:sz w:val="24"/>
          <w:szCs w:val="24"/>
          <w:lang w:eastAsia="zh-CN"/>
        </w:rPr>
      </w:pPr>
      <w:r>
        <w:rPr>
          <w:rFonts w:hint="eastAsia"/>
          <w:sz w:val="24"/>
          <w:szCs w:val="24"/>
          <w:lang w:eastAsia="zh-CN"/>
        </w:rPr>
        <w:t>（5）关键业务系统风险控制</w:t>
      </w:r>
    </w:p>
    <w:p>
      <w:pPr>
        <w:numPr>
          <w:ilvl w:val="0"/>
          <w:numId w:val="7"/>
        </w:numPr>
        <w:autoSpaceDE/>
        <w:autoSpaceDN/>
        <w:spacing w:line="360" w:lineRule="auto"/>
        <w:jc w:val="both"/>
        <w:outlineLvl w:val="0"/>
        <w:rPr>
          <w:b/>
          <w:sz w:val="32"/>
          <w:szCs w:val="32"/>
          <w:lang w:eastAsia="zh-CN"/>
        </w:rPr>
      </w:pPr>
      <w:r>
        <w:rPr>
          <w:rFonts w:hint="eastAsia"/>
          <w:sz w:val="24"/>
          <w:szCs w:val="24"/>
          <w:lang w:eastAsia="zh-CN"/>
        </w:rPr>
        <w:t>生产控制大区在线运行系统禁止采用渗透测试工具进行测评。</w:t>
      </w:r>
    </w:p>
    <w:p>
      <w:pPr>
        <w:numPr>
          <w:ilvl w:val="0"/>
          <w:numId w:val="7"/>
        </w:numPr>
        <w:autoSpaceDE/>
        <w:autoSpaceDN/>
        <w:spacing w:line="360" w:lineRule="auto"/>
        <w:jc w:val="both"/>
        <w:outlineLvl w:val="0"/>
        <w:rPr>
          <w:b/>
          <w:sz w:val="24"/>
          <w:szCs w:val="24"/>
        </w:rPr>
      </w:pPr>
      <w:r>
        <w:rPr>
          <w:rFonts w:hint="eastAsia"/>
          <w:b/>
          <w:sz w:val="24"/>
          <w:szCs w:val="24"/>
        </w:rPr>
        <w:t>技术规范</w:t>
      </w:r>
      <w:bookmarkEnd w:id="22"/>
      <w:bookmarkEnd w:id="23"/>
    </w:p>
    <w:p>
      <w:pPr>
        <w:numPr>
          <w:ilvl w:val="1"/>
          <w:numId w:val="7"/>
        </w:numPr>
        <w:autoSpaceDE/>
        <w:autoSpaceDN/>
        <w:spacing w:line="360" w:lineRule="auto"/>
        <w:jc w:val="both"/>
        <w:outlineLvl w:val="1"/>
        <w:rPr>
          <w:b/>
          <w:sz w:val="24"/>
          <w:szCs w:val="24"/>
        </w:rPr>
      </w:pPr>
      <w:bookmarkStart w:id="24" w:name="_Toc311015402"/>
      <w:r>
        <w:rPr>
          <w:rFonts w:hint="eastAsia"/>
          <w:b/>
          <w:sz w:val="24"/>
          <w:szCs w:val="24"/>
        </w:rPr>
        <w:t>测评及评估原则</w:t>
      </w:r>
      <w:bookmarkEnd w:id="24"/>
    </w:p>
    <w:p>
      <w:pPr>
        <w:overflowPunct w:val="0"/>
        <w:topLinePunct/>
        <w:snapToGrid w:val="0"/>
        <w:spacing w:line="360" w:lineRule="auto"/>
        <w:ind w:firstLine="480" w:firstLineChars="200"/>
        <w:rPr>
          <w:sz w:val="24"/>
          <w:szCs w:val="24"/>
          <w:lang w:eastAsia="zh-CN"/>
        </w:rPr>
      </w:pPr>
      <w:r>
        <w:rPr>
          <w:rFonts w:hint="eastAsia"/>
          <w:sz w:val="24"/>
          <w:szCs w:val="24"/>
          <w:lang w:eastAsia="zh-CN"/>
        </w:rPr>
        <w:t>本项目</w:t>
      </w:r>
      <w:r>
        <w:rPr>
          <w:sz w:val="24"/>
          <w:szCs w:val="24"/>
          <w:lang w:eastAsia="zh-CN"/>
        </w:rPr>
        <w:t>实施方案设计与具体实施应满足以下原则：</w:t>
      </w:r>
    </w:p>
    <w:p>
      <w:pPr>
        <w:numPr>
          <w:ilvl w:val="2"/>
          <w:numId w:val="7"/>
        </w:numPr>
        <w:tabs>
          <w:tab w:val="left" w:pos="0"/>
          <w:tab w:val="clear" w:pos="851"/>
        </w:tabs>
        <w:overflowPunct w:val="0"/>
        <w:topLinePunct/>
        <w:autoSpaceDE/>
        <w:autoSpaceDN/>
        <w:snapToGrid w:val="0"/>
        <w:spacing w:line="360" w:lineRule="auto"/>
        <w:ind w:left="0" w:firstLine="0"/>
        <w:jc w:val="both"/>
        <w:rPr>
          <w:sz w:val="24"/>
          <w:szCs w:val="24"/>
          <w:lang w:eastAsia="zh-CN"/>
        </w:rPr>
      </w:pPr>
      <w:r>
        <w:rPr>
          <w:sz w:val="24"/>
          <w:szCs w:val="24"/>
          <w:lang w:eastAsia="zh-CN"/>
        </w:rPr>
        <w:t>保密</w:t>
      </w:r>
      <w:r>
        <w:rPr>
          <w:rFonts w:hint="eastAsia"/>
          <w:sz w:val="24"/>
          <w:szCs w:val="24"/>
          <w:lang w:eastAsia="zh-CN"/>
        </w:rPr>
        <w:t>性</w:t>
      </w:r>
      <w:r>
        <w:rPr>
          <w:sz w:val="24"/>
          <w:szCs w:val="24"/>
          <w:lang w:eastAsia="zh-CN"/>
        </w:rPr>
        <w:t>原则：</w:t>
      </w:r>
      <w:r>
        <w:rPr>
          <w:rFonts w:hint="eastAsia"/>
          <w:sz w:val="24"/>
          <w:szCs w:val="24"/>
          <w:lang w:eastAsia="zh-CN"/>
        </w:rPr>
        <w:t>项目实施方</w:t>
      </w:r>
      <w:r>
        <w:rPr>
          <w:sz w:val="24"/>
          <w:szCs w:val="24"/>
          <w:lang w:eastAsia="zh-CN"/>
        </w:rPr>
        <w:t>应与</w:t>
      </w:r>
      <w:r>
        <w:rPr>
          <w:rFonts w:hint="eastAsia"/>
          <w:sz w:val="24"/>
          <w:szCs w:val="24"/>
          <w:lang w:eastAsia="zh-CN"/>
        </w:rPr>
        <w:t>招标方签订</w:t>
      </w:r>
      <w:r>
        <w:rPr>
          <w:sz w:val="24"/>
          <w:szCs w:val="24"/>
          <w:lang w:eastAsia="zh-CN"/>
        </w:rPr>
        <w:t>保密协议</w:t>
      </w:r>
      <w:r>
        <w:rPr>
          <w:rFonts w:hint="eastAsia"/>
          <w:sz w:val="24"/>
          <w:szCs w:val="24"/>
          <w:lang w:eastAsia="zh-CN"/>
        </w:rPr>
        <w:t>，</w:t>
      </w:r>
      <w:r>
        <w:rPr>
          <w:sz w:val="24"/>
          <w:szCs w:val="24"/>
          <w:lang w:eastAsia="zh-CN"/>
        </w:rPr>
        <w:t>对测评的过程数据和结果数据严格保密，未经授权不得泄露给任何单位和个人，不得利用此数据侵害</w:t>
      </w:r>
      <w:r>
        <w:rPr>
          <w:rFonts w:hint="eastAsia"/>
          <w:sz w:val="24"/>
          <w:szCs w:val="24"/>
          <w:lang w:eastAsia="zh-CN"/>
        </w:rPr>
        <w:t>招标方的权益</w:t>
      </w:r>
      <w:r>
        <w:rPr>
          <w:sz w:val="24"/>
          <w:szCs w:val="24"/>
          <w:lang w:eastAsia="zh-CN"/>
        </w:rPr>
        <w:t>，否则</w:t>
      </w:r>
      <w:r>
        <w:rPr>
          <w:rFonts w:hint="eastAsia"/>
          <w:sz w:val="24"/>
          <w:szCs w:val="24"/>
          <w:lang w:eastAsia="zh-CN"/>
        </w:rPr>
        <w:t>招标方</w:t>
      </w:r>
      <w:r>
        <w:rPr>
          <w:sz w:val="24"/>
          <w:szCs w:val="24"/>
          <w:lang w:eastAsia="zh-CN"/>
        </w:rPr>
        <w:t>有权追究</w:t>
      </w:r>
      <w:r>
        <w:rPr>
          <w:rFonts w:hint="eastAsia"/>
          <w:sz w:val="24"/>
          <w:szCs w:val="24"/>
          <w:lang w:eastAsia="zh-CN"/>
        </w:rPr>
        <w:t>投标方</w:t>
      </w:r>
      <w:r>
        <w:rPr>
          <w:sz w:val="24"/>
          <w:szCs w:val="24"/>
          <w:lang w:eastAsia="zh-CN"/>
        </w:rPr>
        <w:t>的</w:t>
      </w:r>
      <w:r>
        <w:rPr>
          <w:rFonts w:hint="eastAsia"/>
          <w:sz w:val="24"/>
          <w:szCs w:val="24"/>
          <w:lang w:eastAsia="zh-CN"/>
        </w:rPr>
        <w:t>法律</w:t>
      </w:r>
      <w:r>
        <w:rPr>
          <w:sz w:val="24"/>
          <w:szCs w:val="24"/>
          <w:lang w:eastAsia="zh-CN"/>
        </w:rPr>
        <w:t>责任。</w:t>
      </w:r>
    </w:p>
    <w:p>
      <w:pPr>
        <w:numPr>
          <w:ilvl w:val="2"/>
          <w:numId w:val="7"/>
        </w:numPr>
        <w:tabs>
          <w:tab w:val="left" w:pos="0"/>
          <w:tab w:val="clear" w:pos="851"/>
        </w:tabs>
        <w:overflowPunct w:val="0"/>
        <w:topLinePunct/>
        <w:autoSpaceDE/>
        <w:autoSpaceDN/>
        <w:snapToGrid w:val="0"/>
        <w:spacing w:line="360" w:lineRule="auto"/>
        <w:ind w:left="0" w:firstLine="0"/>
        <w:jc w:val="both"/>
        <w:rPr>
          <w:sz w:val="24"/>
          <w:szCs w:val="24"/>
          <w:lang w:eastAsia="zh-CN"/>
        </w:rPr>
      </w:pPr>
      <w:r>
        <w:rPr>
          <w:sz w:val="24"/>
          <w:szCs w:val="24"/>
          <w:lang w:eastAsia="zh-CN"/>
        </w:rPr>
        <w:t>标准性原则：测评</w:t>
      </w:r>
      <w:r>
        <w:rPr>
          <w:rFonts w:hint="eastAsia"/>
          <w:sz w:val="24"/>
          <w:szCs w:val="24"/>
          <w:lang w:eastAsia="zh-CN"/>
        </w:rPr>
        <w:t>及评估</w:t>
      </w:r>
      <w:r>
        <w:rPr>
          <w:sz w:val="24"/>
          <w:szCs w:val="24"/>
          <w:lang w:eastAsia="zh-CN"/>
        </w:rPr>
        <w:t>方案的设计与实施应依据国家的相关标准进行。</w:t>
      </w:r>
    </w:p>
    <w:p>
      <w:pPr>
        <w:numPr>
          <w:ilvl w:val="2"/>
          <w:numId w:val="7"/>
        </w:numPr>
        <w:tabs>
          <w:tab w:val="left" w:pos="0"/>
          <w:tab w:val="clear" w:pos="851"/>
        </w:tabs>
        <w:overflowPunct w:val="0"/>
        <w:topLinePunct/>
        <w:autoSpaceDE/>
        <w:autoSpaceDN/>
        <w:snapToGrid w:val="0"/>
        <w:spacing w:line="360" w:lineRule="auto"/>
        <w:ind w:left="0" w:firstLine="0"/>
        <w:jc w:val="both"/>
        <w:rPr>
          <w:sz w:val="24"/>
          <w:szCs w:val="24"/>
          <w:lang w:eastAsia="zh-CN"/>
        </w:rPr>
      </w:pPr>
      <w:r>
        <w:rPr>
          <w:sz w:val="24"/>
          <w:szCs w:val="24"/>
          <w:lang w:eastAsia="zh-CN"/>
        </w:rPr>
        <w:t>规范性原则：</w:t>
      </w:r>
      <w:r>
        <w:rPr>
          <w:rFonts w:hint="eastAsia"/>
          <w:sz w:val="24"/>
          <w:szCs w:val="24"/>
          <w:lang w:eastAsia="zh-CN"/>
        </w:rPr>
        <w:t>项目实施方</w:t>
      </w:r>
      <w:r>
        <w:rPr>
          <w:sz w:val="24"/>
          <w:szCs w:val="24"/>
          <w:lang w:eastAsia="zh-CN"/>
        </w:rPr>
        <w:t>工作中的过程和文档，</w:t>
      </w:r>
      <w:r>
        <w:rPr>
          <w:rFonts w:hint="eastAsia"/>
          <w:sz w:val="24"/>
          <w:szCs w:val="24"/>
          <w:lang w:eastAsia="zh-CN"/>
        </w:rPr>
        <w:t>应</w:t>
      </w:r>
      <w:r>
        <w:rPr>
          <w:sz w:val="24"/>
          <w:szCs w:val="24"/>
          <w:lang w:eastAsia="zh-CN"/>
        </w:rPr>
        <w:t>具有规范性，便于项目跟踪和控制</w:t>
      </w:r>
      <w:r>
        <w:rPr>
          <w:rFonts w:hint="eastAsia"/>
          <w:sz w:val="24"/>
          <w:szCs w:val="24"/>
          <w:lang w:eastAsia="zh-CN"/>
        </w:rPr>
        <w:t>。</w:t>
      </w:r>
    </w:p>
    <w:p>
      <w:pPr>
        <w:numPr>
          <w:ilvl w:val="2"/>
          <w:numId w:val="7"/>
        </w:numPr>
        <w:tabs>
          <w:tab w:val="left" w:pos="0"/>
          <w:tab w:val="clear" w:pos="851"/>
        </w:tabs>
        <w:overflowPunct w:val="0"/>
        <w:topLinePunct/>
        <w:autoSpaceDE/>
        <w:autoSpaceDN/>
        <w:snapToGrid w:val="0"/>
        <w:spacing w:line="360" w:lineRule="auto"/>
        <w:ind w:left="0" w:firstLine="0"/>
        <w:jc w:val="both"/>
        <w:rPr>
          <w:sz w:val="24"/>
          <w:szCs w:val="24"/>
          <w:lang w:eastAsia="zh-CN"/>
        </w:rPr>
      </w:pPr>
      <w:r>
        <w:rPr>
          <w:sz w:val="24"/>
          <w:szCs w:val="24"/>
          <w:lang w:eastAsia="zh-CN"/>
        </w:rPr>
        <w:t>可控性原则：</w:t>
      </w:r>
      <w:r>
        <w:rPr>
          <w:rFonts w:hint="eastAsia"/>
          <w:sz w:val="24"/>
          <w:szCs w:val="24"/>
          <w:lang w:eastAsia="zh-CN"/>
        </w:rPr>
        <w:t>项目</w:t>
      </w:r>
      <w:r>
        <w:rPr>
          <w:sz w:val="24"/>
          <w:szCs w:val="24"/>
          <w:lang w:eastAsia="zh-CN"/>
        </w:rPr>
        <w:t>的进度</w:t>
      </w:r>
      <w:r>
        <w:rPr>
          <w:rFonts w:hint="eastAsia"/>
          <w:sz w:val="24"/>
          <w:szCs w:val="24"/>
          <w:lang w:eastAsia="zh-CN"/>
        </w:rPr>
        <w:t>应符合</w:t>
      </w:r>
      <w:r>
        <w:rPr>
          <w:sz w:val="24"/>
          <w:szCs w:val="24"/>
          <w:lang w:eastAsia="zh-CN"/>
        </w:rPr>
        <w:t>进度安排，保证</w:t>
      </w:r>
      <w:r>
        <w:rPr>
          <w:rFonts w:hint="eastAsia"/>
          <w:sz w:val="24"/>
          <w:szCs w:val="24"/>
          <w:lang w:eastAsia="zh-CN"/>
        </w:rPr>
        <w:t>招标方</w:t>
      </w:r>
      <w:r>
        <w:rPr>
          <w:sz w:val="24"/>
          <w:szCs w:val="24"/>
          <w:lang w:eastAsia="zh-CN"/>
        </w:rPr>
        <w:t>对测评工作的可控性</w:t>
      </w:r>
      <w:r>
        <w:rPr>
          <w:rFonts w:hint="eastAsia"/>
          <w:sz w:val="24"/>
          <w:szCs w:val="24"/>
          <w:lang w:eastAsia="zh-CN"/>
        </w:rPr>
        <w:t>。</w:t>
      </w:r>
    </w:p>
    <w:p>
      <w:pPr>
        <w:numPr>
          <w:ilvl w:val="2"/>
          <w:numId w:val="7"/>
        </w:numPr>
        <w:tabs>
          <w:tab w:val="left" w:pos="0"/>
          <w:tab w:val="clear" w:pos="851"/>
        </w:tabs>
        <w:overflowPunct w:val="0"/>
        <w:topLinePunct/>
        <w:autoSpaceDE/>
        <w:autoSpaceDN/>
        <w:snapToGrid w:val="0"/>
        <w:spacing w:line="360" w:lineRule="auto"/>
        <w:ind w:left="0" w:firstLine="0"/>
        <w:jc w:val="both"/>
        <w:rPr>
          <w:sz w:val="24"/>
          <w:szCs w:val="24"/>
          <w:lang w:eastAsia="zh-CN"/>
        </w:rPr>
      </w:pPr>
      <w:r>
        <w:rPr>
          <w:sz w:val="24"/>
          <w:szCs w:val="24"/>
          <w:lang w:eastAsia="zh-CN"/>
        </w:rPr>
        <w:t>整体性原则：测评</w:t>
      </w:r>
      <w:r>
        <w:rPr>
          <w:rFonts w:hint="eastAsia"/>
          <w:sz w:val="24"/>
          <w:szCs w:val="24"/>
          <w:lang w:eastAsia="zh-CN"/>
        </w:rPr>
        <w:t>及评估</w:t>
      </w:r>
      <w:r>
        <w:rPr>
          <w:sz w:val="24"/>
          <w:szCs w:val="24"/>
          <w:lang w:eastAsia="zh-CN"/>
        </w:rPr>
        <w:t>的范围和内容应</w:t>
      </w:r>
      <w:r>
        <w:rPr>
          <w:rFonts w:hint="eastAsia"/>
          <w:sz w:val="24"/>
          <w:szCs w:val="24"/>
          <w:lang w:eastAsia="zh-CN"/>
        </w:rPr>
        <w:t>系统、</w:t>
      </w:r>
      <w:r>
        <w:rPr>
          <w:sz w:val="24"/>
          <w:szCs w:val="24"/>
          <w:lang w:eastAsia="zh-CN"/>
        </w:rPr>
        <w:t>全面</w:t>
      </w:r>
      <w:r>
        <w:rPr>
          <w:rFonts w:hint="eastAsia"/>
          <w:sz w:val="24"/>
          <w:szCs w:val="24"/>
          <w:lang w:eastAsia="zh-CN"/>
        </w:rPr>
        <w:t>、规范</w:t>
      </w:r>
      <w:r>
        <w:rPr>
          <w:sz w:val="24"/>
          <w:szCs w:val="24"/>
          <w:lang w:eastAsia="zh-CN"/>
        </w:rPr>
        <w:t>，</w:t>
      </w:r>
      <w:r>
        <w:rPr>
          <w:rFonts w:hint="eastAsia"/>
          <w:sz w:val="24"/>
          <w:szCs w:val="24"/>
          <w:lang w:eastAsia="zh-CN"/>
        </w:rPr>
        <w:t>满足等级保护和安全防护评估的</w:t>
      </w:r>
      <w:r>
        <w:rPr>
          <w:sz w:val="24"/>
          <w:szCs w:val="24"/>
          <w:lang w:eastAsia="zh-CN"/>
        </w:rPr>
        <w:t>相关</w:t>
      </w:r>
      <w:r>
        <w:rPr>
          <w:rFonts w:hint="eastAsia"/>
          <w:sz w:val="24"/>
          <w:szCs w:val="24"/>
          <w:lang w:eastAsia="zh-CN"/>
        </w:rPr>
        <w:t>基本</w:t>
      </w:r>
      <w:r>
        <w:rPr>
          <w:sz w:val="24"/>
          <w:szCs w:val="24"/>
          <w:lang w:eastAsia="zh-CN"/>
        </w:rPr>
        <w:t>要求</w:t>
      </w:r>
      <w:r>
        <w:rPr>
          <w:rFonts w:hint="eastAsia"/>
          <w:sz w:val="24"/>
          <w:szCs w:val="24"/>
          <w:lang w:eastAsia="zh-CN"/>
        </w:rPr>
        <w:t>。</w:t>
      </w:r>
    </w:p>
    <w:p>
      <w:pPr>
        <w:numPr>
          <w:ilvl w:val="2"/>
          <w:numId w:val="7"/>
        </w:numPr>
        <w:tabs>
          <w:tab w:val="left" w:pos="0"/>
          <w:tab w:val="clear" w:pos="851"/>
        </w:tabs>
        <w:overflowPunct w:val="0"/>
        <w:topLinePunct/>
        <w:autoSpaceDE/>
        <w:autoSpaceDN/>
        <w:snapToGrid w:val="0"/>
        <w:spacing w:line="360" w:lineRule="auto"/>
        <w:ind w:left="0" w:firstLine="0"/>
        <w:jc w:val="both"/>
        <w:rPr>
          <w:sz w:val="24"/>
          <w:szCs w:val="24"/>
          <w:lang w:eastAsia="zh-CN"/>
        </w:rPr>
      </w:pPr>
      <w:r>
        <w:rPr>
          <w:sz w:val="24"/>
          <w:szCs w:val="24"/>
          <w:lang w:eastAsia="zh-CN"/>
        </w:rPr>
        <w:t>最小影响原则：</w:t>
      </w:r>
      <w:r>
        <w:rPr>
          <w:rFonts w:hint="eastAsia"/>
          <w:sz w:val="24"/>
          <w:szCs w:val="24"/>
          <w:lang w:eastAsia="zh-CN"/>
        </w:rPr>
        <w:t>技术</w:t>
      </w:r>
      <w:r>
        <w:rPr>
          <w:sz w:val="24"/>
          <w:szCs w:val="24"/>
          <w:lang w:eastAsia="zh-CN"/>
        </w:rPr>
        <w:t>测评</w:t>
      </w:r>
      <w:r>
        <w:rPr>
          <w:rFonts w:hint="eastAsia"/>
          <w:sz w:val="24"/>
          <w:szCs w:val="24"/>
          <w:lang w:eastAsia="zh-CN"/>
        </w:rPr>
        <w:t>及评估</w:t>
      </w:r>
      <w:r>
        <w:rPr>
          <w:sz w:val="24"/>
          <w:szCs w:val="24"/>
          <w:lang w:eastAsia="zh-CN"/>
        </w:rPr>
        <w:t>工作应尽可能小的影响</w:t>
      </w:r>
      <w:r>
        <w:rPr>
          <w:rFonts w:hint="eastAsia"/>
          <w:sz w:val="24"/>
          <w:szCs w:val="24"/>
          <w:lang w:eastAsia="zh-CN"/>
        </w:rPr>
        <w:t>在线</w:t>
      </w:r>
      <w:r>
        <w:rPr>
          <w:sz w:val="24"/>
          <w:szCs w:val="24"/>
          <w:lang w:eastAsia="zh-CN"/>
        </w:rPr>
        <w:t>系统和网络的正常运行，不能对现有</w:t>
      </w:r>
      <w:r>
        <w:rPr>
          <w:rFonts w:hint="eastAsia"/>
          <w:sz w:val="24"/>
          <w:szCs w:val="24"/>
          <w:lang w:eastAsia="zh-CN"/>
        </w:rPr>
        <w:t>运行系统造成</w:t>
      </w:r>
      <w:r>
        <w:rPr>
          <w:sz w:val="24"/>
          <w:szCs w:val="24"/>
          <w:lang w:eastAsia="zh-CN"/>
        </w:rPr>
        <w:t>影响</w:t>
      </w:r>
      <w:r>
        <w:rPr>
          <w:rFonts w:hint="eastAsia"/>
          <w:sz w:val="24"/>
          <w:szCs w:val="24"/>
          <w:lang w:eastAsia="zh-CN"/>
        </w:rPr>
        <w:t>。在线测评及评估应在招标方许可的条件下进行。</w:t>
      </w:r>
      <w:bookmarkStart w:id="25" w:name="_Toc288574636"/>
      <w:bookmarkStart w:id="26" w:name="_Toc288552021"/>
      <w:bookmarkStart w:id="27" w:name="_Toc288570238"/>
    </w:p>
    <w:bookmarkEnd w:id="25"/>
    <w:bookmarkEnd w:id="26"/>
    <w:bookmarkEnd w:id="27"/>
    <w:p>
      <w:pPr>
        <w:numPr>
          <w:ilvl w:val="1"/>
          <w:numId w:val="7"/>
        </w:numPr>
        <w:autoSpaceDE/>
        <w:autoSpaceDN/>
        <w:spacing w:line="360" w:lineRule="auto"/>
        <w:jc w:val="both"/>
        <w:outlineLvl w:val="1"/>
        <w:rPr>
          <w:b/>
          <w:sz w:val="24"/>
          <w:szCs w:val="24"/>
        </w:rPr>
      </w:pPr>
      <w:bookmarkStart w:id="28" w:name="_Toc311015403"/>
      <w:bookmarkStart w:id="29" w:name="_Toc214010206"/>
      <w:bookmarkStart w:id="30" w:name="_Toc214011261"/>
      <w:bookmarkStart w:id="31" w:name="_Toc214084125"/>
      <w:bookmarkStart w:id="32" w:name="_Toc214010374"/>
      <w:r>
        <w:rPr>
          <w:rFonts w:hint="eastAsia"/>
          <w:b/>
          <w:sz w:val="24"/>
          <w:szCs w:val="24"/>
        </w:rPr>
        <w:t>实施要求</w:t>
      </w:r>
      <w:bookmarkEnd w:id="28"/>
    </w:p>
    <w:p>
      <w:pPr>
        <w:overflowPunct w:val="0"/>
        <w:topLinePunct/>
        <w:snapToGrid w:val="0"/>
        <w:spacing w:line="360" w:lineRule="auto"/>
        <w:ind w:firstLine="480" w:firstLineChars="200"/>
        <w:rPr>
          <w:sz w:val="24"/>
          <w:szCs w:val="24"/>
          <w:lang w:eastAsia="zh-CN"/>
        </w:rPr>
      </w:pPr>
      <w:r>
        <w:rPr>
          <w:rFonts w:hint="eastAsia"/>
          <w:sz w:val="24"/>
          <w:szCs w:val="24"/>
          <w:lang w:eastAsia="zh-CN"/>
        </w:rPr>
        <w:t>投标</w:t>
      </w:r>
      <w:r>
        <w:rPr>
          <w:sz w:val="24"/>
          <w:szCs w:val="24"/>
          <w:lang w:eastAsia="zh-CN"/>
        </w:rPr>
        <w:t>方应详细描述</w:t>
      </w:r>
      <w:r>
        <w:rPr>
          <w:rFonts w:hint="eastAsia"/>
          <w:sz w:val="24"/>
          <w:szCs w:val="24"/>
          <w:lang w:eastAsia="zh-CN"/>
        </w:rPr>
        <w:t>电力监控系统</w:t>
      </w:r>
      <w:r>
        <w:rPr>
          <w:sz w:val="24"/>
          <w:szCs w:val="24"/>
          <w:lang w:eastAsia="zh-CN"/>
        </w:rPr>
        <w:t>等级保护测评</w:t>
      </w:r>
      <w:r>
        <w:rPr>
          <w:rFonts w:hint="eastAsia"/>
          <w:sz w:val="24"/>
          <w:szCs w:val="24"/>
          <w:lang w:eastAsia="zh-CN"/>
        </w:rPr>
        <w:t>及安全防护评估</w:t>
      </w:r>
      <w:r>
        <w:rPr>
          <w:sz w:val="24"/>
          <w:szCs w:val="24"/>
          <w:lang w:eastAsia="zh-CN"/>
        </w:rPr>
        <w:t>的整体实施方案，包括项目概述、</w:t>
      </w:r>
      <w:r>
        <w:rPr>
          <w:rFonts w:hint="eastAsia"/>
          <w:sz w:val="24"/>
          <w:szCs w:val="24"/>
          <w:lang w:eastAsia="zh-CN"/>
        </w:rPr>
        <w:t>等保</w:t>
      </w:r>
      <w:r>
        <w:rPr>
          <w:sz w:val="24"/>
          <w:szCs w:val="24"/>
          <w:lang w:eastAsia="zh-CN"/>
        </w:rPr>
        <w:t>测评方案、</w:t>
      </w:r>
      <w:r>
        <w:rPr>
          <w:rFonts w:hint="eastAsia"/>
          <w:sz w:val="24"/>
          <w:szCs w:val="24"/>
          <w:lang w:eastAsia="zh-CN"/>
        </w:rPr>
        <w:t>安全防护评估方案、</w:t>
      </w:r>
      <w:r>
        <w:rPr>
          <w:sz w:val="24"/>
          <w:szCs w:val="24"/>
          <w:lang w:eastAsia="zh-CN"/>
        </w:rPr>
        <w:t>项目实施方案、时间安排、阶段性文档提交和验收标准等</w:t>
      </w:r>
      <w:r>
        <w:rPr>
          <w:rFonts w:hint="eastAsia"/>
          <w:sz w:val="24"/>
          <w:szCs w:val="24"/>
          <w:lang w:eastAsia="zh-CN"/>
        </w:rPr>
        <w:t>。投标</w:t>
      </w:r>
      <w:r>
        <w:rPr>
          <w:sz w:val="24"/>
          <w:szCs w:val="24"/>
          <w:lang w:eastAsia="zh-CN"/>
        </w:rPr>
        <w:t>方应详细描述测评</w:t>
      </w:r>
      <w:r>
        <w:rPr>
          <w:rFonts w:hint="eastAsia"/>
          <w:sz w:val="24"/>
          <w:szCs w:val="24"/>
          <w:lang w:eastAsia="zh-CN"/>
        </w:rPr>
        <w:t>及评估</w:t>
      </w:r>
      <w:r>
        <w:rPr>
          <w:sz w:val="24"/>
          <w:szCs w:val="24"/>
          <w:lang w:eastAsia="zh-CN"/>
        </w:rPr>
        <w:t>人员的组成、资质及各自职责的划分。</w:t>
      </w:r>
      <w:r>
        <w:rPr>
          <w:rFonts w:hint="eastAsia"/>
          <w:sz w:val="24"/>
          <w:szCs w:val="24"/>
          <w:lang w:eastAsia="zh-CN"/>
        </w:rPr>
        <w:t>投标</w:t>
      </w:r>
      <w:r>
        <w:rPr>
          <w:sz w:val="24"/>
          <w:szCs w:val="24"/>
          <w:lang w:eastAsia="zh-CN"/>
        </w:rPr>
        <w:t>方应配置经验</w:t>
      </w:r>
      <w:r>
        <w:rPr>
          <w:rFonts w:hint="eastAsia"/>
          <w:sz w:val="24"/>
          <w:szCs w:val="24"/>
          <w:lang w:eastAsia="zh-CN"/>
        </w:rPr>
        <w:t>丰富</w:t>
      </w:r>
      <w:r>
        <w:rPr>
          <w:sz w:val="24"/>
          <w:szCs w:val="24"/>
          <w:lang w:eastAsia="zh-CN"/>
        </w:rPr>
        <w:t>的测评</w:t>
      </w:r>
      <w:r>
        <w:rPr>
          <w:rFonts w:hint="eastAsia"/>
          <w:sz w:val="24"/>
          <w:szCs w:val="24"/>
          <w:lang w:eastAsia="zh-CN"/>
        </w:rPr>
        <w:t>及评估</w:t>
      </w:r>
      <w:r>
        <w:rPr>
          <w:sz w:val="24"/>
          <w:szCs w:val="24"/>
          <w:lang w:eastAsia="zh-CN"/>
        </w:rPr>
        <w:t>人员进行</w:t>
      </w:r>
      <w:r>
        <w:rPr>
          <w:rFonts w:hint="eastAsia"/>
          <w:sz w:val="24"/>
          <w:szCs w:val="24"/>
          <w:lang w:eastAsia="zh-CN"/>
        </w:rPr>
        <w:t>电力监控系统</w:t>
      </w:r>
      <w:r>
        <w:rPr>
          <w:sz w:val="24"/>
          <w:szCs w:val="24"/>
          <w:lang w:eastAsia="zh-CN"/>
        </w:rPr>
        <w:t>等级保护测评</w:t>
      </w:r>
      <w:r>
        <w:rPr>
          <w:rFonts w:hint="eastAsia"/>
          <w:sz w:val="24"/>
          <w:szCs w:val="24"/>
          <w:lang w:eastAsia="zh-CN"/>
        </w:rPr>
        <w:t>及安全防护评估</w:t>
      </w:r>
      <w:r>
        <w:rPr>
          <w:sz w:val="24"/>
          <w:szCs w:val="24"/>
          <w:lang w:eastAsia="zh-CN"/>
        </w:rPr>
        <w:t>工作</w:t>
      </w:r>
      <w:r>
        <w:rPr>
          <w:rFonts w:hint="eastAsia"/>
          <w:sz w:val="24"/>
          <w:szCs w:val="24"/>
          <w:lang w:eastAsia="zh-CN"/>
        </w:rPr>
        <w:t>。</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测评及评估方法</w:t>
      </w:r>
    </w:p>
    <w:p>
      <w:pPr>
        <w:pStyle w:val="81"/>
        <w:overflowPunct w:val="0"/>
        <w:topLinePunct/>
        <w:spacing w:line="360" w:lineRule="auto"/>
        <w:ind w:firstLine="480" w:firstLineChars="200"/>
        <w:rPr>
          <w:color w:val="auto"/>
          <w:sz w:val="24"/>
          <w:szCs w:val="24"/>
          <w:lang w:eastAsia="zh-CN"/>
        </w:rPr>
      </w:pPr>
      <w:r>
        <w:rPr>
          <w:rFonts w:hint="eastAsia"/>
          <w:color w:val="auto"/>
          <w:sz w:val="24"/>
          <w:szCs w:val="24"/>
          <w:lang w:eastAsia="zh-CN"/>
        </w:rPr>
        <w:t>测评及评估方法包括访谈、检查和测试三种方法，可细化为文档审查、配置检查、工具测试和实地察看等多种方法。</w:t>
      </w:r>
    </w:p>
    <w:p>
      <w:pPr>
        <w:overflowPunct w:val="0"/>
        <w:topLinePunct/>
        <w:snapToGrid w:val="0"/>
        <w:spacing w:line="360" w:lineRule="auto"/>
        <w:ind w:firstLine="480" w:firstLineChars="200"/>
        <w:rPr>
          <w:sz w:val="24"/>
          <w:szCs w:val="24"/>
          <w:lang w:eastAsia="zh-CN"/>
        </w:rPr>
      </w:pPr>
      <w:r>
        <w:rPr>
          <w:rFonts w:hint="eastAsia"/>
          <w:sz w:val="24"/>
          <w:szCs w:val="24"/>
          <w:lang w:eastAsia="zh-CN"/>
        </w:rPr>
        <w:t>如需在电力监控系统等级保护测评及安全防护评估实施过程中采用在线测评工具，</w:t>
      </w:r>
      <w:r>
        <w:rPr>
          <w:sz w:val="24"/>
          <w:szCs w:val="24"/>
          <w:lang w:eastAsia="zh-CN"/>
        </w:rPr>
        <w:t>各种工具软件由</w:t>
      </w:r>
      <w:r>
        <w:rPr>
          <w:rFonts w:hint="eastAsia"/>
          <w:sz w:val="24"/>
          <w:szCs w:val="24"/>
          <w:lang w:eastAsia="zh-CN"/>
        </w:rPr>
        <w:t>项目实施方</w:t>
      </w:r>
      <w:r>
        <w:rPr>
          <w:sz w:val="24"/>
          <w:szCs w:val="24"/>
          <w:lang w:eastAsia="zh-CN"/>
        </w:rPr>
        <w:t>推荐，经</w:t>
      </w:r>
      <w:r>
        <w:rPr>
          <w:rFonts w:hint="eastAsia"/>
          <w:sz w:val="24"/>
          <w:szCs w:val="24"/>
          <w:lang w:eastAsia="zh-CN"/>
        </w:rPr>
        <w:t>招标方</w:t>
      </w:r>
      <w:r>
        <w:rPr>
          <w:sz w:val="24"/>
          <w:szCs w:val="24"/>
          <w:lang w:eastAsia="zh-CN"/>
        </w:rPr>
        <w:t>确认后由</w:t>
      </w:r>
      <w:r>
        <w:rPr>
          <w:rFonts w:hint="eastAsia"/>
          <w:sz w:val="24"/>
          <w:szCs w:val="24"/>
          <w:lang w:eastAsia="zh-CN"/>
        </w:rPr>
        <w:t>项目实施方</w:t>
      </w:r>
      <w:r>
        <w:rPr>
          <w:sz w:val="24"/>
          <w:szCs w:val="24"/>
          <w:lang w:eastAsia="zh-CN"/>
        </w:rPr>
        <w:t>提供并在</w:t>
      </w:r>
      <w:r>
        <w:rPr>
          <w:rFonts w:hint="eastAsia"/>
          <w:sz w:val="24"/>
          <w:szCs w:val="24"/>
          <w:lang w:eastAsia="zh-CN"/>
        </w:rPr>
        <w:t>工作</w:t>
      </w:r>
      <w:r>
        <w:rPr>
          <w:sz w:val="24"/>
          <w:szCs w:val="24"/>
          <w:lang w:eastAsia="zh-CN"/>
        </w:rPr>
        <w:t>中使用。</w:t>
      </w:r>
    </w:p>
    <w:p>
      <w:pPr>
        <w:overflowPunct w:val="0"/>
        <w:topLinePunct/>
        <w:snapToGrid w:val="0"/>
        <w:spacing w:line="360" w:lineRule="auto"/>
        <w:ind w:firstLine="480" w:firstLineChars="200"/>
        <w:rPr>
          <w:sz w:val="24"/>
          <w:szCs w:val="24"/>
          <w:lang w:eastAsia="zh-CN"/>
        </w:rPr>
      </w:pPr>
      <w:r>
        <w:rPr>
          <w:sz w:val="24"/>
          <w:szCs w:val="24"/>
          <w:lang w:eastAsia="zh-CN"/>
        </w:rPr>
        <w:t>安全测评工具软件运行可能需要的硬件平台（如笔记本电脑、PC、工作站等）和操作系统软件等由</w:t>
      </w:r>
      <w:r>
        <w:rPr>
          <w:rFonts w:hint="eastAsia"/>
          <w:sz w:val="24"/>
          <w:szCs w:val="24"/>
          <w:lang w:eastAsia="zh-CN"/>
        </w:rPr>
        <w:t>项目实施方</w:t>
      </w:r>
      <w:r>
        <w:rPr>
          <w:sz w:val="24"/>
          <w:szCs w:val="24"/>
          <w:lang w:eastAsia="zh-CN"/>
        </w:rPr>
        <w:t>推荐，经确认后由</w:t>
      </w:r>
      <w:r>
        <w:rPr>
          <w:rFonts w:hint="eastAsia"/>
          <w:sz w:val="24"/>
          <w:szCs w:val="24"/>
          <w:lang w:eastAsia="zh-CN"/>
        </w:rPr>
        <w:t>项目实施方</w:t>
      </w:r>
      <w:r>
        <w:rPr>
          <w:sz w:val="24"/>
          <w:szCs w:val="24"/>
          <w:lang w:eastAsia="zh-CN"/>
        </w:rPr>
        <w:t>提供并在测评中使用</w:t>
      </w:r>
      <w:r>
        <w:rPr>
          <w:rFonts w:hint="eastAsia"/>
          <w:sz w:val="24"/>
          <w:szCs w:val="24"/>
          <w:lang w:eastAsia="zh-CN"/>
        </w:rPr>
        <w:t>。</w:t>
      </w:r>
      <w:r>
        <w:rPr>
          <w:sz w:val="24"/>
          <w:szCs w:val="24"/>
          <w:lang w:eastAsia="zh-CN"/>
        </w:rPr>
        <w:t>安全测评需要的运行环境（如场地、网络环境等）由</w:t>
      </w:r>
      <w:r>
        <w:rPr>
          <w:rFonts w:hint="eastAsia"/>
          <w:sz w:val="24"/>
          <w:szCs w:val="24"/>
          <w:lang w:eastAsia="zh-CN"/>
        </w:rPr>
        <w:t>招标方</w:t>
      </w:r>
      <w:r>
        <w:rPr>
          <w:sz w:val="24"/>
          <w:szCs w:val="24"/>
          <w:lang w:eastAsia="zh-CN"/>
        </w:rPr>
        <w:t>提供，</w:t>
      </w:r>
      <w:r>
        <w:rPr>
          <w:rFonts w:hint="eastAsia"/>
          <w:sz w:val="24"/>
          <w:szCs w:val="24"/>
          <w:lang w:eastAsia="zh-CN"/>
        </w:rPr>
        <w:t>项目实施方</w:t>
      </w:r>
      <w:r>
        <w:rPr>
          <w:sz w:val="24"/>
          <w:szCs w:val="24"/>
          <w:lang w:eastAsia="zh-CN"/>
        </w:rPr>
        <w:t>应详细描述需要的运行环境的具体要求</w:t>
      </w:r>
      <w:r>
        <w:rPr>
          <w:rFonts w:hint="eastAsia"/>
          <w:sz w:val="24"/>
          <w:szCs w:val="24"/>
          <w:lang w:eastAsia="zh-CN"/>
        </w:rPr>
        <w:t>。</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工作进度</w:t>
      </w:r>
    </w:p>
    <w:p>
      <w:pPr>
        <w:overflowPunct w:val="0"/>
        <w:topLinePunct/>
        <w:snapToGrid w:val="0"/>
        <w:spacing w:line="360" w:lineRule="auto"/>
        <w:ind w:firstLine="480" w:firstLineChars="200"/>
        <w:outlineLvl w:val="2"/>
        <w:rPr>
          <w:bCs/>
          <w:sz w:val="24"/>
          <w:szCs w:val="24"/>
          <w:lang w:eastAsia="zh-CN"/>
        </w:rPr>
      </w:pPr>
      <w:r>
        <w:rPr>
          <w:rFonts w:hint="eastAsia"/>
          <w:bCs/>
          <w:sz w:val="24"/>
          <w:szCs w:val="24"/>
          <w:lang w:eastAsia="zh-CN"/>
        </w:rPr>
        <w:t>工期要求：合同签订后至相关部门备案</w:t>
      </w:r>
      <w:r>
        <w:rPr>
          <w:rFonts w:hint="eastAsia"/>
          <w:bCs/>
          <w:sz w:val="24"/>
          <w:szCs w:val="24"/>
          <w:u w:val="single"/>
          <w:lang w:eastAsia="zh-CN"/>
        </w:rPr>
        <w:t>90</w:t>
      </w:r>
      <w:r>
        <w:rPr>
          <w:rFonts w:hint="eastAsia"/>
          <w:bCs/>
          <w:sz w:val="24"/>
          <w:szCs w:val="24"/>
          <w:lang w:eastAsia="zh-CN"/>
        </w:rPr>
        <w:t>天内完成。</w:t>
      </w:r>
    </w:p>
    <w:p>
      <w:pPr>
        <w:pStyle w:val="44"/>
        <w:numPr>
          <w:ilvl w:val="3"/>
          <w:numId w:val="7"/>
        </w:numPr>
        <w:autoSpaceDE/>
        <w:autoSpaceDN/>
        <w:snapToGrid w:val="0"/>
        <w:spacing w:before="0" w:line="360" w:lineRule="auto"/>
        <w:rPr>
          <w:sz w:val="24"/>
          <w:szCs w:val="24"/>
        </w:rPr>
      </w:pPr>
      <w:r>
        <w:rPr>
          <w:rFonts w:hint="eastAsia"/>
          <w:sz w:val="24"/>
          <w:szCs w:val="24"/>
          <w:lang w:eastAsia="zh-CN"/>
        </w:rPr>
        <w:t xml:space="preserve"> </w:t>
      </w:r>
      <w:r>
        <w:rPr>
          <w:rFonts w:hint="eastAsia"/>
          <w:sz w:val="24"/>
          <w:szCs w:val="24"/>
        </w:rPr>
        <w:t>筹划准备阶段</w:t>
      </w:r>
    </w:p>
    <w:p>
      <w:pPr>
        <w:snapToGrid w:val="0"/>
        <w:spacing w:line="360" w:lineRule="auto"/>
        <w:ind w:firstLine="480" w:firstLineChars="200"/>
        <w:rPr>
          <w:sz w:val="24"/>
          <w:szCs w:val="24"/>
        </w:rPr>
      </w:pPr>
      <w:r>
        <w:rPr>
          <w:rFonts w:hint="eastAsia"/>
          <w:sz w:val="24"/>
          <w:szCs w:val="24"/>
        </w:rPr>
        <w:t>1）工作周期：1～2周</w:t>
      </w:r>
    </w:p>
    <w:p>
      <w:pPr>
        <w:snapToGrid w:val="0"/>
        <w:spacing w:line="360" w:lineRule="auto"/>
        <w:ind w:firstLine="480" w:firstLineChars="200"/>
        <w:rPr>
          <w:sz w:val="24"/>
          <w:szCs w:val="24"/>
          <w:lang w:eastAsia="zh-CN"/>
        </w:rPr>
      </w:pPr>
      <w:r>
        <w:rPr>
          <w:rFonts w:hint="eastAsia"/>
          <w:sz w:val="24"/>
          <w:szCs w:val="24"/>
          <w:lang w:eastAsia="zh-CN"/>
        </w:rPr>
        <w:t>2）工作内容：对被测评及评估系统防护现状进行详细分析和调研，初步确定测评及评估实施方案、范围，收集材料，签署保密协议，组建测评及评估项目组，并进行进场实施前的安全教育工作，同时完成检测工具、装备配置等各项准备工作。</w:t>
      </w:r>
    </w:p>
    <w:p>
      <w:pPr>
        <w:pStyle w:val="44"/>
        <w:numPr>
          <w:ilvl w:val="3"/>
          <w:numId w:val="7"/>
        </w:numPr>
        <w:autoSpaceDE/>
        <w:autoSpaceDN/>
        <w:snapToGrid w:val="0"/>
        <w:spacing w:before="0" w:line="360" w:lineRule="auto"/>
        <w:rPr>
          <w:sz w:val="24"/>
          <w:szCs w:val="24"/>
        </w:rPr>
      </w:pPr>
      <w:r>
        <w:rPr>
          <w:rFonts w:hint="eastAsia"/>
          <w:sz w:val="24"/>
          <w:szCs w:val="24"/>
        </w:rPr>
        <w:t>启动阶段</w:t>
      </w:r>
    </w:p>
    <w:p>
      <w:pPr>
        <w:snapToGrid w:val="0"/>
        <w:spacing w:line="360" w:lineRule="auto"/>
        <w:ind w:firstLine="600" w:firstLineChars="250"/>
        <w:rPr>
          <w:sz w:val="24"/>
          <w:szCs w:val="24"/>
          <w:lang w:eastAsia="zh-CN"/>
        </w:rPr>
      </w:pPr>
      <w:r>
        <w:rPr>
          <w:rFonts w:hint="eastAsia"/>
          <w:sz w:val="24"/>
          <w:szCs w:val="24"/>
          <w:lang w:eastAsia="zh-CN"/>
        </w:rPr>
        <w:t>1）工作周期：1～2个工作日</w:t>
      </w:r>
    </w:p>
    <w:p>
      <w:pPr>
        <w:snapToGrid w:val="0"/>
        <w:spacing w:line="360" w:lineRule="auto"/>
        <w:ind w:firstLine="600" w:firstLineChars="250"/>
        <w:rPr>
          <w:sz w:val="24"/>
          <w:szCs w:val="24"/>
          <w:lang w:eastAsia="zh-CN"/>
        </w:rPr>
      </w:pPr>
      <w:r>
        <w:rPr>
          <w:rFonts w:hint="eastAsia"/>
          <w:sz w:val="24"/>
          <w:szCs w:val="24"/>
          <w:lang w:eastAsia="zh-CN"/>
        </w:rPr>
        <w:t>2）工作内容：项目组进驻被测单位，收集分析信息资产资料、网络资料、业务系统资料和信息安全管理制度方针等相关测评所需材料，并召开启动会，就测评及评估工作具体事宜进行落实，包括确定测评及评估计划安排、测评及评估范围、测评及评估内容和配合需求等。</w:t>
      </w:r>
    </w:p>
    <w:p>
      <w:pPr>
        <w:pStyle w:val="44"/>
        <w:numPr>
          <w:ilvl w:val="3"/>
          <w:numId w:val="7"/>
        </w:numPr>
        <w:autoSpaceDE/>
        <w:autoSpaceDN/>
        <w:snapToGrid w:val="0"/>
        <w:spacing w:before="0" w:line="360" w:lineRule="auto"/>
        <w:rPr>
          <w:sz w:val="24"/>
          <w:szCs w:val="24"/>
        </w:rPr>
      </w:pPr>
      <w:r>
        <w:rPr>
          <w:rFonts w:hint="eastAsia"/>
          <w:sz w:val="24"/>
          <w:szCs w:val="24"/>
          <w:lang w:eastAsia="zh-CN"/>
        </w:rPr>
        <w:t>整改加固</w:t>
      </w:r>
    </w:p>
    <w:p>
      <w:pPr>
        <w:snapToGrid w:val="0"/>
        <w:spacing w:line="360" w:lineRule="auto"/>
        <w:ind w:firstLine="600" w:firstLineChars="250"/>
        <w:rPr>
          <w:sz w:val="24"/>
          <w:szCs w:val="24"/>
          <w:lang w:eastAsia="zh-CN"/>
        </w:rPr>
      </w:pPr>
      <w:r>
        <w:rPr>
          <w:rFonts w:hint="eastAsia"/>
          <w:sz w:val="24"/>
          <w:szCs w:val="24"/>
          <w:lang w:eastAsia="zh-CN"/>
        </w:rPr>
        <w:t>1）整改加固：</w:t>
      </w:r>
      <w:r>
        <w:rPr>
          <w:sz w:val="24"/>
          <w:szCs w:val="24"/>
          <w:lang w:eastAsia="zh-CN"/>
        </w:rPr>
        <w:t>7</w:t>
      </w:r>
      <w:r>
        <w:rPr>
          <w:rFonts w:hint="eastAsia"/>
          <w:sz w:val="24"/>
          <w:szCs w:val="24"/>
          <w:lang w:eastAsia="zh-CN"/>
        </w:rPr>
        <w:t>个工作日</w:t>
      </w:r>
    </w:p>
    <w:p>
      <w:pPr>
        <w:pStyle w:val="44"/>
        <w:numPr>
          <w:ilvl w:val="3"/>
          <w:numId w:val="7"/>
        </w:numPr>
        <w:autoSpaceDE/>
        <w:autoSpaceDN/>
        <w:snapToGrid w:val="0"/>
        <w:spacing w:before="0" w:line="360" w:lineRule="auto"/>
        <w:rPr>
          <w:sz w:val="24"/>
          <w:szCs w:val="24"/>
        </w:rPr>
      </w:pPr>
      <w:r>
        <w:rPr>
          <w:rFonts w:hint="eastAsia"/>
          <w:sz w:val="24"/>
          <w:szCs w:val="24"/>
        </w:rPr>
        <w:t>现场测评</w:t>
      </w:r>
    </w:p>
    <w:p>
      <w:pPr>
        <w:snapToGrid w:val="0"/>
        <w:spacing w:line="360" w:lineRule="auto"/>
        <w:ind w:firstLine="600" w:firstLineChars="250"/>
        <w:rPr>
          <w:sz w:val="24"/>
          <w:szCs w:val="24"/>
        </w:rPr>
      </w:pPr>
      <w:r>
        <w:rPr>
          <w:rFonts w:hint="eastAsia"/>
          <w:sz w:val="24"/>
          <w:szCs w:val="24"/>
        </w:rPr>
        <w:t>1）工作周期：4-5个工作日</w:t>
      </w:r>
    </w:p>
    <w:p>
      <w:pPr>
        <w:snapToGrid w:val="0"/>
        <w:spacing w:line="360" w:lineRule="auto"/>
        <w:ind w:firstLine="600" w:firstLineChars="250"/>
        <w:rPr>
          <w:sz w:val="24"/>
          <w:szCs w:val="24"/>
          <w:lang w:eastAsia="zh-CN"/>
        </w:rPr>
      </w:pPr>
      <w:r>
        <w:rPr>
          <w:rFonts w:hint="eastAsia"/>
          <w:sz w:val="24"/>
          <w:szCs w:val="24"/>
          <w:lang w:eastAsia="zh-CN"/>
        </w:rPr>
        <w:t>2）工作内容：项目组从管理和技术两个方面入手，开展被测单位测评及评估工作，包括安全区划分、网络专用，评估管理和制度、基础网络、业务系统、通用服务、主机系统、数据库系统、现有安全措施等。</w:t>
      </w:r>
    </w:p>
    <w:p>
      <w:pPr>
        <w:snapToGrid w:val="0"/>
        <w:spacing w:line="360" w:lineRule="auto"/>
        <w:ind w:firstLine="480" w:firstLineChars="200"/>
        <w:rPr>
          <w:sz w:val="24"/>
          <w:szCs w:val="24"/>
          <w:lang w:eastAsia="zh-CN"/>
        </w:rPr>
      </w:pPr>
      <w:r>
        <w:rPr>
          <w:rFonts w:hint="eastAsia"/>
          <w:sz w:val="24"/>
          <w:szCs w:val="24"/>
          <w:lang w:eastAsia="zh-CN"/>
        </w:rPr>
        <w:t>3）测评及评估方法有顾问访谈、日志审计、人工查看、漏洞扫描、自动化工具采集等。</w:t>
      </w:r>
    </w:p>
    <w:p>
      <w:pPr>
        <w:snapToGrid w:val="0"/>
        <w:spacing w:line="360" w:lineRule="auto"/>
        <w:ind w:firstLine="480" w:firstLineChars="200"/>
        <w:rPr>
          <w:sz w:val="24"/>
          <w:szCs w:val="24"/>
          <w:lang w:eastAsia="zh-CN"/>
        </w:rPr>
      </w:pPr>
      <w:r>
        <w:rPr>
          <w:rFonts w:hint="eastAsia"/>
          <w:sz w:val="24"/>
          <w:szCs w:val="24"/>
          <w:lang w:eastAsia="zh-CN"/>
        </w:rPr>
        <w:t>4）现场工作结束后，测评及评估工作小组对现场测评情况进行初步整理汇总，向被测单位领导和系统管理员等汇报现场阶段工作情况。</w:t>
      </w:r>
    </w:p>
    <w:p>
      <w:pPr>
        <w:pStyle w:val="44"/>
        <w:numPr>
          <w:ilvl w:val="3"/>
          <w:numId w:val="7"/>
        </w:numPr>
        <w:autoSpaceDE/>
        <w:autoSpaceDN/>
        <w:snapToGrid w:val="0"/>
        <w:spacing w:before="0" w:line="360" w:lineRule="auto"/>
        <w:rPr>
          <w:sz w:val="24"/>
          <w:szCs w:val="24"/>
        </w:rPr>
      </w:pPr>
      <w:r>
        <w:rPr>
          <w:rFonts w:hint="eastAsia"/>
          <w:sz w:val="24"/>
          <w:szCs w:val="24"/>
        </w:rPr>
        <w:t>结论分析报告编制阶段</w:t>
      </w:r>
    </w:p>
    <w:p>
      <w:pPr>
        <w:snapToGrid w:val="0"/>
        <w:spacing w:line="360" w:lineRule="auto"/>
        <w:ind w:firstLine="480" w:firstLineChars="200"/>
        <w:rPr>
          <w:sz w:val="24"/>
          <w:szCs w:val="24"/>
        </w:rPr>
      </w:pPr>
      <w:r>
        <w:rPr>
          <w:rFonts w:hint="eastAsia"/>
          <w:sz w:val="24"/>
          <w:szCs w:val="24"/>
        </w:rPr>
        <w:t>1）工作周期：3～4周</w:t>
      </w:r>
    </w:p>
    <w:p>
      <w:pPr>
        <w:snapToGrid w:val="0"/>
        <w:spacing w:line="360" w:lineRule="auto"/>
        <w:ind w:firstLine="480" w:firstLineChars="200"/>
        <w:rPr>
          <w:sz w:val="24"/>
          <w:szCs w:val="24"/>
          <w:lang w:eastAsia="zh-CN"/>
        </w:rPr>
      </w:pPr>
      <w:r>
        <w:rPr>
          <w:rFonts w:hint="eastAsia"/>
          <w:sz w:val="24"/>
          <w:szCs w:val="24"/>
          <w:lang w:eastAsia="zh-CN"/>
        </w:rPr>
        <w:t>2）工作内容：项目组对检测情况和采集的数据进行分类统计、风险计算、综合分析与评估，撰写被测单位系统《等级保护测评报告》及《电力监控系统安全防护评估报告》。</w:t>
      </w:r>
    </w:p>
    <w:p>
      <w:pPr>
        <w:pStyle w:val="44"/>
        <w:numPr>
          <w:ilvl w:val="3"/>
          <w:numId w:val="7"/>
        </w:numPr>
        <w:autoSpaceDE/>
        <w:autoSpaceDN/>
        <w:snapToGrid w:val="0"/>
        <w:spacing w:before="0" w:line="360" w:lineRule="auto"/>
        <w:rPr>
          <w:sz w:val="24"/>
          <w:szCs w:val="24"/>
        </w:rPr>
      </w:pPr>
      <w:r>
        <w:rPr>
          <w:rFonts w:hint="eastAsia"/>
          <w:sz w:val="24"/>
          <w:szCs w:val="24"/>
        </w:rPr>
        <w:t>整改技术支持阶段</w:t>
      </w:r>
    </w:p>
    <w:p>
      <w:pPr>
        <w:snapToGrid w:val="0"/>
        <w:spacing w:line="360" w:lineRule="auto"/>
        <w:ind w:firstLine="480" w:firstLineChars="200"/>
        <w:rPr>
          <w:sz w:val="24"/>
          <w:szCs w:val="24"/>
          <w:lang w:eastAsia="zh-CN"/>
        </w:rPr>
      </w:pPr>
      <w:r>
        <w:rPr>
          <w:rFonts w:hint="eastAsia"/>
          <w:sz w:val="24"/>
          <w:szCs w:val="24"/>
          <w:lang w:eastAsia="zh-CN"/>
        </w:rPr>
        <w:t>1）工作周期：根据整改进度而定</w:t>
      </w:r>
    </w:p>
    <w:p>
      <w:pPr>
        <w:snapToGrid w:val="0"/>
        <w:spacing w:line="360" w:lineRule="auto"/>
        <w:ind w:firstLine="480" w:firstLineChars="200"/>
        <w:rPr>
          <w:sz w:val="24"/>
          <w:szCs w:val="24"/>
          <w:lang w:eastAsia="zh-CN"/>
        </w:rPr>
      </w:pPr>
      <w:r>
        <w:rPr>
          <w:rFonts w:hint="eastAsia"/>
          <w:sz w:val="24"/>
          <w:szCs w:val="24"/>
          <w:lang w:eastAsia="zh-CN"/>
        </w:rPr>
        <w:t>2）工作内容：项目组针对现场测评及评估发现的问题，出具整改建议后，向被测单位提供整改技术咨询支持。</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bookmarkStart w:id="33" w:name="_Toc236037502"/>
      <w:bookmarkStart w:id="34" w:name="_Toc236462388"/>
      <w:bookmarkStart w:id="35" w:name="_Toc236816242"/>
      <w:r>
        <w:rPr>
          <w:b/>
          <w:bCs/>
          <w:sz w:val="24"/>
          <w:szCs w:val="24"/>
        </w:rPr>
        <w:t>风险控</w:t>
      </w:r>
      <w:r>
        <w:rPr>
          <w:rFonts w:hint="eastAsia"/>
          <w:b/>
          <w:bCs/>
          <w:sz w:val="24"/>
          <w:szCs w:val="24"/>
        </w:rPr>
        <w:t>制</w:t>
      </w:r>
    </w:p>
    <w:p>
      <w:pPr>
        <w:pStyle w:val="81"/>
        <w:overflowPunct w:val="0"/>
        <w:topLinePunct/>
        <w:spacing w:line="360" w:lineRule="auto"/>
        <w:ind w:firstLine="480" w:firstLineChars="200"/>
        <w:rPr>
          <w:color w:val="auto"/>
          <w:sz w:val="24"/>
          <w:szCs w:val="24"/>
          <w:lang w:eastAsia="zh-CN"/>
        </w:rPr>
      </w:pPr>
      <w:r>
        <w:rPr>
          <w:rFonts w:hint="eastAsia"/>
          <w:color w:val="auto"/>
          <w:sz w:val="24"/>
          <w:szCs w:val="24"/>
          <w:lang w:eastAsia="zh-CN"/>
        </w:rPr>
        <w:t>测评及评估工作本身也会引入安全风险，必须加强测评及评估过程中的风险控制。项目实施前，双方应充分讨论并明确测评及评估对系统可能带来的风险和隐患，确定测评及评估对象、测评及评估方法和工具，并</w:t>
      </w:r>
      <w:r>
        <w:rPr>
          <w:color w:val="auto"/>
          <w:sz w:val="24"/>
          <w:szCs w:val="24"/>
          <w:lang w:eastAsia="zh-CN"/>
        </w:rPr>
        <w:t>制定</w:t>
      </w:r>
      <w:r>
        <w:rPr>
          <w:rFonts w:hint="eastAsia"/>
          <w:color w:val="auto"/>
          <w:sz w:val="24"/>
          <w:szCs w:val="24"/>
          <w:lang w:eastAsia="zh-CN"/>
        </w:rPr>
        <w:t>应急恢复措施。</w:t>
      </w:r>
    </w:p>
    <w:bookmarkEnd w:id="33"/>
    <w:bookmarkEnd w:id="34"/>
    <w:bookmarkEnd w:id="35"/>
    <w:p>
      <w:pPr>
        <w:spacing w:line="360" w:lineRule="auto"/>
        <w:ind w:firstLine="480" w:firstLineChars="200"/>
        <w:rPr>
          <w:sz w:val="24"/>
          <w:szCs w:val="24"/>
          <w:lang w:eastAsia="zh-CN"/>
        </w:rPr>
      </w:pPr>
      <w:bookmarkStart w:id="36" w:name="_Toc113357465"/>
      <w:bookmarkStart w:id="37" w:name="_Toc113358272"/>
      <w:r>
        <w:rPr>
          <w:rFonts w:hint="eastAsia"/>
          <w:sz w:val="24"/>
          <w:szCs w:val="24"/>
          <w:lang w:eastAsia="zh-CN"/>
        </w:rPr>
        <w:t>（1）</w:t>
      </w:r>
      <w:r>
        <w:rPr>
          <w:sz w:val="24"/>
          <w:szCs w:val="24"/>
          <w:lang w:eastAsia="zh-CN"/>
        </w:rPr>
        <w:t>操作的申请和监护</w:t>
      </w:r>
      <w:bookmarkEnd w:id="36"/>
      <w:bookmarkEnd w:id="37"/>
    </w:p>
    <w:p>
      <w:pPr>
        <w:spacing w:line="360" w:lineRule="auto"/>
        <w:ind w:firstLine="480" w:firstLineChars="200"/>
        <w:rPr>
          <w:sz w:val="24"/>
          <w:szCs w:val="24"/>
          <w:lang w:eastAsia="zh-CN"/>
        </w:rPr>
      </w:pPr>
      <w:r>
        <w:rPr>
          <w:rFonts w:hint="eastAsia"/>
          <w:sz w:val="24"/>
          <w:szCs w:val="24"/>
          <w:lang w:eastAsia="zh-CN"/>
        </w:rPr>
        <w:t>测评及评估</w:t>
      </w:r>
      <w:r>
        <w:rPr>
          <w:sz w:val="24"/>
          <w:szCs w:val="24"/>
          <w:lang w:eastAsia="zh-CN"/>
        </w:rPr>
        <w:t>操作必须遵守</w:t>
      </w:r>
      <w:r>
        <w:rPr>
          <w:rFonts w:hint="eastAsia"/>
          <w:sz w:val="24"/>
          <w:szCs w:val="24"/>
          <w:lang w:eastAsia="zh-CN"/>
        </w:rPr>
        <w:t>现场运行规章制度，确保系统安全稳定运行。如需在线测试，按照相关工作规程，事前申请，并在专责人员的指导和监护下进行。</w:t>
      </w:r>
    </w:p>
    <w:p>
      <w:pPr>
        <w:spacing w:line="360" w:lineRule="auto"/>
        <w:ind w:firstLine="480" w:firstLineChars="200"/>
        <w:rPr>
          <w:sz w:val="24"/>
          <w:szCs w:val="24"/>
          <w:lang w:eastAsia="zh-CN"/>
        </w:rPr>
      </w:pPr>
      <w:bookmarkStart w:id="38" w:name="_Toc113357466"/>
      <w:bookmarkStart w:id="39" w:name="_Toc113358273"/>
      <w:r>
        <w:rPr>
          <w:rFonts w:hint="eastAsia"/>
          <w:sz w:val="24"/>
          <w:szCs w:val="24"/>
          <w:lang w:eastAsia="zh-CN"/>
        </w:rPr>
        <w:t>（2）</w:t>
      </w:r>
      <w:r>
        <w:rPr>
          <w:sz w:val="24"/>
          <w:szCs w:val="24"/>
          <w:lang w:eastAsia="zh-CN"/>
        </w:rPr>
        <w:t>人员与数据管理</w:t>
      </w:r>
    </w:p>
    <w:p>
      <w:pPr>
        <w:spacing w:line="360" w:lineRule="auto"/>
        <w:ind w:firstLine="480" w:firstLineChars="200"/>
        <w:rPr>
          <w:sz w:val="24"/>
          <w:szCs w:val="24"/>
          <w:lang w:eastAsia="zh-CN"/>
        </w:rPr>
      </w:pPr>
      <w:r>
        <w:rPr>
          <w:sz w:val="24"/>
          <w:szCs w:val="24"/>
          <w:lang w:eastAsia="zh-CN"/>
        </w:rPr>
        <w:t>重视保密工作，加强</w:t>
      </w:r>
      <w:r>
        <w:rPr>
          <w:rFonts w:hint="eastAsia"/>
          <w:sz w:val="24"/>
          <w:szCs w:val="24"/>
          <w:lang w:eastAsia="zh-CN"/>
        </w:rPr>
        <w:t>测评及评估过程中的保密管理，</w:t>
      </w:r>
      <w:r>
        <w:rPr>
          <w:sz w:val="24"/>
          <w:szCs w:val="24"/>
          <w:lang w:eastAsia="zh-CN"/>
        </w:rPr>
        <w:t>确保</w:t>
      </w:r>
      <w:r>
        <w:rPr>
          <w:rFonts w:hint="eastAsia"/>
          <w:sz w:val="24"/>
          <w:szCs w:val="24"/>
          <w:lang w:eastAsia="zh-CN"/>
        </w:rPr>
        <w:t>参与</w:t>
      </w:r>
      <w:r>
        <w:rPr>
          <w:sz w:val="24"/>
          <w:szCs w:val="24"/>
          <w:lang w:eastAsia="zh-CN"/>
        </w:rPr>
        <w:t>测评</w:t>
      </w:r>
      <w:r>
        <w:rPr>
          <w:rFonts w:hint="eastAsia"/>
          <w:sz w:val="24"/>
          <w:szCs w:val="24"/>
          <w:lang w:eastAsia="zh-CN"/>
        </w:rPr>
        <w:t>工作</w:t>
      </w:r>
      <w:r>
        <w:rPr>
          <w:sz w:val="24"/>
          <w:szCs w:val="24"/>
          <w:lang w:eastAsia="zh-CN"/>
        </w:rPr>
        <w:t>人员</w:t>
      </w:r>
      <w:r>
        <w:rPr>
          <w:rFonts w:hint="eastAsia"/>
          <w:sz w:val="24"/>
          <w:szCs w:val="24"/>
          <w:lang w:eastAsia="zh-CN"/>
        </w:rPr>
        <w:t>的</w:t>
      </w:r>
      <w:r>
        <w:rPr>
          <w:sz w:val="24"/>
          <w:szCs w:val="24"/>
          <w:lang w:eastAsia="zh-CN"/>
        </w:rPr>
        <w:t>可靠</w:t>
      </w:r>
      <w:r>
        <w:rPr>
          <w:rFonts w:hint="eastAsia"/>
          <w:sz w:val="24"/>
          <w:szCs w:val="24"/>
          <w:lang w:eastAsia="zh-CN"/>
        </w:rPr>
        <w:t>、</w:t>
      </w:r>
      <w:r>
        <w:rPr>
          <w:sz w:val="24"/>
          <w:szCs w:val="24"/>
          <w:lang w:eastAsia="zh-CN"/>
        </w:rPr>
        <w:t>稳定</w:t>
      </w:r>
      <w:r>
        <w:rPr>
          <w:rFonts w:hint="eastAsia"/>
          <w:sz w:val="24"/>
          <w:szCs w:val="24"/>
          <w:lang w:eastAsia="zh-CN"/>
        </w:rPr>
        <w:t>，</w:t>
      </w:r>
      <w:r>
        <w:rPr>
          <w:sz w:val="24"/>
          <w:szCs w:val="24"/>
          <w:lang w:eastAsia="zh-CN"/>
        </w:rPr>
        <w:t>防止敏感信息泄漏。</w:t>
      </w:r>
    </w:p>
    <w:p>
      <w:pPr>
        <w:spacing w:line="360" w:lineRule="auto"/>
        <w:ind w:firstLine="480" w:firstLineChars="200"/>
        <w:rPr>
          <w:sz w:val="24"/>
          <w:szCs w:val="24"/>
          <w:lang w:eastAsia="zh-CN"/>
        </w:rPr>
      </w:pPr>
      <w:r>
        <w:rPr>
          <w:rFonts w:hint="eastAsia"/>
          <w:sz w:val="24"/>
          <w:szCs w:val="24"/>
          <w:lang w:eastAsia="zh-CN"/>
        </w:rPr>
        <w:t>（3）</w:t>
      </w:r>
      <w:bookmarkEnd w:id="38"/>
      <w:bookmarkEnd w:id="39"/>
      <w:bookmarkStart w:id="40" w:name="_Toc113357469"/>
      <w:bookmarkStart w:id="41" w:name="_Toc113358276"/>
      <w:bookmarkStart w:id="42" w:name="_Toc113358275"/>
      <w:bookmarkStart w:id="43" w:name="_Toc113357468"/>
      <w:r>
        <w:rPr>
          <w:rFonts w:hint="eastAsia"/>
          <w:sz w:val="24"/>
          <w:szCs w:val="24"/>
          <w:lang w:eastAsia="zh-CN"/>
        </w:rPr>
        <w:t>测评对象选择</w:t>
      </w:r>
      <w:bookmarkEnd w:id="40"/>
      <w:bookmarkEnd w:id="41"/>
    </w:p>
    <w:p>
      <w:pPr>
        <w:spacing w:line="360" w:lineRule="auto"/>
        <w:ind w:firstLine="480" w:firstLineChars="200"/>
        <w:rPr>
          <w:sz w:val="24"/>
          <w:szCs w:val="24"/>
          <w:lang w:eastAsia="zh-CN"/>
        </w:rPr>
      </w:pPr>
      <w:r>
        <w:rPr>
          <w:rFonts w:hint="eastAsia"/>
          <w:sz w:val="24"/>
          <w:szCs w:val="24"/>
          <w:lang w:eastAsia="zh-CN"/>
        </w:rPr>
        <w:t>优先选择备用设备（系统）或</w:t>
      </w:r>
      <w:r>
        <w:rPr>
          <w:sz w:val="24"/>
          <w:szCs w:val="24"/>
          <w:lang w:eastAsia="zh-CN"/>
        </w:rPr>
        <w:t>临时搭建的</w:t>
      </w:r>
      <w:r>
        <w:rPr>
          <w:bCs/>
          <w:iCs/>
          <w:sz w:val="24"/>
          <w:szCs w:val="24"/>
          <w:lang w:eastAsia="zh-CN"/>
        </w:rPr>
        <w:t>模拟</w:t>
      </w:r>
      <w:r>
        <w:rPr>
          <w:sz w:val="24"/>
          <w:szCs w:val="24"/>
          <w:lang w:eastAsia="zh-CN"/>
        </w:rPr>
        <w:t>环境</w:t>
      </w:r>
      <w:r>
        <w:rPr>
          <w:rFonts w:hint="eastAsia"/>
          <w:sz w:val="24"/>
          <w:szCs w:val="24"/>
          <w:lang w:eastAsia="zh-CN"/>
        </w:rPr>
        <w:t>进行测评及评估，避免影响在线系统运行</w:t>
      </w:r>
      <w:r>
        <w:rPr>
          <w:sz w:val="24"/>
          <w:szCs w:val="24"/>
          <w:lang w:eastAsia="zh-CN"/>
        </w:rPr>
        <w:t>。</w:t>
      </w:r>
    </w:p>
    <w:p>
      <w:pPr>
        <w:spacing w:line="360" w:lineRule="auto"/>
        <w:ind w:firstLine="480" w:firstLineChars="200"/>
        <w:rPr>
          <w:sz w:val="24"/>
          <w:szCs w:val="24"/>
          <w:lang w:eastAsia="zh-CN"/>
        </w:rPr>
      </w:pPr>
      <w:r>
        <w:rPr>
          <w:rFonts w:hint="eastAsia"/>
          <w:sz w:val="24"/>
          <w:szCs w:val="24"/>
          <w:lang w:eastAsia="zh-CN"/>
        </w:rPr>
        <w:t>（4）</w:t>
      </w:r>
      <w:r>
        <w:rPr>
          <w:sz w:val="24"/>
          <w:szCs w:val="24"/>
          <w:lang w:eastAsia="zh-CN"/>
        </w:rPr>
        <w:t>制定应急预案</w:t>
      </w:r>
      <w:bookmarkEnd w:id="42"/>
      <w:bookmarkEnd w:id="43"/>
    </w:p>
    <w:p>
      <w:pPr>
        <w:spacing w:line="360" w:lineRule="auto"/>
        <w:ind w:firstLine="480" w:firstLineChars="200"/>
        <w:rPr>
          <w:sz w:val="24"/>
          <w:szCs w:val="24"/>
          <w:lang w:eastAsia="zh-CN"/>
        </w:rPr>
      </w:pPr>
      <w:r>
        <w:rPr>
          <w:rFonts w:hint="eastAsia"/>
          <w:sz w:val="24"/>
          <w:szCs w:val="24"/>
          <w:lang w:eastAsia="zh-CN"/>
        </w:rPr>
        <w:t>根据被测系统情况，在测评及评估实施前</w:t>
      </w:r>
      <w:r>
        <w:rPr>
          <w:sz w:val="24"/>
          <w:szCs w:val="24"/>
          <w:lang w:eastAsia="zh-CN"/>
        </w:rPr>
        <w:t>制定应急预案</w:t>
      </w:r>
      <w:r>
        <w:rPr>
          <w:rFonts w:hint="eastAsia"/>
          <w:sz w:val="24"/>
          <w:szCs w:val="24"/>
          <w:lang w:eastAsia="zh-CN"/>
        </w:rPr>
        <w:t>，加强系统在线应急处置能力。</w:t>
      </w:r>
    </w:p>
    <w:p>
      <w:pPr>
        <w:spacing w:line="360" w:lineRule="auto"/>
        <w:ind w:firstLine="480" w:firstLineChars="200"/>
        <w:rPr>
          <w:sz w:val="24"/>
          <w:szCs w:val="24"/>
          <w:lang w:eastAsia="zh-CN"/>
        </w:rPr>
      </w:pPr>
      <w:r>
        <w:rPr>
          <w:rFonts w:hint="eastAsia"/>
          <w:sz w:val="24"/>
          <w:szCs w:val="24"/>
          <w:lang w:eastAsia="zh-CN"/>
        </w:rPr>
        <w:t>（5）关键业务系统风险控制</w:t>
      </w:r>
    </w:p>
    <w:p>
      <w:pPr>
        <w:spacing w:line="360" w:lineRule="auto"/>
        <w:ind w:firstLine="480" w:firstLineChars="200"/>
        <w:rPr>
          <w:sz w:val="24"/>
          <w:szCs w:val="24"/>
          <w:lang w:eastAsia="zh-CN"/>
        </w:rPr>
      </w:pPr>
      <w:r>
        <w:rPr>
          <w:rFonts w:hint="eastAsia"/>
          <w:sz w:val="24"/>
          <w:szCs w:val="24"/>
          <w:lang w:eastAsia="zh-CN"/>
        </w:rPr>
        <w:t>生产控制大区在线运行系统禁止采用渗透测试工具进行测评。</w:t>
      </w:r>
    </w:p>
    <w:p>
      <w:pPr>
        <w:numPr>
          <w:ilvl w:val="1"/>
          <w:numId w:val="7"/>
        </w:numPr>
        <w:autoSpaceDE/>
        <w:autoSpaceDN/>
        <w:spacing w:line="360" w:lineRule="auto"/>
        <w:jc w:val="both"/>
        <w:outlineLvl w:val="1"/>
        <w:rPr>
          <w:b/>
          <w:sz w:val="24"/>
          <w:szCs w:val="24"/>
          <w:lang w:eastAsia="zh-CN"/>
        </w:rPr>
      </w:pPr>
      <w:r>
        <w:rPr>
          <w:rFonts w:hint="eastAsia"/>
          <w:b/>
          <w:sz w:val="24"/>
          <w:szCs w:val="24"/>
          <w:lang w:eastAsia="zh-CN"/>
        </w:rPr>
        <w:t>系统加固整改</w:t>
      </w:r>
      <w:r>
        <w:rPr>
          <w:rFonts w:hint="eastAsia"/>
          <w:color w:val="000000"/>
          <w:sz w:val="24"/>
          <w:szCs w:val="24"/>
          <w:lang w:eastAsia="zh-CN"/>
        </w:rPr>
        <w:t>（详见附件：系统整改加固）</w:t>
      </w:r>
    </w:p>
    <w:bookmarkEnd w:id="29"/>
    <w:bookmarkEnd w:id="30"/>
    <w:bookmarkEnd w:id="31"/>
    <w:bookmarkEnd w:id="32"/>
    <w:p>
      <w:pPr>
        <w:numPr>
          <w:ilvl w:val="1"/>
          <w:numId w:val="7"/>
        </w:numPr>
        <w:autoSpaceDE/>
        <w:autoSpaceDN/>
        <w:spacing w:line="360" w:lineRule="auto"/>
        <w:jc w:val="both"/>
        <w:outlineLvl w:val="1"/>
        <w:rPr>
          <w:b/>
          <w:sz w:val="24"/>
          <w:szCs w:val="24"/>
        </w:rPr>
      </w:pPr>
      <w:bookmarkStart w:id="44" w:name="_Toc311015404"/>
      <w:bookmarkStart w:id="45" w:name="_Toc288552020"/>
      <w:bookmarkStart w:id="46" w:name="_Toc287704425"/>
      <w:bookmarkStart w:id="47" w:name="_Toc288574635"/>
      <w:bookmarkStart w:id="48" w:name="_Toc288570237"/>
      <w:r>
        <w:rPr>
          <w:rFonts w:hint="eastAsia"/>
          <w:b/>
          <w:sz w:val="24"/>
          <w:szCs w:val="24"/>
        </w:rPr>
        <w:t>等级保护测评内容</w:t>
      </w:r>
      <w:bookmarkEnd w:id="44"/>
      <w:r>
        <w:rPr>
          <w:rFonts w:hint="eastAsia"/>
          <w:b/>
          <w:sz w:val="24"/>
          <w:szCs w:val="24"/>
        </w:rPr>
        <w:t>要求</w:t>
      </w:r>
    </w:p>
    <w:p>
      <w:pPr>
        <w:snapToGrid w:val="0"/>
        <w:spacing w:line="360" w:lineRule="auto"/>
        <w:ind w:firstLine="480" w:firstLineChars="200"/>
        <w:rPr>
          <w:sz w:val="24"/>
          <w:szCs w:val="24"/>
          <w:lang w:eastAsia="zh-CN"/>
        </w:rPr>
      </w:pPr>
      <w:r>
        <w:rPr>
          <w:rFonts w:hint="eastAsia"/>
          <w:sz w:val="24"/>
          <w:szCs w:val="24"/>
          <w:lang w:eastAsia="zh-CN"/>
        </w:rPr>
        <w:t>根据国家等级保护相关标准，本次项目的</w:t>
      </w:r>
      <w:r>
        <w:rPr>
          <w:sz w:val="24"/>
          <w:szCs w:val="24"/>
          <w:lang w:eastAsia="zh-CN"/>
        </w:rPr>
        <w:t>安全等级保护测评</w:t>
      </w:r>
      <w:r>
        <w:rPr>
          <w:rFonts w:hint="eastAsia"/>
          <w:sz w:val="24"/>
          <w:szCs w:val="24"/>
          <w:lang w:eastAsia="zh-CN"/>
        </w:rPr>
        <w:t>应</w:t>
      </w:r>
      <w:r>
        <w:rPr>
          <w:sz w:val="24"/>
          <w:szCs w:val="24"/>
          <w:lang w:eastAsia="zh-CN"/>
        </w:rPr>
        <w:t>包括以下内容：</w:t>
      </w:r>
    </w:p>
    <w:bookmarkEnd w:id="45"/>
    <w:bookmarkEnd w:id="46"/>
    <w:bookmarkEnd w:id="47"/>
    <w:bookmarkEnd w:id="48"/>
    <w:p>
      <w:pPr>
        <w:pStyle w:val="81"/>
        <w:overflowPunct w:val="0"/>
        <w:topLinePunct/>
        <w:spacing w:line="360" w:lineRule="auto"/>
        <w:ind w:firstLine="480" w:firstLineChars="200"/>
        <w:rPr>
          <w:color w:val="auto"/>
          <w:sz w:val="24"/>
          <w:szCs w:val="24"/>
          <w:lang w:eastAsia="zh-CN"/>
        </w:rPr>
      </w:pPr>
      <w:r>
        <w:rPr>
          <w:rFonts w:hint="eastAsia"/>
          <w:color w:val="auto"/>
          <w:sz w:val="24"/>
          <w:szCs w:val="24"/>
          <w:lang w:eastAsia="zh-CN"/>
        </w:rPr>
        <w:t>1）</w:t>
      </w:r>
      <w:r>
        <w:rPr>
          <w:color w:val="auto"/>
          <w:sz w:val="24"/>
          <w:szCs w:val="24"/>
          <w:lang w:eastAsia="zh-CN"/>
        </w:rPr>
        <w:t>安全技术测评：</w:t>
      </w:r>
      <w:r>
        <w:rPr>
          <w:rFonts w:hint="eastAsia"/>
          <w:color w:val="auto"/>
          <w:sz w:val="24"/>
          <w:szCs w:val="24"/>
          <w:lang w:eastAsia="zh-CN"/>
        </w:rPr>
        <w:t>包括</w:t>
      </w:r>
      <w:r>
        <w:rPr>
          <w:color w:val="auto"/>
          <w:sz w:val="24"/>
          <w:szCs w:val="24"/>
          <w:lang w:eastAsia="zh-CN"/>
        </w:rPr>
        <w:t>物理安全、网络安全</w:t>
      </w:r>
      <w:r>
        <w:rPr>
          <w:rFonts w:hint="eastAsia"/>
          <w:color w:val="auto"/>
          <w:sz w:val="24"/>
          <w:szCs w:val="24"/>
          <w:lang w:eastAsia="zh-CN"/>
        </w:rPr>
        <w:t>、主机安全、应用安全和</w:t>
      </w:r>
      <w:r>
        <w:rPr>
          <w:color w:val="auto"/>
          <w:sz w:val="24"/>
          <w:szCs w:val="24"/>
          <w:lang w:eastAsia="zh-CN"/>
        </w:rPr>
        <w:t>数据安全</w:t>
      </w:r>
      <w:r>
        <w:rPr>
          <w:rFonts w:hint="eastAsia"/>
          <w:color w:val="auto"/>
          <w:sz w:val="24"/>
          <w:szCs w:val="24"/>
          <w:lang w:eastAsia="zh-CN"/>
        </w:rPr>
        <w:t>及备份恢复</w:t>
      </w:r>
      <w:r>
        <w:rPr>
          <w:color w:val="auto"/>
          <w:sz w:val="24"/>
          <w:szCs w:val="24"/>
          <w:lang w:eastAsia="zh-CN"/>
        </w:rPr>
        <w:t>等</w:t>
      </w:r>
      <w:r>
        <w:rPr>
          <w:rFonts w:hint="eastAsia"/>
          <w:color w:val="auto"/>
          <w:sz w:val="24"/>
          <w:szCs w:val="24"/>
          <w:lang w:eastAsia="zh-CN"/>
        </w:rPr>
        <w:t>五个方面的安全</w:t>
      </w:r>
      <w:r>
        <w:rPr>
          <w:color w:val="auto"/>
          <w:sz w:val="24"/>
          <w:szCs w:val="24"/>
          <w:lang w:eastAsia="zh-CN"/>
        </w:rPr>
        <w:t>测评；</w:t>
      </w:r>
    </w:p>
    <w:p>
      <w:pPr>
        <w:pStyle w:val="81"/>
        <w:overflowPunct w:val="0"/>
        <w:topLinePunct/>
        <w:spacing w:line="360" w:lineRule="auto"/>
        <w:ind w:firstLine="480" w:firstLineChars="200"/>
        <w:rPr>
          <w:color w:val="auto"/>
          <w:sz w:val="24"/>
          <w:szCs w:val="24"/>
          <w:lang w:eastAsia="zh-CN"/>
        </w:rPr>
      </w:pPr>
      <w:r>
        <w:rPr>
          <w:rFonts w:hint="eastAsia"/>
          <w:color w:val="auto"/>
          <w:sz w:val="24"/>
          <w:szCs w:val="24"/>
          <w:lang w:eastAsia="zh-CN"/>
        </w:rPr>
        <w:t>2）</w:t>
      </w:r>
      <w:r>
        <w:rPr>
          <w:color w:val="auto"/>
          <w:sz w:val="24"/>
          <w:szCs w:val="24"/>
          <w:lang w:eastAsia="zh-CN"/>
        </w:rPr>
        <w:t>安全管理测评：</w:t>
      </w:r>
      <w:r>
        <w:rPr>
          <w:rFonts w:hint="eastAsia"/>
          <w:color w:val="auto"/>
          <w:sz w:val="24"/>
          <w:szCs w:val="24"/>
          <w:lang w:eastAsia="zh-CN"/>
        </w:rPr>
        <w:t>包括</w:t>
      </w:r>
      <w:r>
        <w:rPr>
          <w:color w:val="auto"/>
          <w:sz w:val="24"/>
          <w:szCs w:val="24"/>
          <w:lang w:eastAsia="zh-CN"/>
        </w:rPr>
        <w:t>安全管理</w:t>
      </w:r>
      <w:r>
        <w:rPr>
          <w:rFonts w:hint="eastAsia"/>
          <w:color w:val="auto"/>
          <w:sz w:val="24"/>
          <w:szCs w:val="24"/>
          <w:lang w:eastAsia="zh-CN"/>
        </w:rPr>
        <w:t>制度</w:t>
      </w:r>
      <w:r>
        <w:rPr>
          <w:color w:val="auto"/>
          <w:sz w:val="24"/>
          <w:szCs w:val="24"/>
          <w:lang w:eastAsia="zh-CN"/>
        </w:rPr>
        <w:t>、安全管理</w:t>
      </w:r>
      <w:r>
        <w:rPr>
          <w:rFonts w:hint="eastAsia"/>
          <w:color w:val="auto"/>
          <w:sz w:val="24"/>
          <w:szCs w:val="24"/>
          <w:lang w:eastAsia="zh-CN"/>
        </w:rPr>
        <w:t>机构、</w:t>
      </w:r>
      <w:r>
        <w:rPr>
          <w:color w:val="auto"/>
          <w:sz w:val="24"/>
          <w:szCs w:val="24"/>
          <w:lang w:eastAsia="zh-CN"/>
        </w:rPr>
        <w:t>人员安全管理、系统建设管理和系统运维管理等</w:t>
      </w:r>
      <w:r>
        <w:rPr>
          <w:rFonts w:hint="eastAsia"/>
          <w:color w:val="auto"/>
          <w:sz w:val="24"/>
          <w:szCs w:val="24"/>
          <w:lang w:eastAsia="zh-CN"/>
        </w:rPr>
        <w:t>五</w:t>
      </w:r>
      <w:r>
        <w:rPr>
          <w:color w:val="auto"/>
          <w:sz w:val="24"/>
          <w:szCs w:val="24"/>
          <w:lang w:eastAsia="zh-CN"/>
        </w:rPr>
        <w:t>个方面的安全测评</w:t>
      </w:r>
      <w:r>
        <w:rPr>
          <w:rFonts w:hint="eastAsia"/>
          <w:sz w:val="24"/>
          <w:szCs w:val="24"/>
          <w:lang w:eastAsia="zh-CN"/>
        </w:rPr>
        <w:t>。</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物理安全</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物理安全测评是对电力监控系统的机房和办公场所的物理环境安全防护情况进行测评，包括物理位置选择、物理访问控制、防盗窃和防破坏、防雷击、防火、防水和防潮、防静电、温湿度控制、电力供应和电磁防护等方面的安全状况。</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网络安全</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网络安全测评是对电力监控系统的网络系统安全防护情况进行测评，包括网络结构安全、网络访问控制、网络安全审计、网络边界完整性检查、网络入侵防范、网络恶意代码防范、网络设备防护等方面的安全状况。</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主机安全</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主机安全测评是对电力监控系统的服务器、数据库和终端主机系统的安全防护情况进行测评，包括操作系统和数据库层面的身份鉴别、安全标记、访问控制、可信路径、安全审计、剩余信息保护、主机入侵防范、主机恶意代码防范、主机资源控制等方面的安全状况。</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应用安全</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应用安全测评是对电力监控系统的业务系统的安全防护情况进行测评，包括应用系统层面的身份鉴别、安全标记、访问控制、可信路径、安全审计、剩余信息保护、通信完整性、通信保密性、抗抵赖、软件容错、应用系统的资源控制等方面的安全状况。</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数据安全及备份恢复</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数据安全及备份恢复测评是对电力监控系统的数据安全保护情况进行测评，包括数据在传输和存储过程中的完整性、保密性措施，数据备份和恢复措施。</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安全管理制度</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安全管理制度测评是对电力监控系统的安全管理制度体系和制度内容、制定和发布流程、评审和修订机制等情况进行测评。</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安全管理机构</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安全管理机构测评是对电力监控系统的安全管理组织和岗位设置、人员配备、授权和审批、沟通和合作、审核和检查等情况进行测评。</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人员安全管理</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人员安全管理测评是对电力监控系统相关内部人员的人员录用、人员离岗、人员考核、安全意识教育和培训，以及外部人员访问管理等情况进行测评。</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系统建设管理</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系统建设管理测评是对电力监控系统建设过程中的系统定级、安全方案设计、产品采购和使用、自主软件开发、外包软件开发、工程实施、测试验收、系统交付、系统定级备案、等级测评、安全服务商选择等情况进行测评。</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系统运维管理</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系统运维管理测评是对电力监控系统运行维护过程中的环境管理、资产管理、介质管理、设备管理、监控管理和安全管理中心、网络安全管理、系统安全管理、恶意代码防范管理、密码管理、变更管理、备份与恢复管理、安全事件处置、应急预案管理等情况进行测评。</w:t>
      </w:r>
    </w:p>
    <w:p>
      <w:pPr>
        <w:numPr>
          <w:ilvl w:val="1"/>
          <w:numId w:val="7"/>
        </w:numPr>
        <w:autoSpaceDE/>
        <w:autoSpaceDN/>
        <w:spacing w:line="360" w:lineRule="auto"/>
        <w:jc w:val="both"/>
        <w:outlineLvl w:val="1"/>
        <w:rPr>
          <w:b/>
          <w:sz w:val="24"/>
          <w:szCs w:val="24"/>
        </w:rPr>
      </w:pPr>
      <w:r>
        <w:rPr>
          <w:rFonts w:hint="eastAsia"/>
          <w:b/>
          <w:sz w:val="24"/>
          <w:szCs w:val="24"/>
        </w:rPr>
        <w:t>安全防护评估内容</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根据电力监控系统安全防护评估相关标准，在系统等级保护测评的基础上，增加如下评估项：资产评估、威胁评估、通用应用评估、基础设施安全评估、体系结构安全评估、系统本体安全评估、全面安全管理评估、安全应急能力评估、现有安全措施有效性评估等。</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资产评估</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资产评估对象包括：网络、主机、安全防护措施、应用系统等。根据安全防护评估有关技术要求，资产评估主要考虑两个方面的内容：一是信息系统中所存储、处理、传输的主要信息，二是信息系统所提供的主要服务。通过对每一类信息和服务等级的分析，最终确定信息系统的重要性级别。资产评估具体步骤包括：资产数据整理与核实、资产重要程度分析。其中，资产数据整理与核实是根据被评估单位前期提交的资料，进行资产数据的真实性的查证与确认。资产重要程度分析是根据资产承载的数据、提供的服务，判定资产重要程度的过程。</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威胁评估</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威胁评估是对被评估单位业务系统、网络与信息系统面临的威胁进行分析的过程。威胁评估依据《电力监控系统安全防护评估规范》提供的威胁列表，以运行与管理人员访谈的方式进行。如被评估单位能够提供历史信息安全事件统计，也可作为威胁评估的补充内容。通过威胁评估，要达到明确被评估单位信息系统面临的主要威胁，以及这些威胁的等级的目的。</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通用应用评估</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通用应用评估是对信息系统中的数据库服务、Web服务等通用应用进行的安全配置检查，达到发现通用应用安全漏洞的目的。通用应用评估也采用人工审计和漏洞扫描两种方式进行。</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基础设施安全评估</w:t>
      </w:r>
    </w:p>
    <w:p>
      <w:pPr>
        <w:spacing w:line="360" w:lineRule="auto"/>
        <w:ind w:firstLine="480" w:firstLineChars="200"/>
        <w:rPr>
          <w:sz w:val="24"/>
          <w:szCs w:val="24"/>
          <w:lang w:eastAsia="zh-CN"/>
        </w:rPr>
      </w:pPr>
      <w:r>
        <w:rPr>
          <w:rFonts w:hint="eastAsia"/>
          <w:sz w:val="24"/>
          <w:szCs w:val="24"/>
          <w:lang w:eastAsia="zh-CN"/>
        </w:rPr>
        <w:t>基础设施评估是对电力监控系统所处机房的物理安全防护情况，包括防水、防潮、防火、防静电、防雷击、防盗窃、防破坏措施实施情况，电子门禁的使用情况等进行评估。</w:t>
      </w:r>
    </w:p>
    <w:p>
      <w:pPr>
        <w:tabs>
          <w:tab w:val="left" w:pos="1080"/>
          <w:tab w:val="left" w:pos="1680"/>
        </w:tabs>
        <w:snapToGrid w:val="0"/>
        <w:spacing w:line="360" w:lineRule="auto"/>
        <w:ind w:firstLine="480" w:firstLineChars="200"/>
        <w:rPr>
          <w:sz w:val="24"/>
          <w:szCs w:val="24"/>
          <w:lang w:eastAsia="zh-CN"/>
        </w:rPr>
      </w:pPr>
      <w:r>
        <w:rPr>
          <w:rFonts w:hint="eastAsia" w:ascii="仿宋_GB2312"/>
          <w:sz w:val="24"/>
          <w:szCs w:val="24"/>
          <w:lang w:eastAsia="zh-CN"/>
        </w:rPr>
        <w:t>电力监控系统设备及线缆的部署情况，包括服务器、网络设备、安全设备的安装情况，通信线缆和电源线的铺设情况，设备电力供应情况等</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体系结构安全评估</w:t>
      </w:r>
    </w:p>
    <w:p>
      <w:pPr>
        <w:tabs>
          <w:tab w:val="left" w:pos="1080"/>
          <w:tab w:val="left" w:pos="1680"/>
        </w:tabs>
        <w:snapToGrid w:val="0"/>
        <w:spacing w:line="360" w:lineRule="auto"/>
        <w:ind w:firstLine="480" w:firstLineChars="200"/>
        <w:rPr>
          <w:rFonts w:ascii="仿宋_GB2312"/>
          <w:sz w:val="24"/>
          <w:szCs w:val="24"/>
          <w:lang w:eastAsia="zh-CN"/>
        </w:rPr>
      </w:pPr>
      <w:r>
        <w:rPr>
          <w:rFonts w:hint="eastAsia" w:ascii="仿宋_GB2312"/>
          <w:sz w:val="24"/>
          <w:szCs w:val="24"/>
          <w:lang w:eastAsia="zh-CN"/>
        </w:rPr>
        <w:t>体系结构评估应重点检查16字方针</w:t>
      </w:r>
      <w:r>
        <w:rPr>
          <w:rFonts w:hint="eastAsia" w:ascii="仿宋_GB2312"/>
          <w:b/>
          <w:sz w:val="24"/>
          <w:szCs w:val="24"/>
          <w:lang w:eastAsia="zh-CN"/>
        </w:rPr>
        <w:t>“安全分区、网络专用、横向隔离、纵向认证”</w:t>
      </w:r>
      <w:r>
        <w:rPr>
          <w:rFonts w:hint="eastAsia" w:ascii="仿宋_GB2312"/>
          <w:sz w:val="24"/>
          <w:szCs w:val="24"/>
          <w:lang w:eastAsia="zh-CN"/>
        </w:rPr>
        <w:t>的落实情况，重点针对网络边界防护措施、横向隔离、纵向认证等关键防护措施的执行情况，安全接入区的设置情况、无线网络防护等。</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系统本体安全评估</w:t>
      </w:r>
    </w:p>
    <w:p>
      <w:pPr>
        <w:spacing w:line="360" w:lineRule="auto"/>
        <w:ind w:firstLine="480" w:firstLineChars="200"/>
        <w:rPr>
          <w:sz w:val="24"/>
          <w:szCs w:val="24"/>
          <w:lang w:eastAsia="zh-CN"/>
        </w:rPr>
      </w:pPr>
      <w:r>
        <w:rPr>
          <w:rFonts w:hint="eastAsia"/>
          <w:sz w:val="24"/>
          <w:szCs w:val="24"/>
          <w:lang w:eastAsia="zh-CN"/>
        </w:rPr>
        <w:t>系统本体安全评估是对电力监控系统自身安全防护情况，包括软、硬件使用和策略配置等进行评估：</w:t>
      </w:r>
    </w:p>
    <w:p>
      <w:pPr>
        <w:pStyle w:val="44"/>
        <w:numPr>
          <w:ilvl w:val="0"/>
          <w:numId w:val="11"/>
        </w:numPr>
        <w:autoSpaceDE/>
        <w:autoSpaceDN/>
        <w:spacing w:before="0" w:line="360" w:lineRule="auto"/>
        <w:jc w:val="both"/>
        <w:rPr>
          <w:sz w:val="24"/>
          <w:szCs w:val="24"/>
          <w:lang w:eastAsia="zh-CN"/>
        </w:rPr>
      </w:pPr>
      <w:r>
        <w:rPr>
          <w:rFonts w:hint="eastAsia"/>
          <w:sz w:val="24"/>
          <w:szCs w:val="24"/>
          <w:lang w:eastAsia="zh-CN"/>
        </w:rPr>
        <w:t>移动存储介质使用情况，包括硬盘、U盘或其它存储设备；</w:t>
      </w:r>
    </w:p>
    <w:p>
      <w:pPr>
        <w:pStyle w:val="44"/>
        <w:numPr>
          <w:ilvl w:val="0"/>
          <w:numId w:val="11"/>
        </w:numPr>
        <w:autoSpaceDE/>
        <w:autoSpaceDN/>
        <w:spacing w:before="0" w:line="360" w:lineRule="auto"/>
        <w:jc w:val="both"/>
        <w:rPr>
          <w:sz w:val="24"/>
          <w:szCs w:val="24"/>
          <w:lang w:eastAsia="zh-CN"/>
        </w:rPr>
      </w:pPr>
      <w:r>
        <w:rPr>
          <w:rFonts w:hint="eastAsia"/>
          <w:sz w:val="24"/>
          <w:szCs w:val="24"/>
          <w:lang w:eastAsia="zh-CN"/>
        </w:rPr>
        <w:t>操作系统、网络设备、应用系统用户口令使用情况；</w:t>
      </w:r>
    </w:p>
    <w:p>
      <w:pPr>
        <w:pStyle w:val="44"/>
        <w:numPr>
          <w:ilvl w:val="0"/>
          <w:numId w:val="11"/>
        </w:numPr>
        <w:autoSpaceDE/>
        <w:autoSpaceDN/>
        <w:spacing w:before="0" w:line="360" w:lineRule="auto"/>
        <w:jc w:val="both"/>
        <w:rPr>
          <w:sz w:val="24"/>
          <w:szCs w:val="24"/>
          <w:lang w:eastAsia="zh-CN"/>
        </w:rPr>
      </w:pPr>
      <w:r>
        <w:rPr>
          <w:rFonts w:hint="eastAsia"/>
          <w:sz w:val="24"/>
          <w:szCs w:val="24"/>
          <w:lang w:eastAsia="zh-CN"/>
        </w:rPr>
        <w:t>操作系统、网络设备、应用系统用户权限分配情况；</w:t>
      </w:r>
    </w:p>
    <w:p>
      <w:pPr>
        <w:pStyle w:val="44"/>
        <w:numPr>
          <w:ilvl w:val="0"/>
          <w:numId w:val="11"/>
        </w:numPr>
        <w:autoSpaceDE/>
        <w:autoSpaceDN/>
        <w:spacing w:before="0" w:line="360" w:lineRule="auto"/>
        <w:jc w:val="both"/>
        <w:rPr>
          <w:sz w:val="24"/>
          <w:szCs w:val="24"/>
          <w:lang w:eastAsia="zh-CN"/>
        </w:rPr>
      </w:pPr>
      <w:r>
        <w:rPr>
          <w:rFonts w:hint="eastAsia"/>
          <w:sz w:val="24"/>
          <w:szCs w:val="24"/>
          <w:lang w:eastAsia="zh-CN"/>
        </w:rPr>
        <w:t>主机、交换机、路由器等设备、应用系统的安全策略配置及加固情况，尤其是Windows系统、非国产网络及安全设备。</w:t>
      </w:r>
    </w:p>
    <w:p>
      <w:pPr>
        <w:pStyle w:val="44"/>
        <w:numPr>
          <w:ilvl w:val="0"/>
          <w:numId w:val="11"/>
        </w:numPr>
        <w:autoSpaceDE/>
        <w:autoSpaceDN/>
        <w:spacing w:before="0" w:line="360" w:lineRule="auto"/>
        <w:jc w:val="both"/>
        <w:rPr>
          <w:sz w:val="24"/>
          <w:szCs w:val="24"/>
          <w:lang w:eastAsia="zh-CN"/>
        </w:rPr>
      </w:pPr>
      <w:r>
        <w:rPr>
          <w:rFonts w:hint="eastAsia"/>
          <w:sz w:val="24"/>
          <w:szCs w:val="24"/>
          <w:lang w:eastAsia="zh-CN"/>
        </w:rPr>
        <w:t>终端检测：主要为抽查终端是否有驻留木马、蠕虫、恶意软件，是否存在自定义共享文件夹，系统补丁是否及时更新安装，关键工作文件存放是否恰当等情况。主要通过人工查看和工具检测两种方式来进行。</w:t>
      </w:r>
    </w:p>
    <w:p>
      <w:pPr>
        <w:pStyle w:val="44"/>
        <w:numPr>
          <w:ilvl w:val="0"/>
          <w:numId w:val="11"/>
        </w:numPr>
        <w:autoSpaceDE/>
        <w:autoSpaceDN/>
        <w:spacing w:before="0" w:line="360" w:lineRule="auto"/>
        <w:jc w:val="both"/>
        <w:rPr>
          <w:sz w:val="24"/>
          <w:szCs w:val="24"/>
          <w:lang w:eastAsia="zh-CN"/>
        </w:rPr>
      </w:pPr>
      <w:r>
        <w:rPr>
          <w:rFonts w:hint="eastAsia"/>
          <w:sz w:val="24"/>
          <w:szCs w:val="24"/>
          <w:lang w:eastAsia="zh-CN"/>
        </w:rPr>
        <w:t>外设检测：主要检测带有硬盘、内存或其它存储设备和简易操作系统的网络打印机、传真机等智能设备。</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全面安全管理评估</w:t>
      </w:r>
    </w:p>
    <w:p>
      <w:pPr>
        <w:spacing w:line="360" w:lineRule="auto"/>
        <w:ind w:firstLine="480" w:firstLineChars="200"/>
        <w:rPr>
          <w:sz w:val="24"/>
          <w:szCs w:val="24"/>
          <w:lang w:eastAsia="zh-CN"/>
        </w:rPr>
      </w:pPr>
      <w:r>
        <w:rPr>
          <w:rFonts w:hint="eastAsia"/>
          <w:sz w:val="24"/>
          <w:szCs w:val="24"/>
          <w:lang w:eastAsia="zh-CN"/>
        </w:rPr>
        <w:t>1、全面安全管理评估是从管理角度对单位电力监控系统概况进行评估，重点检查安全防护规定落实情况；</w:t>
      </w:r>
    </w:p>
    <w:p>
      <w:pPr>
        <w:spacing w:line="360" w:lineRule="auto"/>
        <w:ind w:firstLine="480" w:firstLineChars="200"/>
        <w:rPr>
          <w:sz w:val="24"/>
          <w:szCs w:val="24"/>
          <w:lang w:eastAsia="zh-CN"/>
        </w:rPr>
      </w:pPr>
      <w:r>
        <w:rPr>
          <w:rFonts w:hint="eastAsia"/>
          <w:sz w:val="24"/>
          <w:szCs w:val="24"/>
          <w:lang w:eastAsia="zh-CN"/>
        </w:rPr>
        <w:t>2、制度建立及主管领导、管理机构和工作人员履职情况，信息安全责任制落实情况；</w:t>
      </w:r>
    </w:p>
    <w:p>
      <w:pPr>
        <w:spacing w:line="360" w:lineRule="auto"/>
        <w:ind w:firstLine="480" w:firstLineChars="200"/>
        <w:rPr>
          <w:sz w:val="24"/>
          <w:szCs w:val="24"/>
          <w:lang w:eastAsia="zh-CN"/>
        </w:rPr>
      </w:pPr>
      <w:r>
        <w:rPr>
          <w:rFonts w:hint="eastAsia"/>
          <w:sz w:val="24"/>
          <w:szCs w:val="24"/>
          <w:lang w:eastAsia="zh-CN"/>
        </w:rPr>
        <w:t>2.1、运维人员的安全管控情况；</w:t>
      </w:r>
    </w:p>
    <w:p>
      <w:pPr>
        <w:spacing w:line="360" w:lineRule="auto"/>
        <w:ind w:firstLine="480" w:firstLineChars="200"/>
        <w:rPr>
          <w:sz w:val="24"/>
          <w:szCs w:val="24"/>
          <w:lang w:eastAsia="zh-CN"/>
        </w:rPr>
      </w:pPr>
      <w:r>
        <w:rPr>
          <w:rFonts w:hint="eastAsia"/>
          <w:sz w:val="24"/>
          <w:szCs w:val="24"/>
          <w:lang w:eastAsia="zh-CN"/>
        </w:rPr>
        <w:t>2.2、电力监控系统安全防护评估工作开展情况；</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2.3、信息安全宣传教育、领导干部及各级人员网络与信息安全基础培训、信息安全人员专业技术培训情况等。</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rPr>
      </w:pPr>
      <w:r>
        <w:rPr>
          <w:rFonts w:hint="eastAsia"/>
          <w:b/>
          <w:bCs/>
          <w:sz w:val="24"/>
          <w:szCs w:val="24"/>
        </w:rPr>
        <w:t>安全应急能力评估</w:t>
      </w:r>
    </w:p>
    <w:p>
      <w:pPr>
        <w:spacing w:line="360" w:lineRule="auto"/>
        <w:ind w:firstLine="480" w:firstLineChars="200"/>
        <w:rPr>
          <w:sz w:val="24"/>
          <w:szCs w:val="24"/>
          <w:lang w:eastAsia="zh-CN"/>
        </w:rPr>
      </w:pPr>
      <w:r>
        <w:rPr>
          <w:rFonts w:hint="eastAsia"/>
          <w:sz w:val="24"/>
          <w:szCs w:val="24"/>
          <w:lang w:eastAsia="zh-CN"/>
        </w:rPr>
        <w:t>安全应急能力评估是对系统的安全有效性、业务的连续性和备用、灾备能力进行评估。</w:t>
      </w:r>
    </w:p>
    <w:p>
      <w:pPr>
        <w:spacing w:line="360" w:lineRule="auto"/>
        <w:ind w:firstLine="480" w:firstLineChars="200"/>
        <w:rPr>
          <w:sz w:val="24"/>
          <w:szCs w:val="24"/>
          <w:lang w:eastAsia="zh-CN"/>
        </w:rPr>
      </w:pPr>
      <w:r>
        <w:rPr>
          <w:rFonts w:hint="eastAsia"/>
          <w:sz w:val="24"/>
          <w:szCs w:val="24"/>
          <w:lang w:eastAsia="zh-CN"/>
        </w:rPr>
        <w:t>备用与容灾能力的建设情况，包括系统的冗余设备部署情况，设备配置的备份情况等；</w:t>
      </w:r>
    </w:p>
    <w:p>
      <w:pPr>
        <w:spacing w:line="360" w:lineRule="auto"/>
        <w:ind w:firstLine="480" w:firstLineChars="200"/>
        <w:rPr>
          <w:sz w:val="24"/>
          <w:szCs w:val="24"/>
          <w:lang w:eastAsia="zh-CN"/>
        </w:rPr>
      </w:pPr>
      <w:r>
        <w:rPr>
          <w:rFonts w:hint="eastAsia"/>
          <w:sz w:val="24"/>
          <w:szCs w:val="24"/>
          <w:lang w:eastAsia="zh-CN"/>
        </w:rPr>
        <w:t>网络与信息安全应急预案的制定、修订情况，包括应急预案是否健全，是否具有针对性和可操作性等；</w:t>
      </w:r>
    </w:p>
    <w:p>
      <w:pPr>
        <w:spacing w:line="360" w:lineRule="auto"/>
        <w:ind w:firstLine="480" w:firstLineChars="200"/>
        <w:rPr>
          <w:sz w:val="24"/>
          <w:szCs w:val="24"/>
          <w:lang w:eastAsia="zh-CN"/>
        </w:rPr>
      </w:pPr>
      <w:r>
        <w:rPr>
          <w:rFonts w:hint="eastAsia"/>
          <w:sz w:val="24"/>
          <w:szCs w:val="24"/>
          <w:lang w:eastAsia="zh-CN"/>
        </w:rPr>
        <w:t>应急技术支撑队伍建设、应急演练的执行情况；</w:t>
      </w:r>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重大网络安全事件处置情况。</w:t>
      </w:r>
    </w:p>
    <w:p>
      <w:pPr>
        <w:numPr>
          <w:ilvl w:val="2"/>
          <w:numId w:val="7"/>
        </w:numPr>
        <w:tabs>
          <w:tab w:val="left" w:pos="0"/>
          <w:tab w:val="clear" w:pos="851"/>
        </w:tabs>
        <w:overflowPunct w:val="0"/>
        <w:topLinePunct/>
        <w:autoSpaceDE/>
        <w:autoSpaceDN/>
        <w:snapToGrid w:val="0"/>
        <w:spacing w:line="360" w:lineRule="auto"/>
        <w:ind w:left="0" w:firstLine="0"/>
        <w:jc w:val="both"/>
        <w:outlineLvl w:val="2"/>
        <w:rPr>
          <w:b/>
          <w:bCs/>
          <w:sz w:val="24"/>
          <w:szCs w:val="24"/>
          <w:lang w:eastAsia="zh-CN"/>
        </w:rPr>
      </w:pPr>
      <w:bookmarkStart w:id="49" w:name="_Toc450580307"/>
      <w:r>
        <w:rPr>
          <w:rFonts w:hint="eastAsia"/>
          <w:b/>
          <w:bCs/>
          <w:sz w:val="24"/>
          <w:szCs w:val="24"/>
          <w:lang w:eastAsia="zh-CN"/>
        </w:rPr>
        <w:t>现有安全措施有效性评估</w:t>
      </w:r>
      <w:bookmarkEnd w:id="49"/>
    </w:p>
    <w:p>
      <w:pPr>
        <w:tabs>
          <w:tab w:val="left" w:pos="1080"/>
          <w:tab w:val="left" w:pos="1680"/>
        </w:tabs>
        <w:snapToGrid w:val="0"/>
        <w:spacing w:line="360" w:lineRule="auto"/>
        <w:ind w:firstLine="480" w:firstLineChars="200"/>
        <w:rPr>
          <w:sz w:val="24"/>
          <w:szCs w:val="24"/>
          <w:lang w:eastAsia="zh-CN"/>
        </w:rPr>
      </w:pPr>
      <w:r>
        <w:rPr>
          <w:rFonts w:hint="eastAsia"/>
          <w:sz w:val="24"/>
          <w:szCs w:val="24"/>
          <w:lang w:eastAsia="zh-CN"/>
        </w:rPr>
        <w:t>现有安全措施有效性评估是对信息系统中部署的主要安全防护措施进行的审计，达到确定这些安全措施的管理和使用情况是否存在重大漏洞和缺陷，明确现有安全措施的有效性程度的目的。现有安全措施的评估主要采用人工检查和访谈的方式进行。主要包括防火墙、防病毒系统、入侵检测/防御装置、防病毒网关、单向隔离装置、纵向认证装置等现有安全措施。</w:t>
      </w:r>
    </w:p>
    <w:p>
      <w:pPr>
        <w:numPr>
          <w:ilvl w:val="1"/>
          <w:numId w:val="7"/>
        </w:numPr>
        <w:autoSpaceDE/>
        <w:autoSpaceDN/>
        <w:spacing w:line="360" w:lineRule="auto"/>
        <w:jc w:val="both"/>
        <w:outlineLvl w:val="1"/>
        <w:rPr>
          <w:b/>
          <w:sz w:val="24"/>
          <w:szCs w:val="24"/>
        </w:rPr>
      </w:pPr>
      <w:bookmarkStart w:id="50" w:name="_Toc311015405"/>
      <w:r>
        <w:rPr>
          <w:rFonts w:hint="eastAsia"/>
          <w:b/>
          <w:sz w:val="24"/>
          <w:szCs w:val="24"/>
        </w:rPr>
        <w:t>测评及评估流程</w:t>
      </w:r>
      <w:bookmarkEnd w:id="50"/>
    </w:p>
    <w:p>
      <w:pPr>
        <w:pStyle w:val="81"/>
        <w:overflowPunct w:val="0"/>
        <w:topLinePunct/>
        <w:spacing w:line="360" w:lineRule="auto"/>
        <w:ind w:firstLine="480" w:firstLineChars="200"/>
        <w:rPr>
          <w:color w:val="auto"/>
          <w:sz w:val="24"/>
          <w:szCs w:val="24"/>
          <w:lang w:eastAsia="zh-CN"/>
        </w:rPr>
      </w:pPr>
      <w:r>
        <w:rPr>
          <w:rFonts w:hint="eastAsia"/>
          <w:color w:val="auto"/>
          <w:sz w:val="24"/>
          <w:szCs w:val="24"/>
          <w:lang w:eastAsia="zh-CN"/>
        </w:rPr>
        <w:t>根据国家等级保护相关标准，电力监控系统安全等级保护测评流程分为四个阶段：测评准备阶段、方案编制阶段、现场测评阶段、分析与报告编制阶段。测评完成后，提供整改建议书，配合招标方根据测评范围进行整改实施。</w:t>
      </w:r>
    </w:p>
    <w:p>
      <w:pPr>
        <w:snapToGrid w:val="0"/>
        <w:spacing w:line="360" w:lineRule="auto"/>
        <w:ind w:firstLine="480" w:firstLineChars="200"/>
        <w:rPr>
          <w:sz w:val="24"/>
          <w:szCs w:val="24"/>
          <w:lang w:eastAsia="zh-CN"/>
        </w:rPr>
      </w:pPr>
      <w:r>
        <w:rPr>
          <w:rFonts w:hint="eastAsia"/>
          <w:sz w:val="24"/>
          <w:szCs w:val="24"/>
          <w:lang w:eastAsia="zh-CN"/>
        </w:rPr>
        <w:t>电力监控</w:t>
      </w:r>
      <w:r>
        <w:rPr>
          <w:sz w:val="24"/>
          <w:szCs w:val="24"/>
          <w:lang w:eastAsia="zh-CN"/>
        </w:rPr>
        <w:t>系统</w:t>
      </w:r>
      <w:r>
        <w:rPr>
          <w:rFonts w:hint="eastAsia"/>
          <w:sz w:val="24"/>
          <w:szCs w:val="24"/>
          <w:lang w:eastAsia="zh-CN"/>
        </w:rPr>
        <w:t>的</w:t>
      </w:r>
      <w:r>
        <w:rPr>
          <w:sz w:val="24"/>
          <w:szCs w:val="24"/>
          <w:lang w:eastAsia="zh-CN"/>
        </w:rPr>
        <w:t>安全等级保护测评</w:t>
      </w:r>
      <w:r>
        <w:rPr>
          <w:rFonts w:hint="eastAsia"/>
          <w:sz w:val="24"/>
          <w:szCs w:val="24"/>
          <w:lang w:eastAsia="zh-CN"/>
        </w:rPr>
        <w:t>流程如下图所示</w:t>
      </w:r>
      <w:r>
        <w:rPr>
          <w:sz w:val="24"/>
          <w:szCs w:val="24"/>
          <w:lang w:eastAsia="zh-CN"/>
        </w:rPr>
        <w:t>：</w:t>
      </w:r>
    </w:p>
    <w:p>
      <w:pPr>
        <w:tabs>
          <w:tab w:val="left" w:pos="1080"/>
          <w:tab w:val="left" w:pos="1680"/>
        </w:tabs>
        <w:snapToGrid w:val="0"/>
        <w:spacing w:line="360" w:lineRule="auto"/>
        <w:rPr>
          <w:sz w:val="24"/>
          <w:szCs w:val="24"/>
        </w:rPr>
      </w:pPr>
      <w:r>
        <w:object>
          <v:shape id="_x0000_i1025" o:spt="75" type="#_x0000_t75" style="height:616.5pt;width:390.75pt;" o:ole="t" filled="f" o:preferrelative="t" stroked="f" coordsize="21600,21600">
            <v:path/>
            <v:fill on="f" focussize="0,0"/>
            <v:stroke on="f" joinstyle="miter"/>
            <v:imagedata r:id="rId15" o:title=""/>
            <o:lock v:ext="edit" aspectratio="t"/>
            <w10:wrap type="none"/>
            <w10:anchorlock/>
          </v:shape>
          <o:OLEObject Type="Embed" ProgID="Visio.Drawing.11" ShapeID="_x0000_i1025" DrawAspect="Content" ObjectID="_1468075725" r:id="rId14">
            <o:LockedField>false</o:LockedField>
          </o:OLEObject>
        </w:object>
      </w:r>
    </w:p>
    <w:p>
      <w:pPr>
        <w:pStyle w:val="81"/>
        <w:overflowPunct w:val="0"/>
        <w:topLinePunct/>
        <w:spacing w:line="360" w:lineRule="auto"/>
        <w:ind w:firstLine="480" w:firstLineChars="200"/>
        <w:rPr>
          <w:color w:val="auto"/>
          <w:sz w:val="24"/>
          <w:szCs w:val="24"/>
          <w:lang w:eastAsia="zh-CN"/>
        </w:rPr>
      </w:pPr>
      <w:r>
        <w:rPr>
          <w:rFonts w:hint="eastAsia"/>
          <w:color w:val="auto"/>
          <w:sz w:val="24"/>
          <w:szCs w:val="24"/>
          <w:lang w:eastAsia="zh-CN"/>
        </w:rPr>
        <w:t>电力监控系统安全防护评估工作基本流程将依照《电力监控系统安全防护评估规范》进行，分前期交流和启动准备阶段、现场数据采集和评估阶段、风险计算和分析阶段，以及总结阶段。</w:t>
      </w:r>
    </w:p>
    <w:p>
      <w:pPr>
        <w:pStyle w:val="81"/>
        <w:overflowPunct w:val="0"/>
        <w:topLinePunct/>
        <w:spacing w:line="360" w:lineRule="auto"/>
        <w:ind w:firstLine="420" w:firstLineChars="200"/>
        <w:rPr>
          <w:b/>
          <w:sz w:val="24"/>
          <w:szCs w:val="24"/>
        </w:rPr>
      </w:pPr>
      <w:bookmarkStart w:id="51" w:name="_Toc311015406"/>
      <w:r>
        <w:object>
          <v:shape id="_x0000_i1026" o:spt="75" type="#_x0000_t75" style="height:697.5pt;width:372.75pt;" o:ole="t" filled="f" o:preferrelative="t" stroked="f" coordsize="21600,21600">
            <v:path/>
            <v:fill on="f" focussize="0,0"/>
            <v:stroke on="f" joinstyle="miter"/>
            <v:imagedata r:id="rId17" o:title=""/>
            <o:lock v:ext="edit" aspectratio="t"/>
            <w10:wrap type="none"/>
            <w10:anchorlock/>
          </v:shape>
          <o:OLEObject Type="Embed" ProgID="Visio.Drawing.11" ShapeID="_x0000_i1026" DrawAspect="Content" ObjectID="_1468075726" r:id="rId16">
            <o:LockedField>false</o:LockedField>
          </o:OLEObject>
        </w:object>
      </w:r>
    </w:p>
    <w:p>
      <w:pPr>
        <w:numPr>
          <w:ilvl w:val="0"/>
          <w:numId w:val="7"/>
        </w:numPr>
        <w:autoSpaceDE/>
        <w:autoSpaceDN/>
        <w:spacing w:line="360" w:lineRule="auto"/>
        <w:jc w:val="both"/>
        <w:outlineLvl w:val="0"/>
        <w:rPr>
          <w:b/>
          <w:sz w:val="24"/>
          <w:szCs w:val="24"/>
        </w:rPr>
      </w:pPr>
      <w:r>
        <w:rPr>
          <w:rFonts w:hint="eastAsia"/>
          <w:b/>
          <w:sz w:val="24"/>
          <w:szCs w:val="24"/>
        </w:rPr>
        <w:t>工程管理</w:t>
      </w:r>
      <w:bookmarkEnd w:id="51"/>
    </w:p>
    <w:p>
      <w:pPr>
        <w:numPr>
          <w:ilvl w:val="1"/>
          <w:numId w:val="7"/>
        </w:numPr>
        <w:autoSpaceDE/>
        <w:autoSpaceDN/>
        <w:spacing w:line="360" w:lineRule="auto"/>
        <w:jc w:val="both"/>
        <w:outlineLvl w:val="1"/>
        <w:rPr>
          <w:b/>
          <w:sz w:val="24"/>
          <w:szCs w:val="24"/>
        </w:rPr>
      </w:pPr>
      <w:bookmarkStart w:id="52" w:name="_Toc311015408"/>
      <w:r>
        <w:rPr>
          <w:rFonts w:hint="eastAsia"/>
          <w:b/>
          <w:sz w:val="24"/>
          <w:szCs w:val="24"/>
        </w:rPr>
        <w:t>项目验收</w:t>
      </w:r>
      <w:bookmarkEnd w:id="52"/>
    </w:p>
    <w:p>
      <w:pPr>
        <w:overflowPunct w:val="0"/>
        <w:topLinePunct/>
        <w:snapToGrid w:val="0"/>
        <w:spacing w:line="360" w:lineRule="auto"/>
        <w:ind w:firstLine="480" w:firstLineChars="200"/>
        <w:rPr>
          <w:sz w:val="24"/>
          <w:szCs w:val="24"/>
          <w:lang w:eastAsia="zh-CN"/>
        </w:rPr>
      </w:pPr>
      <w:r>
        <w:rPr>
          <w:rFonts w:hint="eastAsia"/>
          <w:sz w:val="24"/>
          <w:szCs w:val="24"/>
          <w:lang w:eastAsia="zh-CN"/>
        </w:rPr>
        <w:t>验收应按照招标方确认的验收测试大纲进行，全过程必须由招标方在场见证。</w:t>
      </w:r>
    </w:p>
    <w:p>
      <w:pPr>
        <w:numPr>
          <w:ilvl w:val="0"/>
          <w:numId w:val="8"/>
        </w:numPr>
        <w:autoSpaceDE/>
        <w:autoSpaceDN/>
        <w:spacing w:line="360" w:lineRule="auto"/>
        <w:ind w:firstLine="147"/>
        <w:jc w:val="both"/>
        <w:rPr>
          <w:sz w:val="24"/>
          <w:szCs w:val="24"/>
          <w:lang w:eastAsia="zh-CN"/>
        </w:rPr>
      </w:pPr>
      <w:r>
        <w:rPr>
          <w:sz w:val="24"/>
          <w:szCs w:val="24"/>
          <w:lang w:eastAsia="zh-CN"/>
        </w:rPr>
        <w:t>等级保护测评</w:t>
      </w:r>
      <w:r>
        <w:rPr>
          <w:rFonts w:hint="eastAsia"/>
          <w:sz w:val="24"/>
          <w:szCs w:val="24"/>
          <w:lang w:eastAsia="zh-CN"/>
        </w:rPr>
        <w:t>及安全防护评估</w:t>
      </w:r>
      <w:r>
        <w:rPr>
          <w:sz w:val="24"/>
          <w:szCs w:val="24"/>
          <w:lang w:eastAsia="zh-CN"/>
        </w:rPr>
        <w:t>项目目标是输出等级保护</w:t>
      </w:r>
      <w:r>
        <w:rPr>
          <w:rFonts w:hint="eastAsia"/>
          <w:sz w:val="24"/>
          <w:szCs w:val="24"/>
          <w:lang w:eastAsia="zh-CN"/>
        </w:rPr>
        <w:t>测评及安全防护评估</w:t>
      </w:r>
      <w:r>
        <w:rPr>
          <w:sz w:val="24"/>
          <w:szCs w:val="24"/>
          <w:lang w:eastAsia="zh-CN"/>
        </w:rPr>
        <w:t>报告，该项目将产生一定数量的文档。</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投标</w:t>
      </w:r>
      <w:r>
        <w:rPr>
          <w:sz w:val="24"/>
          <w:szCs w:val="24"/>
          <w:lang w:eastAsia="zh-CN"/>
        </w:rPr>
        <w:t>方应对所有正式交付件的综合质量审查负责，指定各交付件的相关责任人，明确相关职责。</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投标方</w:t>
      </w:r>
      <w:r>
        <w:rPr>
          <w:sz w:val="24"/>
          <w:szCs w:val="24"/>
          <w:lang w:eastAsia="zh-CN"/>
        </w:rPr>
        <w:t>应提交验收流程、验收方法和验收依据。</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投标方</w:t>
      </w:r>
      <w:r>
        <w:rPr>
          <w:sz w:val="24"/>
          <w:szCs w:val="24"/>
          <w:lang w:eastAsia="zh-CN"/>
        </w:rPr>
        <w:t>应提供交付件归档办法和方式。</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投标方应提供详细的验收测试大纲或计划，大纲中应明确规定验收项目和必须满足的要求。大纲必须经招标方确认后方可生效。</w:t>
      </w:r>
    </w:p>
    <w:p>
      <w:pPr>
        <w:numPr>
          <w:ilvl w:val="0"/>
          <w:numId w:val="8"/>
        </w:numPr>
        <w:autoSpaceDE/>
        <w:autoSpaceDN/>
        <w:spacing w:line="360" w:lineRule="auto"/>
        <w:ind w:firstLine="147"/>
        <w:jc w:val="both"/>
        <w:rPr>
          <w:sz w:val="24"/>
          <w:szCs w:val="24"/>
          <w:lang w:eastAsia="zh-CN"/>
        </w:rPr>
      </w:pPr>
      <w:r>
        <w:rPr>
          <w:rFonts w:hint="eastAsia"/>
          <w:sz w:val="24"/>
          <w:szCs w:val="24"/>
          <w:lang w:eastAsia="zh-CN"/>
        </w:rPr>
        <w:t>验收报告需双方代表签字认可。</w:t>
      </w:r>
    </w:p>
    <w:p>
      <w:pPr>
        <w:numPr>
          <w:ilvl w:val="1"/>
          <w:numId w:val="7"/>
        </w:numPr>
        <w:autoSpaceDE/>
        <w:autoSpaceDN/>
        <w:spacing w:line="360" w:lineRule="auto"/>
        <w:jc w:val="both"/>
        <w:outlineLvl w:val="1"/>
        <w:rPr>
          <w:b/>
          <w:sz w:val="24"/>
          <w:szCs w:val="24"/>
        </w:rPr>
      </w:pPr>
      <w:bookmarkStart w:id="53" w:name="_Toc311015409"/>
      <w:r>
        <w:rPr>
          <w:rFonts w:hint="eastAsia"/>
          <w:b/>
          <w:sz w:val="24"/>
          <w:szCs w:val="24"/>
        </w:rPr>
        <w:t>项目文档</w:t>
      </w:r>
      <w:bookmarkEnd w:id="53"/>
    </w:p>
    <w:p>
      <w:pPr>
        <w:numPr>
          <w:ilvl w:val="2"/>
          <w:numId w:val="7"/>
        </w:numPr>
        <w:tabs>
          <w:tab w:val="left" w:pos="0"/>
        </w:tabs>
        <w:overflowPunct w:val="0"/>
        <w:topLinePunct/>
        <w:autoSpaceDE/>
        <w:autoSpaceDN/>
        <w:snapToGrid w:val="0"/>
        <w:spacing w:line="360" w:lineRule="auto"/>
        <w:ind w:left="0" w:firstLine="0"/>
        <w:jc w:val="both"/>
        <w:outlineLvl w:val="2"/>
        <w:rPr>
          <w:b/>
          <w:bCs/>
          <w:sz w:val="24"/>
          <w:szCs w:val="24"/>
          <w:lang w:eastAsia="zh-CN"/>
        </w:rPr>
      </w:pPr>
      <w:r>
        <w:rPr>
          <w:rFonts w:hint="eastAsia"/>
          <w:sz w:val="24"/>
          <w:szCs w:val="24"/>
          <w:lang w:eastAsia="zh-CN"/>
        </w:rPr>
        <w:t>投标方提供的资料应使用国际单位制（</w:t>
      </w:r>
      <w:r>
        <w:rPr>
          <w:sz w:val="24"/>
          <w:szCs w:val="24"/>
          <w:lang w:eastAsia="zh-CN"/>
        </w:rPr>
        <w:t>SI</w:t>
      </w:r>
      <w:r>
        <w:rPr>
          <w:rFonts w:hint="eastAsia"/>
          <w:sz w:val="24"/>
          <w:szCs w:val="24"/>
          <w:lang w:eastAsia="zh-CN"/>
        </w:rPr>
        <w:t>），语言为中文。</w:t>
      </w:r>
    </w:p>
    <w:p>
      <w:pPr>
        <w:numPr>
          <w:ilvl w:val="2"/>
          <w:numId w:val="7"/>
        </w:numPr>
        <w:tabs>
          <w:tab w:val="left" w:pos="0"/>
        </w:tabs>
        <w:overflowPunct w:val="0"/>
        <w:topLinePunct/>
        <w:autoSpaceDE/>
        <w:autoSpaceDN/>
        <w:snapToGrid w:val="0"/>
        <w:spacing w:line="360" w:lineRule="auto"/>
        <w:ind w:left="0" w:firstLine="0"/>
        <w:jc w:val="both"/>
        <w:outlineLvl w:val="2"/>
        <w:rPr>
          <w:b/>
          <w:bCs/>
          <w:sz w:val="24"/>
          <w:szCs w:val="24"/>
          <w:lang w:eastAsia="zh-CN"/>
        </w:rPr>
      </w:pPr>
      <w:r>
        <w:rPr>
          <w:rFonts w:hint="eastAsia"/>
          <w:sz w:val="24"/>
          <w:szCs w:val="24"/>
          <w:lang w:eastAsia="zh-CN"/>
        </w:rPr>
        <w:t>资料的组织结构清晰、逻辑性强。资料内容要正确、准确、一致、清晰完整。如所供资料不能达到要求时，投标方应免费无条件给予补充，直至满足报备要求。</w:t>
      </w:r>
    </w:p>
    <w:p>
      <w:pPr>
        <w:numPr>
          <w:ilvl w:val="2"/>
          <w:numId w:val="7"/>
        </w:numPr>
        <w:tabs>
          <w:tab w:val="left" w:pos="0"/>
        </w:tabs>
        <w:overflowPunct w:val="0"/>
        <w:topLinePunct/>
        <w:autoSpaceDE/>
        <w:autoSpaceDN/>
        <w:snapToGrid w:val="0"/>
        <w:spacing w:line="360" w:lineRule="auto"/>
        <w:ind w:left="0" w:firstLine="0"/>
        <w:jc w:val="both"/>
        <w:outlineLvl w:val="2"/>
        <w:rPr>
          <w:b/>
          <w:bCs/>
          <w:sz w:val="24"/>
          <w:szCs w:val="24"/>
          <w:lang w:eastAsia="zh-CN"/>
        </w:rPr>
      </w:pPr>
      <w:r>
        <w:rPr>
          <w:rFonts w:hint="eastAsia"/>
          <w:sz w:val="24"/>
          <w:szCs w:val="24"/>
          <w:lang w:eastAsia="zh-CN"/>
        </w:rPr>
        <w:t>投标方资料的提交应及时充分，满足项目进度要求。</w:t>
      </w:r>
    </w:p>
    <w:p>
      <w:pPr>
        <w:numPr>
          <w:ilvl w:val="2"/>
          <w:numId w:val="7"/>
        </w:numPr>
        <w:tabs>
          <w:tab w:val="left" w:pos="0"/>
        </w:tabs>
        <w:overflowPunct w:val="0"/>
        <w:topLinePunct/>
        <w:autoSpaceDE/>
        <w:autoSpaceDN/>
        <w:snapToGrid w:val="0"/>
        <w:spacing w:line="360" w:lineRule="auto"/>
        <w:ind w:left="0" w:firstLine="0"/>
        <w:jc w:val="both"/>
        <w:outlineLvl w:val="2"/>
        <w:rPr>
          <w:b/>
          <w:bCs/>
          <w:sz w:val="24"/>
          <w:szCs w:val="24"/>
          <w:lang w:eastAsia="zh-CN"/>
        </w:rPr>
      </w:pPr>
      <w:r>
        <w:rPr>
          <w:rFonts w:hint="eastAsia"/>
          <w:sz w:val="24"/>
          <w:szCs w:val="24"/>
          <w:lang w:eastAsia="zh-CN"/>
        </w:rPr>
        <w:t>投标方完成项目后应提供以下文档：</w:t>
      </w:r>
    </w:p>
    <w:p>
      <w:pPr>
        <w:overflowPunct w:val="0"/>
        <w:topLinePunct/>
        <w:snapToGrid w:val="0"/>
        <w:spacing w:line="360" w:lineRule="auto"/>
        <w:ind w:firstLine="420"/>
        <w:jc w:val="center"/>
        <w:rPr>
          <w:sz w:val="24"/>
          <w:szCs w:val="24"/>
          <w:lang w:eastAsia="zh-CN"/>
        </w:rPr>
      </w:pPr>
      <w:r>
        <w:rPr>
          <w:rFonts w:hint="eastAsia"/>
          <w:sz w:val="24"/>
          <w:szCs w:val="24"/>
          <w:lang w:eastAsia="zh-CN"/>
        </w:rPr>
        <w:t>表3-1 投标方完成项目提供文档列表</w:t>
      </w:r>
    </w:p>
    <w:tbl>
      <w:tblPr>
        <w:tblStyle w:val="28"/>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141"/>
        <w:gridCol w:w="1985"/>
        <w:gridCol w:w="1134"/>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17" w:type="dxa"/>
            <w:vAlign w:val="center"/>
          </w:tcPr>
          <w:p>
            <w:pPr>
              <w:spacing w:line="360" w:lineRule="auto"/>
              <w:jc w:val="center"/>
              <w:rPr>
                <w:b/>
                <w:bCs/>
                <w:sz w:val="24"/>
                <w:szCs w:val="24"/>
              </w:rPr>
            </w:pPr>
            <w:r>
              <w:rPr>
                <w:rFonts w:hint="eastAsia"/>
                <w:b/>
                <w:bCs/>
                <w:sz w:val="24"/>
                <w:szCs w:val="24"/>
              </w:rPr>
              <w:t>序号</w:t>
            </w:r>
          </w:p>
        </w:tc>
        <w:tc>
          <w:tcPr>
            <w:tcW w:w="4141" w:type="dxa"/>
            <w:vAlign w:val="center"/>
          </w:tcPr>
          <w:p>
            <w:pPr>
              <w:spacing w:line="360" w:lineRule="auto"/>
              <w:jc w:val="center"/>
              <w:rPr>
                <w:b/>
                <w:bCs/>
                <w:sz w:val="24"/>
                <w:szCs w:val="24"/>
              </w:rPr>
            </w:pPr>
            <w:r>
              <w:rPr>
                <w:rFonts w:hint="eastAsia"/>
                <w:b/>
                <w:bCs/>
                <w:sz w:val="24"/>
                <w:szCs w:val="24"/>
              </w:rPr>
              <w:t>文档名称</w:t>
            </w:r>
          </w:p>
        </w:tc>
        <w:tc>
          <w:tcPr>
            <w:tcW w:w="1985" w:type="dxa"/>
            <w:vAlign w:val="center"/>
          </w:tcPr>
          <w:p>
            <w:pPr>
              <w:spacing w:line="360" w:lineRule="auto"/>
              <w:jc w:val="center"/>
              <w:rPr>
                <w:b/>
                <w:bCs/>
                <w:sz w:val="24"/>
                <w:szCs w:val="24"/>
              </w:rPr>
            </w:pPr>
            <w:r>
              <w:rPr>
                <w:rFonts w:hint="eastAsia"/>
                <w:b/>
                <w:bCs/>
                <w:sz w:val="24"/>
                <w:szCs w:val="24"/>
              </w:rPr>
              <w:t>提交时间</w:t>
            </w:r>
          </w:p>
        </w:tc>
        <w:tc>
          <w:tcPr>
            <w:tcW w:w="1134" w:type="dxa"/>
            <w:vAlign w:val="center"/>
          </w:tcPr>
          <w:p>
            <w:pPr>
              <w:jc w:val="center"/>
              <w:rPr>
                <w:b/>
                <w:bCs/>
                <w:sz w:val="24"/>
                <w:szCs w:val="24"/>
              </w:rPr>
            </w:pPr>
            <w:r>
              <w:rPr>
                <w:rFonts w:hint="eastAsia"/>
                <w:b/>
                <w:bCs/>
                <w:sz w:val="24"/>
                <w:szCs w:val="24"/>
              </w:rPr>
              <w:t>文档</w:t>
            </w:r>
          </w:p>
          <w:p>
            <w:pPr>
              <w:jc w:val="center"/>
              <w:rPr>
                <w:b/>
                <w:bCs/>
                <w:sz w:val="24"/>
                <w:szCs w:val="24"/>
              </w:rPr>
            </w:pPr>
            <w:r>
              <w:rPr>
                <w:rFonts w:hint="eastAsia"/>
                <w:b/>
                <w:bCs/>
                <w:sz w:val="24"/>
                <w:szCs w:val="24"/>
              </w:rPr>
              <w:t>要求</w:t>
            </w:r>
          </w:p>
        </w:tc>
        <w:tc>
          <w:tcPr>
            <w:tcW w:w="843" w:type="dxa"/>
            <w:vAlign w:val="center"/>
          </w:tcPr>
          <w:p>
            <w:pPr>
              <w:spacing w:line="360" w:lineRule="auto"/>
              <w:jc w:val="center"/>
              <w:rPr>
                <w:b/>
                <w:bCs/>
                <w:sz w:val="24"/>
                <w:szCs w:val="24"/>
              </w:rPr>
            </w:pPr>
            <w:r>
              <w:rPr>
                <w:rFonts w:hint="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17" w:type="dxa"/>
            <w:vAlign w:val="center"/>
          </w:tcPr>
          <w:p>
            <w:pPr>
              <w:spacing w:line="360" w:lineRule="auto"/>
              <w:jc w:val="center"/>
              <w:rPr>
                <w:sz w:val="24"/>
                <w:szCs w:val="24"/>
              </w:rPr>
            </w:pPr>
            <w:r>
              <w:rPr>
                <w:rFonts w:hint="eastAsia"/>
                <w:sz w:val="24"/>
                <w:szCs w:val="24"/>
              </w:rPr>
              <w:t>1</w:t>
            </w:r>
          </w:p>
        </w:tc>
        <w:tc>
          <w:tcPr>
            <w:tcW w:w="4141" w:type="dxa"/>
            <w:vAlign w:val="center"/>
          </w:tcPr>
          <w:p>
            <w:pPr>
              <w:suppressAutoHyphens/>
              <w:spacing w:beforeLines="50" w:afterLines="50" w:line="360" w:lineRule="auto"/>
              <w:ind w:left="-4" w:leftChars="-8" w:hanging="14" w:hangingChars="6"/>
              <w:rPr>
                <w:sz w:val="24"/>
                <w:szCs w:val="24"/>
                <w:lang w:eastAsia="zh-CN"/>
              </w:rPr>
            </w:pPr>
            <w:r>
              <w:rPr>
                <w:rFonts w:hint="eastAsia"/>
                <w:sz w:val="24"/>
                <w:szCs w:val="24"/>
                <w:lang w:eastAsia="zh-CN"/>
              </w:rPr>
              <w:t>《N</w:t>
            </w:r>
            <w:r>
              <w:rPr>
                <w:sz w:val="24"/>
                <w:szCs w:val="24"/>
                <w:lang w:eastAsia="zh-CN"/>
              </w:rPr>
              <w:t>CS</w:t>
            </w:r>
            <w:r>
              <w:rPr>
                <w:rFonts w:hint="eastAsia"/>
                <w:sz w:val="24"/>
                <w:szCs w:val="24"/>
                <w:lang w:eastAsia="zh-CN"/>
              </w:rPr>
              <w:t>系统等级保护测评报告》</w:t>
            </w:r>
          </w:p>
        </w:tc>
        <w:tc>
          <w:tcPr>
            <w:tcW w:w="1985" w:type="dxa"/>
            <w:vAlign w:val="center"/>
          </w:tcPr>
          <w:p>
            <w:pPr>
              <w:spacing w:line="360" w:lineRule="auto"/>
              <w:rPr>
                <w:sz w:val="24"/>
                <w:szCs w:val="24"/>
              </w:rPr>
            </w:pPr>
            <w:r>
              <w:rPr>
                <w:rFonts w:hint="eastAsia"/>
                <w:sz w:val="24"/>
                <w:szCs w:val="24"/>
              </w:rPr>
              <w:t>现场测评后4周</w:t>
            </w:r>
          </w:p>
        </w:tc>
        <w:tc>
          <w:tcPr>
            <w:tcW w:w="1134" w:type="dxa"/>
            <w:vAlign w:val="center"/>
          </w:tcPr>
          <w:p>
            <w:pPr>
              <w:spacing w:line="360" w:lineRule="auto"/>
              <w:jc w:val="center"/>
              <w:rPr>
                <w:sz w:val="24"/>
                <w:szCs w:val="24"/>
              </w:rPr>
            </w:pPr>
            <w:r>
              <w:rPr>
                <w:rFonts w:hint="eastAsia"/>
                <w:sz w:val="24"/>
                <w:szCs w:val="24"/>
              </w:rPr>
              <w:t>纸质版</w:t>
            </w:r>
          </w:p>
        </w:tc>
        <w:tc>
          <w:tcPr>
            <w:tcW w:w="843"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17" w:type="dxa"/>
            <w:vAlign w:val="center"/>
          </w:tcPr>
          <w:p>
            <w:pPr>
              <w:spacing w:line="360" w:lineRule="auto"/>
              <w:jc w:val="center"/>
              <w:rPr>
                <w:sz w:val="24"/>
                <w:szCs w:val="24"/>
              </w:rPr>
            </w:pPr>
            <w:r>
              <w:rPr>
                <w:rFonts w:hint="eastAsia"/>
                <w:sz w:val="24"/>
                <w:szCs w:val="24"/>
              </w:rPr>
              <w:t>2</w:t>
            </w:r>
          </w:p>
        </w:tc>
        <w:tc>
          <w:tcPr>
            <w:tcW w:w="4141" w:type="dxa"/>
            <w:vAlign w:val="center"/>
          </w:tcPr>
          <w:p>
            <w:pPr>
              <w:suppressAutoHyphens/>
              <w:spacing w:beforeLines="50" w:afterLines="50" w:line="360" w:lineRule="auto"/>
              <w:ind w:left="-4" w:leftChars="-8" w:hanging="14" w:hangingChars="6"/>
              <w:rPr>
                <w:sz w:val="24"/>
                <w:szCs w:val="24"/>
                <w:lang w:eastAsia="zh-CN"/>
              </w:rPr>
            </w:pPr>
            <w:r>
              <w:rPr>
                <w:rFonts w:hint="eastAsia"/>
                <w:sz w:val="24"/>
                <w:szCs w:val="24"/>
                <w:lang w:eastAsia="zh-CN"/>
              </w:rPr>
              <w:t>《电力监控系统安全防护评估报告》</w:t>
            </w:r>
          </w:p>
        </w:tc>
        <w:tc>
          <w:tcPr>
            <w:tcW w:w="1985" w:type="dxa"/>
            <w:vAlign w:val="center"/>
          </w:tcPr>
          <w:p>
            <w:pPr>
              <w:spacing w:line="360" w:lineRule="auto"/>
              <w:rPr>
                <w:sz w:val="24"/>
                <w:szCs w:val="24"/>
              </w:rPr>
            </w:pPr>
            <w:r>
              <w:rPr>
                <w:rFonts w:hint="eastAsia"/>
                <w:sz w:val="24"/>
                <w:szCs w:val="24"/>
              </w:rPr>
              <w:t>现场测评后4周</w:t>
            </w:r>
          </w:p>
        </w:tc>
        <w:tc>
          <w:tcPr>
            <w:tcW w:w="1134" w:type="dxa"/>
            <w:vAlign w:val="center"/>
          </w:tcPr>
          <w:p>
            <w:pPr>
              <w:spacing w:line="360" w:lineRule="auto"/>
              <w:jc w:val="center"/>
              <w:rPr>
                <w:sz w:val="24"/>
                <w:szCs w:val="24"/>
              </w:rPr>
            </w:pPr>
            <w:r>
              <w:rPr>
                <w:rFonts w:hint="eastAsia"/>
                <w:sz w:val="24"/>
                <w:szCs w:val="24"/>
              </w:rPr>
              <w:t>纸质版</w:t>
            </w:r>
          </w:p>
        </w:tc>
        <w:tc>
          <w:tcPr>
            <w:tcW w:w="843"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17" w:type="dxa"/>
            <w:vAlign w:val="center"/>
          </w:tcPr>
          <w:p>
            <w:pPr>
              <w:spacing w:line="360" w:lineRule="auto"/>
              <w:jc w:val="center"/>
              <w:rPr>
                <w:sz w:val="24"/>
                <w:szCs w:val="24"/>
              </w:rPr>
            </w:pPr>
            <w:r>
              <w:rPr>
                <w:rFonts w:hint="eastAsia"/>
                <w:sz w:val="24"/>
                <w:szCs w:val="24"/>
              </w:rPr>
              <w:t>3</w:t>
            </w:r>
          </w:p>
        </w:tc>
        <w:tc>
          <w:tcPr>
            <w:tcW w:w="4141" w:type="dxa"/>
            <w:vAlign w:val="center"/>
          </w:tcPr>
          <w:p>
            <w:pPr>
              <w:suppressAutoHyphens/>
              <w:spacing w:beforeLines="50" w:afterLines="50" w:line="360" w:lineRule="auto"/>
              <w:ind w:left="-4" w:leftChars="-8" w:hanging="14" w:hangingChars="6"/>
              <w:rPr>
                <w:sz w:val="24"/>
                <w:szCs w:val="24"/>
                <w:lang w:eastAsia="zh-CN"/>
              </w:rPr>
            </w:pPr>
            <w:r>
              <w:rPr>
                <w:rFonts w:hint="eastAsia"/>
                <w:sz w:val="24"/>
                <w:szCs w:val="24"/>
                <w:lang w:eastAsia="zh-CN"/>
              </w:rPr>
              <w:t>《电力监控系统主机和网络设备安全加固报告》</w:t>
            </w:r>
          </w:p>
        </w:tc>
        <w:tc>
          <w:tcPr>
            <w:tcW w:w="1985" w:type="dxa"/>
            <w:vAlign w:val="center"/>
          </w:tcPr>
          <w:p>
            <w:pPr>
              <w:spacing w:line="360" w:lineRule="auto"/>
              <w:rPr>
                <w:sz w:val="24"/>
                <w:szCs w:val="24"/>
              </w:rPr>
            </w:pPr>
            <w:r>
              <w:rPr>
                <w:rFonts w:hint="eastAsia"/>
                <w:sz w:val="24"/>
                <w:szCs w:val="24"/>
              </w:rPr>
              <w:t>现场测评后4周</w:t>
            </w:r>
          </w:p>
        </w:tc>
        <w:tc>
          <w:tcPr>
            <w:tcW w:w="1134" w:type="dxa"/>
            <w:vAlign w:val="center"/>
          </w:tcPr>
          <w:p>
            <w:pPr>
              <w:spacing w:line="360" w:lineRule="auto"/>
              <w:jc w:val="center"/>
              <w:rPr>
                <w:sz w:val="24"/>
                <w:szCs w:val="24"/>
              </w:rPr>
            </w:pPr>
            <w:r>
              <w:rPr>
                <w:rFonts w:hint="eastAsia"/>
                <w:sz w:val="24"/>
                <w:szCs w:val="24"/>
              </w:rPr>
              <w:t>纸质版</w:t>
            </w:r>
          </w:p>
        </w:tc>
        <w:tc>
          <w:tcPr>
            <w:tcW w:w="843" w:type="dxa"/>
            <w:vAlign w:val="center"/>
          </w:tcPr>
          <w:p>
            <w:pPr>
              <w:spacing w:line="360" w:lineRule="auto"/>
              <w:jc w:val="center"/>
              <w:rPr>
                <w:sz w:val="24"/>
                <w:szCs w:val="24"/>
              </w:rPr>
            </w:pPr>
          </w:p>
        </w:tc>
      </w:tr>
    </w:tbl>
    <w:p>
      <w:pPr>
        <w:numPr>
          <w:ilvl w:val="1"/>
          <w:numId w:val="7"/>
        </w:numPr>
        <w:autoSpaceDE/>
        <w:autoSpaceDN/>
        <w:spacing w:line="360" w:lineRule="auto"/>
        <w:jc w:val="both"/>
        <w:outlineLvl w:val="1"/>
        <w:rPr>
          <w:b/>
          <w:sz w:val="24"/>
          <w:szCs w:val="24"/>
        </w:rPr>
      </w:pPr>
      <w:bookmarkStart w:id="54" w:name="_Toc311015410"/>
      <w:r>
        <w:rPr>
          <w:rFonts w:hint="eastAsia"/>
          <w:b/>
          <w:sz w:val="24"/>
          <w:szCs w:val="24"/>
        </w:rPr>
        <w:t>质量保证</w:t>
      </w:r>
      <w:bookmarkEnd w:id="54"/>
    </w:p>
    <w:p>
      <w:pPr>
        <w:overflowPunct w:val="0"/>
        <w:topLinePunct/>
        <w:snapToGrid w:val="0"/>
        <w:spacing w:line="360" w:lineRule="auto"/>
        <w:ind w:firstLine="420"/>
        <w:rPr>
          <w:sz w:val="24"/>
          <w:szCs w:val="24"/>
          <w:lang w:eastAsia="zh-CN"/>
        </w:rPr>
      </w:pPr>
      <w:r>
        <w:rPr>
          <w:rFonts w:hint="eastAsia"/>
          <w:sz w:val="24"/>
          <w:szCs w:val="24"/>
          <w:lang w:eastAsia="zh-CN"/>
        </w:rPr>
        <w:t>投标</w:t>
      </w:r>
      <w:r>
        <w:rPr>
          <w:sz w:val="24"/>
          <w:szCs w:val="24"/>
          <w:lang w:eastAsia="zh-CN"/>
        </w:rPr>
        <w:t>方在</w:t>
      </w:r>
      <w:r>
        <w:rPr>
          <w:rFonts w:hint="eastAsia"/>
          <w:sz w:val="24"/>
          <w:szCs w:val="24"/>
          <w:lang w:eastAsia="zh-CN"/>
        </w:rPr>
        <w:t>项目方案</w:t>
      </w:r>
      <w:r>
        <w:rPr>
          <w:sz w:val="24"/>
          <w:szCs w:val="24"/>
          <w:lang w:eastAsia="zh-CN"/>
        </w:rPr>
        <w:t>设计、</w:t>
      </w:r>
      <w:r>
        <w:rPr>
          <w:rFonts w:hint="eastAsia"/>
          <w:sz w:val="24"/>
          <w:szCs w:val="24"/>
          <w:lang w:eastAsia="zh-CN"/>
        </w:rPr>
        <w:t>实施</w:t>
      </w:r>
      <w:r>
        <w:rPr>
          <w:sz w:val="24"/>
          <w:szCs w:val="24"/>
          <w:lang w:eastAsia="zh-CN"/>
        </w:rPr>
        <w:t>、</w:t>
      </w:r>
      <w:r>
        <w:rPr>
          <w:rFonts w:hint="eastAsia"/>
          <w:sz w:val="24"/>
          <w:szCs w:val="24"/>
          <w:lang w:eastAsia="zh-CN"/>
        </w:rPr>
        <w:t>验收</w:t>
      </w:r>
      <w:r>
        <w:rPr>
          <w:sz w:val="24"/>
          <w:szCs w:val="24"/>
          <w:lang w:eastAsia="zh-CN"/>
        </w:rPr>
        <w:t>的各个阶段，均</w:t>
      </w:r>
      <w:r>
        <w:rPr>
          <w:rFonts w:hint="eastAsia"/>
          <w:sz w:val="24"/>
          <w:szCs w:val="24"/>
          <w:lang w:eastAsia="zh-CN"/>
        </w:rPr>
        <w:t>应</w:t>
      </w:r>
      <w:r>
        <w:rPr>
          <w:sz w:val="24"/>
          <w:szCs w:val="24"/>
          <w:lang w:eastAsia="zh-CN"/>
        </w:rPr>
        <w:t>满足</w:t>
      </w:r>
      <w:r>
        <w:rPr>
          <w:rFonts w:hint="eastAsia"/>
          <w:sz w:val="24"/>
          <w:szCs w:val="24"/>
          <w:lang w:eastAsia="zh-CN"/>
        </w:rPr>
        <w:t>电力监控系统正常稳定运行的</w:t>
      </w:r>
      <w:r>
        <w:rPr>
          <w:sz w:val="24"/>
          <w:szCs w:val="24"/>
          <w:lang w:eastAsia="zh-CN"/>
        </w:rPr>
        <w:t>要求。</w:t>
      </w:r>
    </w:p>
    <w:p>
      <w:pPr>
        <w:overflowPunct w:val="0"/>
        <w:topLinePunct/>
        <w:snapToGrid w:val="0"/>
        <w:spacing w:line="360" w:lineRule="auto"/>
        <w:ind w:firstLine="420"/>
        <w:rPr>
          <w:sz w:val="24"/>
          <w:szCs w:val="24"/>
          <w:lang w:eastAsia="zh-CN"/>
        </w:rPr>
      </w:pPr>
      <w:r>
        <w:rPr>
          <w:rFonts w:hint="eastAsia"/>
          <w:sz w:val="24"/>
          <w:szCs w:val="24"/>
          <w:lang w:eastAsia="zh-CN"/>
        </w:rPr>
        <w:t>投标方出具的相关报告应得到行业主管单位认定。</w:t>
      </w:r>
    </w:p>
    <w:p>
      <w:pPr>
        <w:numPr>
          <w:ilvl w:val="1"/>
          <w:numId w:val="7"/>
        </w:numPr>
        <w:autoSpaceDE/>
        <w:autoSpaceDN/>
        <w:spacing w:line="360" w:lineRule="auto"/>
        <w:jc w:val="both"/>
        <w:outlineLvl w:val="1"/>
        <w:rPr>
          <w:b/>
          <w:sz w:val="24"/>
          <w:szCs w:val="24"/>
        </w:rPr>
      </w:pPr>
      <w:bookmarkStart w:id="55" w:name="_Toc311015411"/>
      <w:r>
        <w:rPr>
          <w:rFonts w:hint="eastAsia"/>
          <w:b/>
          <w:sz w:val="24"/>
          <w:szCs w:val="24"/>
        </w:rPr>
        <w:t>保密要求</w:t>
      </w:r>
      <w:bookmarkEnd w:id="55"/>
    </w:p>
    <w:p>
      <w:pPr>
        <w:overflowPunct w:val="0"/>
        <w:topLinePunct/>
        <w:snapToGrid w:val="0"/>
        <w:spacing w:line="360" w:lineRule="auto"/>
        <w:ind w:firstLine="420"/>
        <w:rPr>
          <w:sz w:val="24"/>
          <w:szCs w:val="24"/>
          <w:lang w:eastAsia="zh-CN"/>
        </w:rPr>
      </w:pPr>
      <w:r>
        <w:rPr>
          <w:rFonts w:hint="eastAsia"/>
          <w:sz w:val="24"/>
          <w:szCs w:val="24"/>
          <w:lang w:eastAsia="zh-CN"/>
        </w:rPr>
        <w:t>投标方</w:t>
      </w:r>
      <w:r>
        <w:rPr>
          <w:sz w:val="24"/>
          <w:szCs w:val="24"/>
          <w:lang w:eastAsia="zh-CN"/>
        </w:rPr>
        <w:t>承担被</w:t>
      </w:r>
      <w:r>
        <w:rPr>
          <w:rFonts w:hint="eastAsia"/>
          <w:sz w:val="24"/>
          <w:szCs w:val="24"/>
          <w:lang w:eastAsia="zh-CN"/>
        </w:rPr>
        <w:t>测评及评估</w:t>
      </w:r>
      <w:r>
        <w:rPr>
          <w:sz w:val="24"/>
          <w:szCs w:val="24"/>
          <w:lang w:eastAsia="zh-CN"/>
        </w:rPr>
        <w:t>单位敏感信息的保密责任，在项目实施过程中，双方需要复制对方提供的相关资料时，应提交书面申请，在得到对方书面同意后方可复制，并将数据内容记录成表，签字确认。</w:t>
      </w:r>
    </w:p>
    <w:p>
      <w:pPr>
        <w:overflowPunct w:val="0"/>
        <w:topLinePunct/>
        <w:snapToGrid w:val="0"/>
        <w:spacing w:line="360" w:lineRule="auto"/>
        <w:ind w:firstLine="420"/>
        <w:rPr>
          <w:sz w:val="24"/>
          <w:szCs w:val="24"/>
          <w:lang w:eastAsia="zh-CN"/>
        </w:rPr>
      </w:pPr>
      <w:r>
        <w:rPr>
          <w:sz w:val="24"/>
          <w:szCs w:val="24"/>
          <w:lang w:eastAsia="zh-CN"/>
        </w:rPr>
        <w:t>未经双方书面同意，不得向第三方透露项目</w:t>
      </w:r>
      <w:r>
        <w:rPr>
          <w:rFonts w:hint="eastAsia"/>
          <w:sz w:val="24"/>
          <w:szCs w:val="24"/>
          <w:lang w:eastAsia="zh-CN"/>
        </w:rPr>
        <w:t>和涉及</w:t>
      </w:r>
      <w:r>
        <w:rPr>
          <w:sz w:val="24"/>
          <w:szCs w:val="24"/>
          <w:lang w:eastAsia="zh-CN"/>
        </w:rPr>
        <w:t>双方企业信息安全</w:t>
      </w:r>
      <w:r>
        <w:rPr>
          <w:rFonts w:hint="eastAsia"/>
          <w:sz w:val="24"/>
          <w:szCs w:val="24"/>
          <w:lang w:eastAsia="zh-CN"/>
        </w:rPr>
        <w:t>、</w:t>
      </w:r>
      <w:r>
        <w:rPr>
          <w:sz w:val="24"/>
          <w:szCs w:val="24"/>
          <w:lang w:eastAsia="zh-CN"/>
        </w:rPr>
        <w:t>技术成果的任何内容。</w:t>
      </w:r>
    </w:p>
    <w:p>
      <w:pPr>
        <w:overflowPunct w:val="0"/>
        <w:topLinePunct/>
        <w:snapToGrid w:val="0"/>
        <w:spacing w:line="360" w:lineRule="auto"/>
        <w:ind w:firstLine="420"/>
        <w:rPr>
          <w:sz w:val="24"/>
          <w:szCs w:val="24"/>
          <w:lang w:eastAsia="zh-CN"/>
        </w:rPr>
      </w:pPr>
      <w:r>
        <w:rPr>
          <w:sz w:val="24"/>
          <w:szCs w:val="24"/>
          <w:lang w:eastAsia="zh-CN"/>
        </w:rPr>
        <w:t>项目结束后，双方必须互相确认</w:t>
      </w:r>
      <w:r>
        <w:rPr>
          <w:rFonts w:hint="eastAsia"/>
          <w:sz w:val="24"/>
          <w:szCs w:val="24"/>
          <w:lang w:eastAsia="zh-CN"/>
        </w:rPr>
        <w:t>测评</w:t>
      </w:r>
      <w:r>
        <w:rPr>
          <w:sz w:val="24"/>
          <w:szCs w:val="24"/>
          <w:lang w:eastAsia="zh-CN"/>
        </w:rPr>
        <w:t>过程中提供的相关资料，相互承担保密责任。</w:t>
      </w:r>
    </w:p>
    <w:p>
      <w:pPr>
        <w:numPr>
          <w:ilvl w:val="1"/>
          <w:numId w:val="7"/>
        </w:numPr>
        <w:autoSpaceDE/>
        <w:autoSpaceDN/>
        <w:spacing w:line="360" w:lineRule="auto"/>
        <w:jc w:val="both"/>
        <w:outlineLvl w:val="1"/>
        <w:rPr>
          <w:b/>
          <w:sz w:val="24"/>
          <w:szCs w:val="24"/>
        </w:rPr>
      </w:pPr>
      <w:r>
        <w:rPr>
          <w:rFonts w:hint="eastAsia"/>
          <w:b/>
          <w:sz w:val="24"/>
          <w:szCs w:val="24"/>
        </w:rPr>
        <w:t>考核细则</w:t>
      </w:r>
    </w:p>
    <w:p>
      <w:pPr>
        <w:adjustRightInd w:val="0"/>
        <w:snapToGrid w:val="0"/>
        <w:spacing w:afterLines="20" w:line="440" w:lineRule="atLeast"/>
        <w:rPr>
          <w:rFonts w:cs="仿宋_GB2312"/>
          <w:sz w:val="24"/>
          <w:szCs w:val="24"/>
          <w:lang w:eastAsia="zh-CN"/>
        </w:rPr>
      </w:pPr>
      <w:r>
        <w:rPr>
          <w:rFonts w:hint="eastAsia"/>
          <w:sz w:val="24"/>
          <w:szCs w:val="24"/>
          <w:lang w:eastAsia="zh-CN"/>
        </w:rPr>
        <w:t xml:space="preserve">5.5.1 </w:t>
      </w:r>
      <w:r>
        <w:rPr>
          <w:rFonts w:hint="eastAsia" w:cs="仿宋_GB2312"/>
          <w:sz w:val="24"/>
          <w:szCs w:val="24"/>
          <w:lang w:eastAsia="zh-CN"/>
        </w:rPr>
        <w:t>遵守招标方有关规章制度，如违反则按招标方相关制度考核。</w:t>
      </w:r>
    </w:p>
    <w:p>
      <w:pPr>
        <w:adjustRightInd w:val="0"/>
        <w:snapToGrid w:val="0"/>
        <w:spacing w:afterLines="20" w:line="440" w:lineRule="atLeast"/>
        <w:rPr>
          <w:rFonts w:cs="仿宋_GB2312"/>
          <w:sz w:val="24"/>
          <w:szCs w:val="24"/>
          <w:lang w:eastAsia="zh-CN"/>
        </w:rPr>
      </w:pPr>
      <w:r>
        <w:rPr>
          <w:rFonts w:hint="eastAsia" w:cs="仿宋_GB2312"/>
          <w:sz w:val="24"/>
          <w:szCs w:val="24"/>
          <w:lang w:eastAsia="zh-CN"/>
        </w:rPr>
        <w:t>5.5.2 施工时应严格按流程进行，如违反，发现一次扣款200元。</w:t>
      </w:r>
    </w:p>
    <w:p>
      <w:pPr>
        <w:adjustRightInd w:val="0"/>
        <w:snapToGrid w:val="0"/>
        <w:spacing w:afterLines="20" w:line="440" w:lineRule="atLeast"/>
        <w:rPr>
          <w:rFonts w:cs="仿宋_GB2312"/>
          <w:sz w:val="24"/>
          <w:szCs w:val="24"/>
          <w:lang w:eastAsia="zh-CN"/>
        </w:rPr>
      </w:pPr>
      <w:r>
        <w:rPr>
          <w:rFonts w:hint="eastAsia" w:cs="仿宋_GB2312"/>
          <w:sz w:val="24"/>
          <w:szCs w:val="24"/>
          <w:lang w:eastAsia="zh-CN"/>
        </w:rPr>
        <w:t>5.5.3 开工后现场项目经理、主要管理人员必须每天在施工现场，有事外出须向招标方请假，并另指定他人代为负责。否则，每人/次收取罚金200元。</w:t>
      </w:r>
    </w:p>
    <w:p>
      <w:pPr>
        <w:adjustRightInd w:val="0"/>
        <w:snapToGrid w:val="0"/>
        <w:spacing w:afterLines="20" w:line="440" w:lineRule="atLeast"/>
        <w:rPr>
          <w:rFonts w:cs="仿宋_GB2312"/>
          <w:sz w:val="24"/>
          <w:szCs w:val="24"/>
          <w:lang w:eastAsia="zh-CN"/>
        </w:rPr>
      </w:pPr>
      <w:r>
        <w:rPr>
          <w:rFonts w:hint="eastAsia" w:cs="仿宋_GB2312"/>
          <w:sz w:val="24"/>
          <w:szCs w:val="24"/>
          <w:lang w:eastAsia="zh-CN"/>
        </w:rPr>
        <w:t>5.5.4 施工所用人员、设备、测试工具必须保证满足招标方工程的安全、质量、进度要求。如不能达到以上要求，招标方有权更换并另行委托，其一切费用由投标方承担。</w:t>
      </w:r>
    </w:p>
    <w:p>
      <w:pPr>
        <w:adjustRightInd w:val="0"/>
        <w:snapToGrid w:val="0"/>
        <w:spacing w:afterLines="20" w:line="440" w:lineRule="atLeast"/>
        <w:rPr>
          <w:rFonts w:cs="仿宋_GB2312"/>
          <w:sz w:val="24"/>
          <w:szCs w:val="24"/>
          <w:lang w:eastAsia="zh-CN"/>
        </w:rPr>
      </w:pPr>
      <w:r>
        <w:rPr>
          <w:rFonts w:hint="eastAsia" w:cs="仿宋_GB2312"/>
          <w:sz w:val="24"/>
          <w:szCs w:val="24"/>
          <w:lang w:eastAsia="zh-CN"/>
        </w:rPr>
        <w:t>5.5.5 施工中每道工序完成后均需要由招标方验收合格后方能进行下一道工序。若未经验收进行下一道工序除返工外，则罚扣人民币1000元/次。</w:t>
      </w:r>
    </w:p>
    <w:p>
      <w:pPr>
        <w:adjustRightInd w:val="0"/>
        <w:snapToGrid w:val="0"/>
        <w:spacing w:afterLines="20" w:line="440" w:lineRule="atLeast"/>
        <w:rPr>
          <w:rFonts w:cs="仿宋_GB2312"/>
          <w:sz w:val="24"/>
          <w:szCs w:val="24"/>
          <w:lang w:eastAsia="zh-CN"/>
        </w:rPr>
      </w:pPr>
      <w:r>
        <w:rPr>
          <w:rFonts w:hint="eastAsia" w:cs="仿宋_GB2312"/>
          <w:sz w:val="24"/>
          <w:szCs w:val="24"/>
          <w:lang w:eastAsia="zh-CN"/>
        </w:rPr>
        <w:t>5.5.6 因工程质量问题进行返工所产生的一切费用均由投标方承担。</w:t>
      </w:r>
    </w:p>
    <w:p>
      <w:pPr>
        <w:adjustRightInd w:val="0"/>
        <w:snapToGrid w:val="0"/>
        <w:spacing w:afterLines="20" w:line="440" w:lineRule="atLeast"/>
        <w:rPr>
          <w:rFonts w:cs="仿宋_GB2312"/>
          <w:sz w:val="24"/>
          <w:szCs w:val="24"/>
          <w:lang w:eastAsia="zh-CN"/>
        </w:rPr>
      </w:pPr>
      <w:r>
        <w:rPr>
          <w:rFonts w:hint="eastAsia" w:cs="仿宋_GB2312"/>
          <w:sz w:val="24"/>
          <w:szCs w:val="24"/>
          <w:lang w:eastAsia="zh-CN"/>
        </w:rPr>
        <w:t>5.5.7 项目整体验收时，每发现一条缺陷扣款500元。</w:t>
      </w:r>
    </w:p>
    <w:p>
      <w:pPr>
        <w:adjustRightInd w:val="0"/>
        <w:snapToGrid w:val="0"/>
        <w:spacing w:afterLines="20" w:line="440" w:lineRule="atLeast"/>
        <w:rPr>
          <w:rFonts w:cs="仿宋_GB2312"/>
          <w:sz w:val="24"/>
          <w:szCs w:val="24"/>
          <w:lang w:eastAsia="zh-CN"/>
        </w:rPr>
      </w:pPr>
      <w:r>
        <w:rPr>
          <w:rFonts w:hint="eastAsia" w:cs="仿宋_GB2312"/>
          <w:sz w:val="24"/>
          <w:szCs w:val="24"/>
          <w:lang w:eastAsia="zh-CN"/>
        </w:rPr>
        <w:t>5.5.8 工期要求：施工方必须在协议工期内完成，每推迟一天扣工程款5000元。</w:t>
      </w:r>
    </w:p>
    <w:p>
      <w:pPr>
        <w:overflowPunct w:val="0"/>
        <w:topLinePunct/>
        <w:snapToGrid w:val="0"/>
        <w:spacing w:line="360" w:lineRule="auto"/>
        <w:rPr>
          <w:sz w:val="24"/>
          <w:szCs w:val="24"/>
          <w:lang w:eastAsia="zh-CN"/>
        </w:rPr>
      </w:pPr>
      <w:r>
        <w:rPr>
          <w:rFonts w:hint="eastAsia" w:cs="仿宋_GB2312"/>
          <w:sz w:val="24"/>
          <w:szCs w:val="24"/>
          <w:lang w:eastAsia="zh-CN"/>
        </w:rPr>
        <w:t>5.5.9 违犯GB26860《电业安全工作规程》及福建福海创石油化工有限公司相关的安全管理规定，发现一次扣款500元，发现3次，停工整顿并扣合同款5%。</w:t>
      </w:r>
    </w:p>
    <w:p>
      <w:pPr>
        <w:numPr>
          <w:ilvl w:val="0"/>
          <w:numId w:val="7"/>
        </w:numPr>
        <w:autoSpaceDE/>
        <w:autoSpaceDN/>
        <w:spacing w:line="360" w:lineRule="auto"/>
        <w:jc w:val="both"/>
        <w:outlineLvl w:val="0"/>
        <w:rPr>
          <w:b/>
          <w:sz w:val="24"/>
          <w:szCs w:val="24"/>
        </w:rPr>
      </w:pPr>
      <w:r>
        <w:rPr>
          <w:rFonts w:hint="eastAsia"/>
          <w:b/>
          <w:sz w:val="24"/>
          <w:szCs w:val="24"/>
        </w:rPr>
        <w:t>差异表</w:t>
      </w:r>
    </w:p>
    <w:p>
      <w:pPr>
        <w:adjustRightInd w:val="0"/>
        <w:snapToGrid w:val="0"/>
        <w:spacing w:line="360" w:lineRule="auto"/>
        <w:ind w:left="-110" w:leftChars="-50"/>
        <w:rPr>
          <w:sz w:val="24"/>
          <w:szCs w:val="24"/>
          <w:lang w:eastAsia="zh-CN"/>
        </w:rPr>
      </w:pPr>
      <w:r>
        <w:rPr>
          <w:rFonts w:hint="eastAsia"/>
          <w:b/>
          <w:sz w:val="24"/>
          <w:szCs w:val="24"/>
          <w:lang w:eastAsia="zh-CN"/>
        </w:rPr>
        <w:t xml:space="preserve">    </w:t>
      </w:r>
      <w:r>
        <w:rPr>
          <w:rFonts w:hint="eastAsia"/>
          <w:sz w:val="24"/>
          <w:szCs w:val="24"/>
          <w:lang w:eastAsia="zh-CN"/>
        </w:rPr>
        <w:t>投标人要将投标文件和招标文件的差异之处汇集成表。</w:t>
      </w:r>
    </w:p>
    <w:tbl>
      <w:tblPr>
        <w:tblStyle w:val="2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97"/>
        <w:gridCol w:w="767"/>
        <w:gridCol w:w="3337"/>
        <w:gridCol w:w="10"/>
        <w:gridCol w:w="928"/>
        <w:gridCol w:w="338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Merge w:val="restart"/>
            <w:vAlign w:val="center"/>
          </w:tcPr>
          <w:p>
            <w:pPr>
              <w:adjustRightInd w:val="0"/>
              <w:snapToGrid w:val="0"/>
              <w:spacing w:line="360" w:lineRule="auto"/>
              <w:ind w:left="-110" w:leftChars="-50"/>
              <w:jc w:val="center"/>
              <w:rPr>
                <w:sz w:val="24"/>
                <w:szCs w:val="24"/>
              </w:rPr>
            </w:pPr>
            <w:r>
              <w:rPr>
                <w:rFonts w:hint="eastAsia"/>
                <w:sz w:val="24"/>
                <w:szCs w:val="24"/>
              </w:rPr>
              <w:t>序号</w:t>
            </w:r>
          </w:p>
        </w:tc>
        <w:tc>
          <w:tcPr>
            <w:tcW w:w="4114" w:type="dxa"/>
            <w:gridSpan w:val="3"/>
            <w:vAlign w:val="center"/>
          </w:tcPr>
          <w:p>
            <w:pPr>
              <w:adjustRightInd w:val="0"/>
              <w:snapToGrid w:val="0"/>
              <w:spacing w:line="360" w:lineRule="auto"/>
              <w:ind w:left="-110" w:leftChars="-50"/>
              <w:jc w:val="center"/>
              <w:rPr>
                <w:sz w:val="24"/>
                <w:szCs w:val="24"/>
              </w:rPr>
            </w:pPr>
            <w:r>
              <w:rPr>
                <w:rFonts w:hint="eastAsia"/>
                <w:sz w:val="24"/>
                <w:szCs w:val="24"/>
              </w:rPr>
              <w:t>招标文件</w:t>
            </w:r>
          </w:p>
        </w:tc>
        <w:tc>
          <w:tcPr>
            <w:tcW w:w="4314" w:type="dxa"/>
            <w:gridSpan w:val="2"/>
            <w:vAlign w:val="center"/>
          </w:tcPr>
          <w:p>
            <w:pPr>
              <w:adjustRightInd w:val="0"/>
              <w:snapToGrid w:val="0"/>
              <w:spacing w:line="360" w:lineRule="auto"/>
              <w:ind w:left="-110" w:leftChars="-50"/>
              <w:jc w:val="center"/>
              <w:rPr>
                <w:sz w:val="24"/>
                <w:szCs w:val="24"/>
              </w:rPr>
            </w:pPr>
            <w:r>
              <w:rPr>
                <w:rFonts w:hint="eastAsia"/>
                <w:sz w:val="24"/>
                <w:szCs w:val="24"/>
              </w:rPr>
              <w:t>投标文件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Merge w:val="continue"/>
            <w:vAlign w:val="center"/>
          </w:tcPr>
          <w:p>
            <w:pPr>
              <w:adjustRightInd w:val="0"/>
              <w:snapToGrid w:val="0"/>
              <w:spacing w:line="360" w:lineRule="auto"/>
              <w:ind w:left="-110" w:leftChars="-50"/>
              <w:jc w:val="center"/>
              <w:rPr>
                <w:sz w:val="24"/>
                <w:szCs w:val="24"/>
              </w:rPr>
            </w:pPr>
          </w:p>
        </w:tc>
        <w:tc>
          <w:tcPr>
            <w:tcW w:w="767" w:type="dxa"/>
            <w:vAlign w:val="center"/>
          </w:tcPr>
          <w:p>
            <w:pPr>
              <w:adjustRightInd w:val="0"/>
              <w:snapToGrid w:val="0"/>
              <w:spacing w:line="360" w:lineRule="auto"/>
              <w:ind w:left="-110" w:leftChars="-50"/>
              <w:jc w:val="center"/>
              <w:rPr>
                <w:sz w:val="24"/>
                <w:szCs w:val="24"/>
              </w:rPr>
            </w:pPr>
            <w:r>
              <w:rPr>
                <w:rFonts w:hint="eastAsia"/>
                <w:sz w:val="24"/>
                <w:szCs w:val="24"/>
              </w:rPr>
              <w:t>条目</w:t>
            </w:r>
          </w:p>
        </w:tc>
        <w:tc>
          <w:tcPr>
            <w:tcW w:w="3337" w:type="dxa"/>
            <w:vAlign w:val="center"/>
          </w:tcPr>
          <w:p>
            <w:pPr>
              <w:adjustRightInd w:val="0"/>
              <w:snapToGrid w:val="0"/>
              <w:spacing w:line="360" w:lineRule="auto"/>
              <w:ind w:left="-110" w:leftChars="-50"/>
              <w:jc w:val="center"/>
              <w:rPr>
                <w:sz w:val="24"/>
                <w:szCs w:val="24"/>
              </w:rPr>
            </w:pPr>
            <w:r>
              <w:rPr>
                <w:rFonts w:hint="eastAsia"/>
                <w:sz w:val="24"/>
                <w:szCs w:val="24"/>
              </w:rPr>
              <w:t>简要内容</w:t>
            </w:r>
          </w:p>
        </w:tc>
        <w:tc>
          <w:tcPr>
            <w:tcW w:w="938" w:type="dxa"/>
            <w:gridSpan w:val="2"/>
            <w:vAlign w:val="center"/>
          </w:tcPr>
          <w:p>
            <w:pPr>
              <w:adjustRightInd w:val="0"/>
              <w:snapToGrid w:val="0"/>
              <w:spacing w:line="360" w:lineRule="auto"/>
              <w:ind w:left="-110" w:leftChars="-50"/>
              <w:jc w:val="center"/>
              <w:rPr>
                <w:sz w:val="24"/>
                <w:szCs w:val="24"/>
              </w:rPr>
            </w:pPr>
            <w:r>
              <w:rPr>
                <w:rFonts w:hint="eastAsia"/>
                <w:sz w:val="24"/>
                <w:szCs w:val="24"/>
              </w:rPr>
              <w:t>条目</w:t>
            </w:r>
          </w:p>
        </w:tc>
        <w:tc>
          <w:tcPr>
            <w:tcW w:w="3386" w:type="dxa"/>
            <w:vAlign w:val="center"/>
          </w:tcPr>
          <w:p>
            <w:pPr>
              <w:adjustRightInd w:val="0"/>
              <w:snapToGrid w:val="0"/>
              <w:spacing w:line="360" w:lineRule="auto"/>
              <w:ind w:left="-110" w:leftChars="-50"/>
              <w:jc w:val="center"/>
              <w:rPr>
                <w:sz w:val="24"/>
                <w:szCs w:val="24"/>
              </w:rPr>
            </w:pPr>
            <w:r>
              <w:rPr>
                <w:rFonts w:hint="eastAsia"/>
                <w:sz w:val="24"/>
                <w:szCs w:val="24"/>
              </w:rPr>
              <w:t>简要内容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eastAsia="仿宋"/>
              </w:rPr>
            </w:pPr>
          </w:p>
        </w:tc>
        <w:tc>
          <w:tcPr>
            <w:tcW w:w="767" w:type="dxa"/>
            <w:vAlign w:val="center"/>
          </w:tcPr>
          <w:p>
            <w:pPr>
              <w:adjustRightInd w:val="0"/>
              <w:snapToGrid w:val="0"/>
              <w:spacing w:line="360" w:lineRule="auto"/>
              <w:ind w:left="-110" w:leftChars="-50"/>
              <w:rPr>
                <w:rFonts w:eastAsia="仿宋"/>
              </w:rPr>
            </w:pPr>
          </w:p>
        </w:tc>
        <w:tc>
          <w:tcPr>
            <w:tcW w:w="3337" w:type="dxa"/>
            <w:vAlign w:val="center"/>
          </w:tcPr>
          <w:p>
            <w:pPr>
              <w:adjustRightInd w:val="0"/>
              <w:snapToGrid w:val="0"/>
              <w:spacing w:line="360" w:lineRule="auto"/>
              <w:ind w:left="-110" w:leftChars="-50"/>
              <w:rPr>
                <w:rFonts w:eastAsia="仿宋"/>
              </w:rPr>
            </w:pPr>
          </w:p>
        </w:tc>
        <w:tc>
          <w:tcPr>
            <w:tcW w:w="938" w:type="dxa"/>
            <w:gridSpan w:val="2"/>
            <w:vAlign w:val="center"/>
          </w:tcPr>
          <w:p>
            <w:pPr>
              <w:adjustRightInd w:val="0"/>
              <w:snapToGrid w:val="0"/>
              <w:spacing w:line="360" w:lineRule="auto"/>
              <w:ind w:left="-110" w:leftChars="-50"/>
              <w:rPr>
                <w:rFonts w:eastAsia="仿宋"/>
              </w:rPr>
            </w:pPr>
          </w:p>
        </w:tc>
        <w:tc>
          <w:tcPr>
            <w:tcW w:w="3386" w:type="dxa"/>
            <w:vAlign w:val="center"/>
          </w:tcPr>
          <w:p>
            <w:pPr>
              <w:adjustRightInd w:val="0"/>
              <w:snapToGrid w:val="0"/>
              <w:spacing w:line="360" w:lineRule="auto"/>
              <w:ind w:left="-110" w:leftChars="-50"/>
              <w:rPr>
                <w:rFonts w:eastAsia="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eastAsia="仿宋"/>
              </w:rPr>
            </w:pPr>
          </w:p>
        </w:tc>
        <w:tc>
          <w:tcPr>
            <w:tcW w:w="767" w:type="dxa"/>
            <w:vAlign w:val="center"/>
          </w:tcPr>
          <w:p>
            <w:pPr>
              <w:adjustRightInd w:val="0"/>
              <w:snapToGrid w:val="0"/>
              <w:spacing w:line="360" w:lineRule="auto"/>
              <w:ind w:left="-110" w:leftChars="-50"/>
              <w:rPr>
                <w:rFonts w:eastAsia="仿宋"/>
              </w:rPr>
            </w:pPr>
          </w:p>
        </w:tc>
        <w:tc>
          <w:tcPr>
            <w:tcW w:w="3337" w:type="dxa"/>
            <w:vAlign w:val="center"/>
          </w:tcPr>
          <w:p>
            <w:pPr>
              <w:adjustRightInd w:val="0"/>
              <w:snapToGrid w:val="0"/>
              <w:spacing w:line="360" w:lineRule="auto"/>
              <w:ind w:left="-110" w:leftChars="-50"/>
              <w:rPr>
                <w:rFonts w:eastAsia="仿宋"/>
              </w:rPr>
            </w:pPr>
          </w:p>
        </w:tc>
        <w:tc>
          <w:tcPr>
            <w:tcW w:w="938" w:type="dxa"/>
            <w:gridSpan w:val="2"/>
            <w:vAlign w:val="center"/>
          </w:tcPr>
          <w:p>
            <w:pPr>
              <w:adjustRightInd w:val="0"/>
              <w:snapToGrid w:val="0"/>
              <w:spacing w:line="360" w:lineRule="auto"/>
              <w:ind w:left="-110" w:leftChars="-50"/>
              <w:rPr>
                <w:rFonts w:eastAsia="仿宋"/>
              </w:rPr>
            </w:pPr>
          </w:p>
        </w:tc>
        <w:tc>
          <w:tcPr>
            <w:tcW w:w="3386" w:type="dxa"/>
            <w:vAlign w:val="center"/>
          </w:tcPr>
          <w:p>
            <w:pPr>
              <w:adjustRightInd w:val="0"/>
              <w:snapToGrid w:val="0"/>
              <w:spacing w:line="360" w:lineRule="auto"/>
              <w:ind w:left="-110" w:leftChars="-50"/>
              <w:rPr>
                <w:rFonts w:eastAsia="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eastAsia="仿宋"/>
              </w:rPr>
            </w:pPr>
          </w:p>
        </w:tc>
        <w:tc>
          <w:tcPr>
            <w:tcW w:w="767" w:type="dxa"/>
            <w:vAlign w:val="center"/>
          </w:tcPr>
          <w:p>
            <w:pPr>
              <w:adjustRightInd w:val="0"/>
              <w:snapToGrid w:val="0"/>
              <w:spacing w:line="360" w:lineRule="auto"/>
              <w:ind w:left="-110" w:leftChars="-50"/>
              <w:rPr>
                <w:rFonts w:eastAsia="仿宋"/>
              </w:rPr>
            </w:pPr>
          </w:p>
        </w:tc>
        <w:tc>
          <w:tcPr>
            <w:tcW w:w="3337" w:type="dxa"/>
            <w:vAlign w:val="center"/>
          </w:tcPr>
          <w:p>
            <w:pPr>
              <w:adjustRightInd w:val="0"/>
              <w:snapToGrid w:val="0"/>
              <w:spacing w:line="360" w:lineRule="auto"/>
              <w:ind w:left="-110" w:leftChars="-50"/>
              <w:rPr>
                <w:rFonts w:eastAsia="仿宋"/>
              </w:rPr>
            </w:pPr>
          </w:p>
        </w:tc>
        <w:tc>
          <w:tcPr>
            <w:tcW w:w="938" w:type="dxa"/>
            <w:gridSpan w:val="2"/>
            <w:vAlign w:val="center"/>
          </w:tcPr>
          <w:p>
            <w:pPr>
              <w:adjustRightInd w:val="0"/>
              <w:snapToGrid w:val="0"/>
              <w:spacing w:line="360" w:lineRule="auto"/>
              <w:ind w:left="-110" w:leftChars="-50"/>
              <w:rPr>
                <w:rFonts w:eastAsia="仿宋"/>
              </w:rPr>
            </w:pPr>
          </w:p>
        </w:tc>
        <w:tc>
          <w:tcPr>
            <w:tcW w:w="3386" w:type="dxa"/>
            <w:vAlign w:val="center"/>
          </w:tcPr>
          <w:p>
            <w:pPr>
              <w:adjustRightInd w:val="0"/>
              <w:snapToGrid w:val="0"/>
              <w:spacing w:line="360" w:lineRule="auto"/>
              <w:ind w:left="-110" w:leftChars="-50"/>
              <w:rPr>
                <w:rFonts w:eastAsia="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eastAsia="仿宋"/>
              </w:rPr>
            </w:pPr>
          </w:p>
        </w:tc>
        <w:tc>
          <w:tcPr>
            <w:tcW w:w="767" w:type="dxa"/>
            <w:vAlign w:val="center"/>
          </w:tcPr>
          <w:p>
            <w:pPr>
              <w:adjustRightInd w:val="0"/>
              <w:snapToGrid w:val="0"/>
              <w:spacing w:line="360" w:lineRule="auto"/>
              <w:ind w:left="-110" w:leftChars="-50"/>
              <w:rPr>
                <w:rFonts w:eastAsia="仿宋"/>
              </w:rPr>
            </w:pPr>
          </w:p>
        </w:tc>
        <w:tc>
          <w:tcPr>
            <w:tcW w:w="3337" w:type="dxa"/>
            <w:vAlign w:val="center"/>
          </w:tcPr>
          <w:p>
            <w:pPr>
              <w:adjustRightInd w:val="0"/>
              <w:snapToGrid w:val="0"/>
              <w:spacing w:line="360" w:lineRule="auto"/>
              <w:ind w:left="-110" w:leftChars="-50"/>
              <w:rPr>
                <w:rFonts w:eastAsia="仿宋"/>
              </w:rPr>
            </w:pPr>
          </w:p>
        </w:tc>
        <w:tc>
          <w:tcPr>
            <w:tcW w:w="938" w:type="dxa"/>
            <w:gridSpan w:val="2"/>
            <w:vAlign w:val="center"/>
          </w:tcPr>
          <w:p>
            <w:pPr>
              <w:adjustRightInd w:val="0"/>
              <w:snapToGrid w:val="0"/>
              <w:spacing w:line="360" w:lineRule="auto"/>
              <w:ind w:left="-110" w:leftChars="-50"/>
              <w:rPr>
                <w:rFonts w:eastAsia="仿宋"/>
              </w:rPr>
            </w:pPr>
          </w:p>
        </w:tc>
        <w:tc>
          <w:tcPr>
            <w:tcW w:w="3386" w:type="dxa"/>
            <w:vAlign w:val="center"/>
          </w:tcPr>
          <w:p>
            <w:pPr>
              <w:adjustRightInd w:val="0"/>
              <w:snapToGrid w:val="0"/>
              <w:spacing w:line="360" w:lineRule="auto"/>
              <w:ind w:left="-110" w:leftChars="-50"/>
              <w:rPr>
                <w:rFonts w:eastAsia="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eastAsia="仿宋"/>
              </w:rPr>
            </w:pPr>
          </w:p>
        </w:tc>
        <w:tc>
          <w:tcPr>
            <w:tcW w:w="767" w:type="dxa"/>
            <w:vAlign w:val="center"/>
          </w:tcPr>
          <w:p>
            <w:pPr>
              <w:adjustRightInd w:val="0"/>
              <w:snapToGrid w:val="0"/>
              <w:spacing w:line="360" w:lineRule="auto"/>
              <w:ind w:left="-110" w:leftChars="-50"/>
              <w:rPr>
                <w:rFonts w:eastAsia="仿宋"/>
              </w:rPr>
            </w:pPr>
          </w:p>
        </w:tc>
        <w:tc>
          <w:tcPr>
            <w:tcW w:w="3337" w:type="dxa"/>
            <w:vAlign w:val="center"/>
          </w:tcPr>
          <w:p>
            <w:pPr>
              <w:adjustRightInd w:val="0"/>
              <w:snapToGrid w:val="0"/>
              <w:spacing w:line="360" w:lineRule="auto"/>
              <w:ind w:left="-110" w:leftChars="-50"/>
              <w:rPr>
                <w:rFonts w:eastAsia="仿宋"/>
              </w:rPr>
            </w:pPr>
          </w:p>
        </w:tc>
        <w:tc>
          <w:tcPr>
            <w:tcW w:w="938" w:type="dxa"/>
            <w:gridSpan w:val="2"/>
            <w:vAlign w:val="center"/>
          </w:tcPr>
          <w:p>
            <w:pPr>
              <w:adjustRightInd w:val="0"/>
              <w:snapToGrid w:val="0"/>
              <w:spacing w:line="360" w:lineRule="auto"/>
              <w:ind w:left="-110" w:leftChars="-50"/>
              <w:rPr>
                <w:rFonts w:eastAsia="仿宋"/>
              </w:rPr>
            </w:pPr>
          </w:p>
        </w:tc>
        <w:tc>
          <w:tcPr>
            <w:tcW w:w="3386" w:type="dxa"/>
            <w:vAlign w:val="center"/>
          </w:tcPr>
          <w:p>
            <w:pPr>
              <w:adjustRightInd w:val="0"/>
              <w:snapToGrid w:val="0"/>
              <w:spacing w:line="360" w:lineRule="auto"/>
              <w:ind w:left="-110" w:leftChars="-50"/>
              <w:rPr>
                <w:rFonts w:eastAsia="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eastAsia="仿宋"/>
              </w:rPr>
            </w:pPr>
          </w:p>
        </w:tc>
        <w:tc>
          <w:tcPr>
            <w:tcW w:w="767" w:type="dxa"/>
            <w:vAlign w:val="center"/>
          </w:tcPr>
          <w:p>
            <w:pPr>
              <w:adjustRightInd w:val="0"/>
              <w:snapToGrid w:val="0"/>
              <w:spacing w:line="360" w:lineRule="auto"/>
              <w:ind w:left="-110" w:leftChars="-50"/>
              <w:rPr>
                <w:rFonts w:eastAsia="仿宋"/>
              </w:rPr>
            </w:pPr>
          </w:p>
        </w:tc>
        <w:tc>
          <w:tcPr>
            <w:tcW w:w="3337" w:type="dxa"/>
            <w:vAlign w:val="center"/>
          </w:tcPr>
          <w:p>
            <w:pPr>
              <w:adjustRightInd w:val="0"/>
              <w:snapToGrid w:val="0"/>
              <w:spacing w:line="360" w:lineRule="auto"/>
              <w:ind w:left="-110" w:leftChars="-50"/>
              <w:rPr>
                <w:rFonts w:eastAsia="仿宋"/>
              </w:rPr>
            </w:pPr>
          </w:p>
        </w:tc>
        <w:tc>
          <w:tcPr>
            <w:tcW w:w="938" w:type="dxa"/>
            <w:gridSpan w:val="2"/>
            <w:vAlign w:val="center"/>
          </w:tcPr>
          <w:p>
            <w:pPr>
              <w:adjustRightInd w:val="0"/>
              <w:snapToGrid w:val="0"/>
              <w:spacing w:line="360" w:lineRule="auto"/>
              <w:ind w:left="-110" w:leftChars="-50"/>
              <w:rPr>
                <w:rFonts w:eastAsia="仿宋"/>
              </w:rPr>
            </w:pPr>
          </w:p>
        </w:tc>
        <w:tc>
          <w:tcPr>
            <w:tcW w:w="3386" w:type="dxa"/>
            <w:vAlign w:val="center"/>
          </w:tcPr>
          <w:p>
            <w:pPr>
              <w:adjustRightInd w:val="0"/>
              <w:snapToGrid w:val="0"/>
              <w:spacing w:line="360" w:lineRule="auto"/>
              <w:ind w:left="-110" w:leftChars="-50"/>
              <w:rPr>
                <w:rFonts w:eastAsia="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eastAsia="仿宋"/>
              </w:rPr>
            </w:pPr>
          </w:p>
        </w:tc>
        <w:tc>
          <w:tcPr>
            <w:tcW w:w="767" w:type="dxa"/>
            <w:vAlign w:val="center"/>
          </w:tcPr>
          <w:p>
            <w:pPr>
              <w:adjustRightInd w:val="0"/>
              <w:snapToGrid w:val="0"/>
              <w:spacing w:line="360" w:lineRule="auto"/>
              <w:ind w:left="-110" w:leftChars="-50"/>
              <w:rPr>
                <w:rFonts w:eastAsia="仿宋"/>
              </w:rPr>
            </w:pPr>
          </w:p>
        </w:tc>
        <w:tc>
          <w:tcPr>
            <w:tcW w:w="3337" w:type="dxa"/>
            <w:vAlign w:val="center"/>
          </w:tcPr>
          <w:p>
            <w:pPr>
              <w:adjustRightInd w:val="0"/>
              <w:snapToGrid w:val="0"/>
              <w:spacing w:line="360" w:lineRule="auto"/>
              <w:ind w:left="-110" w:leftChars="-50"/>
              <w:rPr>
                <w:rFonts w:eastAsia="仿宋"/>
              </w:rPr>
            </w:pPr>
          </w:p>
        </w:tc>
        <w:tc>
          <w:tcPr>
            <w:tcW w:w="938" w:type="dxa"/>
            <w:gridSpan w:val="2"/>
            <w:vAlign w:val="center"/>
          </w:tcPr>
          <w:p>
            <w:pPr>
              <w:adjustRightInd w:val="0"/>
              <w:snapToGrid w:val="0"/>
              <w:spacing w:line="360" w:lineRule="auto"/>
              <w:ind w:left="-110" w:leftChars="-50"/>
              <w:rPr>
                <w:rFonts w:eastAsia="仿宋"/>
              </w:rPr>
            </w:pPr>
          </w:p>
        </w:tc>
        <w:tc>
          <w:tcPr>
            <w:tcW w:w="3386" w:type="dxa"/>
            <w:vAlign w:val="center"/>
          </w:tcPr>
          <w:p>
            <w:pPr>
              <w:adjustRightInd w:val="0"/>
              <w:snapToGrid w:val="0"/>
              <w:spacing w:line="360" w:lineRule="auto"/>
              <w:ind w:left="-110" w:leftChars="-50"/>
              <w:rPr>
                <w:rFonts w:eastAsia="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eastAsia="仿宋"/>
              </w:rPr>
            </w:pPr>
          </w:p>
        </w:tc>
        <w:tc>
          <w:tcPr>
            <w:tcW w:w="767" w:type="dxa"/>
            <w:vAlign w:val="center"/>
          </w:tcPr>
          <w:p>
            <w:pPr>
              <w:adjustRightInd w:val="0"/>
              <w:snapToGrid w:val="0"/>
              <w:spacing w:line="360" w:lineRule="auto"/>
              <w:ind w:left="-110" w:leftChars="-50"/>
              <w:rPr>
                <w:rFonts w:eastAsia="仿宋"/>
              </w:rPr>
            </w:pPr>
          </w:p>
        </w:tc>
        <w:tc>
          <w:tcPr>
            <w:tcW w:w="3337" w:type="dxa"/>
            <w:vAlign w:val="center"/>
          </w:tcPr>
          <w:p>
            <w:pPr>
              <w:adjustRightInd w:val="0"/>
              <w:snapToGrid w:val="0"/>
              <w:spacing w:line="360" w:lineRule="auto"/>
              <w:ind w:left="-110" w:leftChars="-50"/>
              <w:rPr>
                <w:rFonts w:eastAsia="仿宋"/>
              </w:rPr>
            </w:pPr>
          </w:p>
        </w:tc>
        <w:tc>
          <w:tcPr>
            <w:tcW w:w="938" w:type="dxa"/>
            <w:gridSpan w:val="2"/>
            <w:vAlign w:val="center"/>
          </w:tcPr>
          <w:p>
            <w:pPr>
              <w:adjustRightInd w:val="0"/>
              <w:snapToGrid w:val="0"/>
              <w:spacing w:line="360" w:lineRule="auto"/>
              <w:ind w:left="-110" w:leftChars="-50"/>
              <w:rPr>
                <w:rFonts w:eastAsia="仿宋"/>
              </w:rPr>
            </w:pPr>
          </w:p>
        </w:tc>
        <w:tc>
          <w:tcPr>
            <w:tcW w:w="3386" w:type="dxa"/>
            <w:vAlign w:val="center"/>
          </w:tcPr>
          <w:p>
            <w:pPr>
              <w:adjustRightInd w:val="0"/>
              <w:snapToGrid w:val="0"/>
              <w:spacing w:line="360" w:lineRule="auto"/>
              <w:ind w:left="-110" w:leftChars="-50"/>
              <w:rPr>
                <w:rFonts w:eastAsia="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eastAsia="仿宋"/>
              </w:rPr>
            </w:pPr>
          </w:p>
        </w:tc>
        <w:tc>
          <w:tcPr>
            <w:tcW w:w="767" w:type="dxa"/>
            <w:vAlign w:val="center"/>
          </w:tcPr>
          <w:p>
            <w:pPr>
              <w:adjustRightInd w:val="0"/>
              <w:snapToGrid w:val="0"/>
              <w:spacing w:line="360" w:lineRule="auto"/>
              <w:ind w:left="-110" w:leftChars="-50"/>
              <w:rPr>
                <w:rFonts w:eastAsia="仿宋"/>
              </w:rPr>
            </w:pPr>
          </w:p>
        </w:tc>
        <w:tc>
          <w:tcPr>
            <w:tcW w:w="3337" w:type="dxa"/>
            <w:vAlign w:val="center"/>
          </w:tcPr>
          <w:p>
            <w:pPr>
              <w:adjustRightInd w:val="0"/>
              <w:snapToGrid w:val="0"/>
              <w:spacing w:line="360" w:lineRule="auto"/>
              <w:ind w:left="-110" w:leftChars="-50"/>
              <w:rPr>
                <w:rFonts w:eastAsia="仿宋"/>
              </w:rPr>
            </w:pPr>
          </w:p>
        </w:tc>
        <w:tc>
          <w:tcPr>
            <w:tcW w:w="938" w:type="dxa"/>
            <w:gridSpan w:val="2"/>
            <w:vAlign w:val="center"/>
          </w:tcPr>
          <w:p>
            <w:pPr>
              <w:adjustRightInd w:val="0"/>
              <w:snapToGrid w:val="0"/>
              <w:spacing w:line="360" w:lineRule="auto"/>
              <w:ind w:left="-110" w:leftChars="-50"/>
              <w:rPr>
                <w:rFonts w:eastAsia="仿宋"/>
              </w:rPr>
            </w:pPr>
          </w:p>
        </w:tc>
        <w:tc>
          <w:tcPr>
            <w:tcW w:w="3386" w:type="dxa"/>
            <w:vAlign w:val="center"/>
          </w:tcPr>
          <w:p>
            <w:pPr>
              <w:adjustRightInd w:val="0"/>
              <w:snapToGrid w:val="0"/>
              <w:spacing w:line="360" w:lineRule="auto"/>
              <w:ind w:left="-110" w:leftChars="-50"/>
              <w:rPr>
                <w:rFonts w:eastAsia="仿宋"/>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7" w:type="dxa"/>
            <w:vAlign w:val="center"/>
          </w:tcPr>
          <w:p>
            <w:pPr>
              <w:adjustRightInd w:val="0"/>
              <w:snapToGrid w:val="0"/>
              <w:spacing w:line="360" w:lineRule="auto"/>
              <w:ind w:left="-110" w:leftChars="-50"/>
              <w:rPr>
                <w:rFonts w:eastAsia="仿宋"/>
              </w:rPr>
            </w:pPr>
          </w:p>
        </w:tc>
        <w:tc>
          <w:tcPr>
            <w:tcW w:w="767" w:type="dxa"/>
            <w:vAlign w:val="center"/>
          </w:tcPr>
          <w:p>
            <w:pPr>
              <w:adjustRightInd w:val="0"/>
              <w:snapToGrid w:val="0"/>
              <w:spacing w:line="360" w:lineRule="auto"/>
              <w:ind w:left="-110" w:leftChars="-50"/>
              <w:rPr>
                <w:rFonts w:eastAsia="仿宋"/>
              </w:rPr>
            </w:pPr>
          </w:p>
        </w:tc>
        <w:tc>
          <w:tcPr>
            <w:tcW w:w="3337" w:type="dxa"/>
            <w:vAlign w:val="center"/>
          </w:tcPr>
          <w:p>
            <w:pPr>
              <w:adjustRightInd w:val="0"/>
              <w:snapToGrid w:val="0"/>
              <w:spacing w:line="360" w:lineRule="auto"/>
              <w:ind w:left="-110" w:leftChars="-50"/>
              <w:rPr>
                <w:rFonts w:eastAsia="仿宋"/>
              </w:rPr>
            </w:pPr>
          </w:p>
        </w:tc>
        <w:tc>
          <w:tcPr>
            <w:tcW w:w="938" w:type="dxa"/>
            <w:gridSpan w:val="2"/>
            <w:vAlign w:val="center"/>
          </w:tcPr>
          <w:p>
            <w:pPr>
              <w:adjustRightInd w:val="0"/>
              <w:snapToGrid w:val="0"/>
              <w:spacing w:line="360" w:lineRule="auto"/>
              <w:ind w:left="-110" w:leftChars="-50"/>
              <w:rPr>
                <w:rFonts w:eastAsia="仿宋"/>
              </w:rPr>
            </w:pPr>
          </w:p>
        </w:tc>
        <w:tc>
          <w:tcPr>
            <w:tcW w:w="3386" w:type="dxa"/>
            <w:vAlign w:val="center"/>
          </w:tcPr>
          <w:p>
            <w:pPr>
              <w:adjustRightInd w:val="0"/>
              <w:snapToGrid w:val="0"/>
              <w:spacing w:line="360" w:lineRule="auto"/>
              <w:ind w:left="-110" w:leftChars="-50"/>
              <w:rPr>
                <w:rFonts w:eastAsia="仿宋"/>
              </w:rPr>
            </w:pPr>
          </w:p>
        </w:tc>
      </w:tr>
    </w:tbl>
    <w:p>
      <w:pPr>
        <w:spacing w:line="360" w:lineRule="auto"/>
        <w:outlineLvl w:val="0"/>
        <w:rPr>
          <w:b/>
          <w:sz w:val="24"/>
          <w:szCs w:val="24"/>
          <w:lang w:eastAsia="zh-CN"/>
        </w:rPr>
      </w:pPr>
      <w:r>
        <w:rPr>
          <w:rFonts w:hint="eastAsia"/>
          <w:sz w:val="24"/>
          <w:szCs w:val="24"/>
          <w:lang w:eastAsia="zh-CN"/>
        </w:rPr>
        <w:t>备注：投标方如对本规范书有偏差(无论多少或微小)都必须清楚地表示在本规范书的附件 “差异表”中。否则招标方将认为投标方完全接受和同意本招标文件的要求，擅自修改招标文件而为清除表示差异的条款均视为无效。</w:t>
      </w:r>
    </w:p>
    <w:p>
      <w:pPr>
        <w:overflowPunct w:val="0"/>
        <w:topLinePunct/>
        <w:snapToGrid w:val="0"/>
        <w:spacing w:line="360" w:lineRule="auto"/>
        <w:ind w:firstLine="420"/>
        <w:rPr>
          <w:sz w:val="24"/>
          <w:szCs w:val="24"/>
          <w:lang w:eastAsia="zh-CN"/>
        </w:rPr>
      </w:pPr>
    </w:p>
    <w:p>
      <w:pPr>
        <w:snapToGrid w:val="0"/>
        <w:spacing w:line="360" w:lineRule="auto"/>
        <w:rPr>
          <w:b/>
          <w:sz w:val="24"/>
          <w:szCs w:val="24"/>
          <w:lang w:eastAsia="zh-CN"/>
        </w:rPr>
      </w:pPr>
    </w:p>
    <w:p>
      <w:pPr>
        <w:overflowPunct w:val="0"/>
        <w:topLinePunct/>
        <w:snapToGrid w:val="0"/>
        <w:spacing w:line="360" w:lineRule="auto"/>
        <w:rPr>
          <w:sz w:val="24"/>
          <w:szCs w:val="24"/>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b/>
          <w:sz w:val="28"/>
          <w:szCs w:val="28"/>
          <w:lang w:eastAsia="zh-CN"/>
        </w:rPr>
      </w:pPr>
      <w:r>
        <w:rPr>
          <w:rFonts w:hint="eastAsia" w:hAnsi="宋体"/>
          <w:b/>
          <w:sz w:val="28"/>
          <w:szCs w:val="28"/>
          <w:lang w:eastAsia="zh-CN"/>
        </w:rPr>
        <w:t>附件3</w:t>
      </w:r>
    </w:p>
    <w:p>
      <w:pPr>
        <w:pStyle w:val="16"/>
        <w:spacing w:line="360"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发包单位（以下简称甲方）：</w:t>
      </w:r>
      <w:r>
        <w:rPr>
          <w:rFonts w:hint="eastAsia" w:asciiTheme="majorEastAsia" w:hAnsiTheme="majorEastAsia" w:eastAsiaTheme="majorEastAsia"/>
          <w:sz w:val="24"/>
          <w:szCs w:val="24"/>
          <w:u w:val="single"/>
          <w:lang w:eastAsia="zh-CN"/>
        </w:rPr>
        <w:t xml:space="preserve"> 腾龙芳烃（漳州）有限公司  </w:t>
      </w:r>
      <w:r>
        <w:rPr>
          <w:rFonts w:hint="eastAsia"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承包单位（以下简称乙方）：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pPr>
        <w:pStyle w:val="16"/>
        <w:spacing w:line="360" w:lineRule="auto"/>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双方就</w:t>
      </w:r>
      <w:r>
        <w:rPr>
          <w:rFonts w:hint="eastAsia" w:asciiTheme="majorEastAsia" w:hAnsiTheme="majorEastAsia" w:eastAsiaTheme="majorEastAsia"/>
          <w:sz w:val="24"/>
          <w:szCs w:val="24"/>
          <w:u w:val="single"/>
          <w:lang w:eastAsia="zh-CN"/>
        </w:rPr>
        <w:t xml:space="preserve"> 2021年电力监控系统等级保护测评及安全防护评估与整改加固</w:t>
      </w:r>
      <w:r>
        <w:rPr>
          <w:rFonts w:hint="eastAsia" w:asciiTheme="majorEastAsia" w:hAnsiTheme="majorEastAsia" w:eastAsiaTheme="majorEastAsia"/>
          <w:sz w:val="24"/>
          <w:szCs w:val="24"/>
          <w:lang w:eastAsia="zh-CN"/>
        </w:rPr>
        <w:t>项目签订了</w:t>
      </w:r>
      <w:r>
        <w:rPr>
          <w:rFonts w:hint="eastAsia" w:asciiTheme="majorEastAsia" w:hAnsiTheme="majorEastAsia" w:eastAsiaTheme="majorEastAsia"/>
          <w:sz w:val="24"/>
          <w:szCs w:val="24"/>
          <w:u w:val="single"/>
          <w:lang w:eastAsia="zh-CN"/>
        </w:rPr>
        <w:t xml:space="preserve"> 技术服务 </w:t>
      </w:r>
      <w:r>
        <w:rPr>
          <w:rFonts w:hint="eastAsia" w:asciiTheme="majorEastAsia" w:hAnsiTheme="majorEastAsia" w:eastAsiaTheme="major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w:t>
      </w:r>
    </w:p>
    <w:p>
      <w:pPr>
        <w:pStyle w:val="16"/>
        <w:spacing w:line="360" w:lineRule="auto"/>
        <w:rPr>
          <w:rFonts w:asciiTheme="majorEastAsia" w:hAnsiTheme="majorEastAsia" w:eastAsiaTheme="majorEastAsia"/>
          <w:sz w:val="24"/>
          <w:szCs w:val="24"/>
          <w:u w:val="single"/>
          <w:lang w:eastAsia="zh-CN"/>
        </w:rPr>
      </w:pPr>
      <w:r>
        <w:rPr>
          <w:rFonts w:hint="eastAsia" w:asciiTheme="majorEastAsia" w:hAnsiTheme="majorEastAsia" w:eastAsiaTheme="majorEastAsia"/>
          <w:sz w:val="24"/>
          <w:szCs w:val="24"/>
          <w:lang w:eastAsia="zh-CN"/>
        </w:rPr>
        <w:t>愿签订本安全环保协议，作为主合同的附件。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甲方有权对乙方的资质进行审查，确认其符合且具备进厂条件，方可进厂施工。</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甲方有权要求乙方维护好甲方相关的安全环保设施、设备和器材。</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甲方有权对乙方不服从管理和严重违章者，驱除施工现场。</w:t>
      </w:r>
    </w:p>
    <w:p>
      <w:pPr>
        <w:pStyle w:val="44"/>
        <w:spacing w:before="0" w:line="360" w:lineRule="auto"/>
        <w:ind w:left="0"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 甲方负责对乙方进行厂级和部门级安全培训教育和考核，考核合格方可办理入厂手续。</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甲方负责各装置的工艺处理、退料、置换、吹扫及盲板隔离工作，为本项目提供安全的施工条件。</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甲方应乙方要求，向乙方提供与乙方作业相关的甲方有毒有害、易燃易爆物品的数据。</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 甲方在开工前必须对乙方进行全面的安全技术及文明施工交底。</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4、乙方对危及生命安全和身体健康的施工作业条件和环境，有权提出整改建议拒绝施工作业。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22、 </w:t>
      </w:r>
      <w:r>
        <w:rPr>
          <w:rFonts w:hint="eastAsia" w:asciiTheme="majorEastAsia" w:hAnsiTheme="majorEastAsia" w:eastAsiaTheme="major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1、乙方不得转包、违法分包及挂靠等违法行为；未经福海创许可，不得将工程分包。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pPr>
        <w:spacing w:line="360" w:lineRule="auto"/>
        <w:ind w:left="21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由于不可抗力造成合同项目施工作业事故及产生的损失，甲乙双方各自承担相应的损失。</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五、本协议书一式陆份，甲方执肆份，乙方执贰份。</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六、本协议书经双方盖章后生效。</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pPr>
        <w:spacing w:line="360" w:lineRule="auto"/>
        <w:ind w:left="9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 (章)：                                  乙方(章)：</w:t>
      </w:r>
    </w:p>
    <w:p>
      <w:pPr>
        <w:spacing w:line="360" w:lineRule="auto"/>
        <w:ind w:left="-213"/>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腾龙芳烃（漳州）有限公司                  </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法人代表:                                     法人代表:</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法人委托代理人 :                              法人委托代理人:</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签定日期：    年    月    日                   年    月    日</w:t>
      </w:r>
    </w:p>
    <w:p>
      <w:pPr>
        <w:rPr>
          <w:rFonts w:ascii="Times New Roman" w:hAnsi="Times New Roman" w:cs="Times New Roman"/>
          <w:sz w:val="24"/>
          <w:szCs w:val="24"/>
          <w:lang w:eastAsia="zh-CN"/>
        </w:rPr>
      </w:pPr>
    </w:p>
    <w:p>
      <w:pPr>
        <w:pStyle w:val="2"/>
      </w:pPr>
    </w:p>
    <w:p>
      <w:pPr>
        <w:spacing w:afterLines="50" w:line="520" w:lineRule="exact"/>
        <w:rPr>
          <w:b/>
          <w:sz w:val="28"/>
          <w:szCs w:val="28"/>
          <w:lang w:eastAsia="zh-CN"/>
        </w:rPr>
      </w:pPr>
      <w:r>
        <w:rPr>
          <w:rFonts w:hint="eastAsia"/>
          <w:b/>
          <w:sz w:val="28"/>
          <w:szCs w:val="28"/>
          <w:lang w:eastAsia="zh-CN"/>
        </w:rPr>
        <w:t>附件4：</w:t>
      </w:r>
    </w:p>
    <w:p>
      <w:pPr>
        <w:spacing w:afterLines="50" w:line="520" w:lineRule="exact"/>
        <w:jc w:val="center"/>
        <w:rPr>
          <w:b/>
          <w:sz w:val="36"/>
          <w:szCs w:val="36"/>
          <w:lang w:eastAsia="zh-CN"/>
        </w:rPr>
      </w:pPr>
      <w:r>
        <w:rPr>
          <w:rFonts w:hint="eastAsia"/>
          <w:b/>
          <w:sz w:val="36"/>
          <w:szCs w:val="36"/>
          <w:lang w:eastAsia="zh-CN"/>
        </w:rPr>
        <w:t>保密协议</w:t>
      </w:r>
    </w:p>
    <w:p>
      <w:pPr>
        <w:spacing w:line="520" w:lineRule="exact"/>
        <w:jc w:val="right"/>
        <w:rPr>
          <w:sz w:val="24"/>
          <w:lang w:eastAsia="zh-CN"/>
        </w:rPr>
      </w:pPr>
      <w:r>
        <w:rPr>
          <w:rFonts w:hint="eastAsia"/>
          <w:sz w:val="24"/>
          <w:lang w:eastAsia="zh-CN"/>
        </w:rPr>
        <w:t>于2021年05月  日于</w:t>
      </w:r>
      <w:r>
        <w:rPr>
          <w:rFonts w:hint="eastAsia"/>
          <w:sz w:val="24"/>
          <w:u w:val="single"/>
          <w:lang w:eastAsia="zh-CN"/>
        </w:rPr>
        <w:t>漳州古雷</w:t>
      </w:r>
      <w:r>
        <w:rPr>
          <w:rFonts w:hint="eastAsia"/>
          <w:sz w:val="24"/>
          <w:lang w:eastAsia="zh-CN"/>
        </w:rPr>
        <w:t>订立</w:t>
      </w:r>
    </w:p>
    <w:p>
      <w:pPr>
        <w:spacing w:line="360" w:lineRule="auto"/>
        <w:rPr>
          <w:b/>
          <w:sz w:val="24"/>
          <w:lang w:eastAsia="zh-CN"/>
        </w:rPr>
      </w:pPr>
      <w:r>
        <w:rPr>
          <w:rFonts w:hint="eastAsia"/>
          <w:b/>
          <w:sz w:val="24"/>
          <w:lang w:eastAsia="zh-CN"/>
        </w:rPr>
        <w:t>甲方：腾龙芳烃（漳州）有限公司</w:t>
      </w:r>
    </w:p>
    <w:p>
      <w:pPr>
        <w:spacing w:line="360" w:lineRule="auto"/>
        <w:rPr>
          <w:sz w:val="24"/>
          <w:lang w:eastAsia="zh-CN"/>
        </w:rPr>
      </w:pPr>
      <w:r>
        <w:rPr>
          <w:rFonts w:hint="eastAsia"/>
          <w:sz w:val="24"/>
          <w:lang w:eastAsia="zh-CN"/>
        </w:rPr>
        <w:t>授权代表：</w:t>
      </w:r>
    </w:p>
    <w:p>
      <w:pPr>
        <w:spacing w:afterLines="50" w:line="360" w:lineRule="auto"/>
        <w:rPr>
          <w:sz w:val="24"/>
          <w:lang w:eastAsia="zh-CN"/>
        </w:rPr>
      </w:pPr>
      <w:r>
        <w:rPr>
          <w:rFonts w:hint="eastAsia"/>
          <w:sz w:val="24"/>
          <w:lang w:eastAsia="zh-CN"/>
        </w:rPr>
        <w:t>住所地：漳州市古雷经济开发区</w:t>
      </w:r>
    </w:p>
    <w:p>
      <w:pPr>
        <w:spacing w:line="360" w:lineRule="auto"/>
        <w:rPr>
          <w:b/>
          <w:sz w:val="24"/>
          <w:lang w:eastAsia="zh-CN"/>
        </w:rPr>
      </w:pPr>
      <w:r>
        <w:rPr>
          <w:rFonts w:hint="eastAsia"/>
          <w:b/>
          <w:sz w:val="24"/>
          <w:lang w:eastAsia="zh-CN"/>
        </w:rPr>
        <w:t xml:space="preserve">乙方： </w:t>
      </w:r>
    </w:p>
    <w:p>
      <w:pPr>
        <w:spacing w:line="360" w:lineRule="auto"/>
        <w:rPr>
          <w:sz w:val="24"/>
          <w:lang w:eastAsia="zh-CN"/>
        </w:rPr>
      </w:pPr>
      <w:r>
        <w:rPr>
          <w:rFonts w:hint="eastAsia"/>
          <w:sz w:val="24"/>
          <w:lang w:eastAsia="zh-CN"/>
        </w:rPr>
        <w:t>授权代表：</w:t>
      </w:r>
    </w:p>
    <w:p>
      <w:pPr>
        <w:spacing w:line="360" w:lineRule="auto"/>
        <w:rPr>
          <w:sz w:val="24"/>
          <w:lang w:eastAsia="zh-CN"/>
        </w:rPr>
      </w:pPr>
      <w:r>
        <w:rPr>
          <w:rFonts w:hint="eastAsia"/>
          <w:sz w:val="24"/>
          <w:lang w:eastAsia="zh-CN"/>
        </w:rPr>
        <w:t>住所地：</w:t>
      </w:r>
    </w:p>
    <w:p>
      <w:pPr>
        <w:spacing w:line="360" w:lineRule="auto"/>
        <w:ind w:firstLine="480" w:firstLineChars="200"/>
        <w:rPr>
          <w:sz w:val="24"/>
          <w:lang w:eastAsia="zh-CN"/>
        </w:rPr>
      </w:pPr>
      <w:r>
        <w:rPr>
          <w:rFonts w:hint="eastAsia"/>
          <w:sz w:val="24"/>
          <w:lang w:eastAsia="zh-CN"/>
        </w:rPr>
        <w:t>鉴于：</w:t>
      </w:r>
    </w:p>
    <w:p>
      <w:pPr>
        <w:spacing w:line="360" w:lineRule="auto"/>
        <w:ind w:firstLine="480" w:firstLineChars="200"/>
        <w:rPr>
          <w:sz w:val="24"/>
          <w:lang w:eastAsia="zh-CN"/>
        </w:rPr>
      </w:pPr>
      <w:r>
        <w:rPr>
          <w:rFonts w:hint="eastAsia"/>
          <w:sz w:val="24"/>
          <w:lang w:eastAsia="zh-CN"/>
        </w:rPr>
        <w:t>甲乙双方为进行</w:t>
      </w:r>
      <w:r>
        <w:rPr>
          <w:rFonts w:hint="eastAsia"/>
          <w:sz w:val="24"/>
          <w:u w:val="single"/>
          <w:lang w:eastAsia="zh-CN"/>
        </w:rPr>
        <w:t xml:space="preserve"> </w:t>
      </w:r>
      <w:r>
        <w:rPr>
          <w:rFonts w:hint="eastAsia" w:asciiTheme="minorEastAsia" w:hAnsiTheme="minorEastAsia" w:eastAsiaTheme="minorEastAsia"/>
          <w:sz w:val="24"/>
          <w:szCs w:val="24"/>
          <w:u w:val="single"/>
          <w:lang w:eastAsia="zh-CN"/>
        </w:rPr>
        <w:t>2021年电力监控系统等级保护测评及安全防护评估与整改加固</w:t>
      </w:r>
      <w:r>
        <w:rPr>
          <w:rFonts w:hint="eastAsia"/>
          <w:sz w:val="24"/>
          <w:u w:val="single"/>
          <w:lang w:eastAsia="zh-CN"/>
        </w:rPr>
        <w:t xml:space="preserve"> </w:t>
      </w:r>
      <w:r>
        <w:rPr>
          <w:rFonts w:hint="eastAsia"/>
          <w:sz w:val="24"/>
          <w:lang w:eastAsia="zh-CN"/>
        </w:rPr>
        <w:t>之目的（以下简称“本项目”），甲方及其关联企业为本项目能够取得正式的</w:t>
      </w:r>
      <w:r>
        <w:rPr>
          <w:rFonts w:hint="eastAsia" w:asciiTheme="minorEastAsia" w:hAnsiTheme="minorEastAsia" w:eastAsiaTheme="minorEastAsia"/>
          <w:sz w:val="24"/>
          <w:szCs w:val="24"/>
          <w:lang w:eastAsia="zh-CN"/>
        </w:rPr>
        <w:t>《等级保护测评报告》及《安全防护评估报告》</w:t>
      </w:r>
      <w:r>
        <w:rPr>
          <w:rFonts w:hint="eastAsia"/>
          <w:sz w:val="24"/>
          <w:lang w:eastAsia="zh-CN"/>
        </w:rPr>
        <w:t>，将向乙方提供甲方及其关联企业的保密信息（以下简称保密信息）。甲乙双方为审慎处理本项目的有关事务、保障本项目的顺利完成，并切实对知悉、接触甲方的保密信息予以保密，经双方充分友好协商，达成本协议。</w:t>
      </w:r>
    </w:p>
    <w:p>
      <w:pPr>
        <w:numPr>
          <w:ilvl w:val="0"/>
          <w:numId w:val="12"/>
        </w:numPr>
        <w:autoSpaceDE/>
        <w:autoSpaceDN/>
        <w:spacing w:line="360" w:lineRule="auto"/>
        <w:jc w:val="both"/>
        <w:rPr>
          <w:b/>
          <w:sz w:val="24"/>
        </w:rPr>
      </w:pPr>
      <w:r>
        <w:rPr>
          <w:rFonts w:hint="eastAsia"/>
          <w:b/>
          <w:sz w:val="24"/>
          <w:lang w:eastAsia="zh-CN"/>
        </w:rPr>
        <w:t xml:space="preserve">  </w:t>
      </w:r>
      <w:r>
        <w:rPr>
          <w:rFonts w:hint="eastAsia"/>
          <w:b/>
          <w:sz w:val="24"/>
        </w:rPr>
        <w:t>保密信息</w:t>
      </w:r>
    </w:p>
    <w:p>
      <w:pPr>
        <w:numPr>
          <w:ilvl w:val="0"/>
          <w:numId w:val="13"/>
        </w:numPr>
        <w:autoSpaceDE/>
        <w:autoSpaceDN/>
        <w:spacing w:line="360" w:lineRule="auto"/>
        <w:jc w:val="both"/>
        <w:rPr>
          <w:sz w:val="24"/>
          <w:lang w:eastAsia="zh-CN"/>
        </w:rPr>
      </w:pPr>
      <w:r>
        <w:rPr>
          <w:rFonts w:hint="eastAsia"/>
          <w:sz w:val="24"/>
          <w:lang w:eastAsia="zh-CN"/>
        </w:rPr>
        <w:t>本协议所称的“保密信息”，指甲方及其关联企业以各种形式向乙方披露、提供、制作的各种信函、报告、数据、传真、电话、电话记录、电子邮件、会议记录、有关协议等相关信息及材料。包括但不限于技术文件、设计、（设计、建筑）图纸；与工艺有关的描述和参数；工厂的设备、管道及仪表图；商业秘密；专有知识；环境风险；产品信息及其他所有种类的由甲方或其关联企业直接或间接透露给乙方及/或其任何关系人及/或员工及/或分包商（以下统称为“乙方”）的与项目有关的数据，无论是书面的、电子方式的、口头的或其他任何的通讯形式。上述资料无须被注明是机密或是专有的，乙方均应合理地理解为属于甲方机密或专有资料。</w:t>
      </w:r>
    </w:p>
    <w:p>
      <w:pPr>
        <w:numPr>
          <w:ilvl w:val="0"/>
          <w:numId w:val="13"/>
        </w:numPr>
        <w:autoSpaceDE/>
        <w:autoSpaceDN/>
        <w:spacing w:line="360" w:lineRule="auto"/>
        <w:jc w:val="both"/>
        <w:rPr>
          <w:sz w:val="24"/>
          <w:lang w:eastAsia="zh-CN"/>
        </w:rPr>
      </w:pPr>
      <w:r>
        <w:rPr>
          <w:rFonts w:hint="eastAsia"/>
          <w:sz w:val="24"/>
          <w:lang w:eastAsia="zh-CN"/>
        </w:rPr>
        <w:t>甲方的关联企业，包括但不限于甲方的母公司、甲方全资或控股（含直接与间接控股）的子公司、甲方母公司全资或控股（含直接与间接控股）的子公司，以及法律法规规定或甲方向乙方声明属于甲方关联企业的其他公司或企业。</w:t>
      </w:r>
    </w:p>
    <w:p>
      <w:pPr>
        <w:numPr>
          <w:ilvl w:val="0"/>
          <w:numId w:val="13"/>
        </w:numPr>
        <w:autoSpaceDE/>
        <w:autoSpaceDN/>
        <w:spacing w:line="360" w:lineRule="auto"/>
        <w:jc w:val="both"/>
        <w:rPr>
          <w:sz w:val="24"/>
          <w:lang w:eastAsia="zh-CN"/>
        </w:rPr>
      </w:pPr>
      <w:r>
        <w:rPr>
          <w:rFonts w:hint="eastAsia"/>
          <w:sz w:val="24"/>
          <w:lang w:eastAsia="zh-CN"/>
        </w:rPr>
        <w:t>保密信息的所有权归属于甲方。甲方披露、提供、制作的任何保密信息不应构成向乙方明示或暗示地授予任何对其专利、著作权、商标、商业秘密或其他知识产权的任何权利。</w:t>
      </w:r>
    </w:p>
    <w:p>
      <w:pPr>
        <w:numPr>
          <w:ilvl w:val="0"/>
          <w:numId w:val="13"/>
        </w:numPr>
        <w:autoSpaceDE/>
        <w:autoSpaceDN/>
        <w:spacing w:line="360" w:lineRule="auto"/>
        <w:jc w:val="both"/>
        <w:rPr>
          <w:sz w:val="24"/>
          <w:lang w:eastAsia="zh-CN"/>
        </w:rPr>
      </w:pPr>
      <w:r>
        <w:rPr>
          <w:rFonts w:hint="eastAsia"/>
          <w:sz w:val="24"/>
          <w:lang w:eastAsia="zh-CN"/>
        </w:rPr>
        <w:t>乙方指定</w:t>
      </w:r>
      <w:r>
        <w:rPr>
          <w:rFonts w:hint="eastAsia"/>
          <w:sz w:val="24"/>
          <w:u w:val="single"/>
          <w:lang w:eastAsia="zh-CN"/>
        </w:rPr>
        <w:t xml:space="preserve">              </w:t>
      </w:r>
      <w:r>
        <w:rPr>
          <w:rFonts w:hint="eastAsia"/>
          <w:sz w:val="24"/>
          <w:lang w:eastAsia="zh-CN"/>
        </w:rPr>
        <w:t>为保密信息接收人，除乙方指定的信息接收人外，甲方无义务向包括乙方员工在内的任何第三方提供保密信息。</w:t>
      </w:r>
    </w:p>
    <w:p>
      <w:pPr>
        <w:numPr>
          <w:ilvl w:val="0"/>
          <w:numId w:val="12"/>
        </w:numPr>
        <w:autoSpaceDE/>
        <w:autoSpaceDN/>
        <w:spacing w:line="360" w:lineRule="auto"/>
        <w:jc w:val="both"/>
        <w:rPr>
          <w:b/>
          <w:sz w:val="24"/>
        </w:rPr>
      </w:pPr>
      <w:r>
        <w:rPr>
          <w:rFonts w:hint="eastAsia"/>
          <w:b/>
          <w:sz w:val="24"/>
          <w:lang w:eastAsia="zh-CN"/>
        </w:rPr>
        <w:t xml:space="preserve">  </w:t>
      </w:r>
      <w:r>
        <w:rPr>
          <w:rFonts w:hint="eastAsia"/>
          <w:b/>
          <w:sz w:val="24"/>
        </w:rPr>
        <w:t>乙方保密义务</w:t>
      </w:r>
    </w:p>
    <w:p>
      <w:pPr>
        <w:numPr>
          <w:ilvl w:val="0"/>
          <w:numId w:val="14"/>
        </w:numPr>
        <w:autoSpaceDE/>
        <w:autoSpaceDN/>
        <w:spacing w:line="360" w:lineRule="auto"/>
        <w:jc w:val="both"/>
        <w:rPr>
          <w:sz w:val="24"/>
          <w:lang w:eastAsia="zh-CN"/>
        </w:rPr>
      </w:pPr>
      <w:r>
        <w:rPr>
          <w:rFonts w:hint="eastAsia"/>
          <w:sz w:val="24"/>
          <w:lang w:eastAsia="zh-CN"/>
        </w:rPr>
        <w:t>不披露、不遗漏、不主动或被动的实施可能致使保密信息非依本协议规定的方式而被公开或泄露给第三方的行为，并以乙方保护其最高机密资料之措施保护甲方保密信息资料，保护措施应足以保护甲方保密信息的安全。</w:t>
      </w:r>
    </w:p>
    <w:p>
      <w:pPr>
        <w:numPr>
          <w:ilvl w:val="0"/>
          <w:numId w:val="14"/>
        </w:numPr>
        <w:autoSpaceDE/>
        <w:autoSpaceDN/>
        <w:spacing w:line="360" w:lineRule="auto"/>
        <w:jc w:val="both"/>
        <w:rPr>
          <w:sz w:val="24"/>
          <w:lang w:eastAsia="zh-CN"/>
        </w:rPr>
      </w:pPr>
      <w:r>
        <w:rPr>
          <w:rFonts w:hint="eastAsia"/>
          <w:sz w:val="24"/>
          <w:lang w:eastAsia="zh-CN"/>
        </w:rPr>
        <w:t>除本项目目的的合理使用以外，不会用于本项目目的之外的其他用途。</w:t>
      </w:r>
    </w:p>
    <w:p>
      <w:pPr>
        <w:numPr>
          <w:ilvl w:val="0"/>
          <w:numId w:val="14"/>
        </w:numPr>
        <w:autoSpaceDE/>
        <w:autoSpaceDN/>
        <w:spacing w:line="360" w:lineRule="auto"/>
        <w:jc w:val="both"/>
        <w:rPr>
          <w:sz w:val="24"/>
          <w:lang w:eastAsia="zh-CN"/>
        </w:rPr>
      </w:pPr>
      <w:r>
        <w:rPr>
          <w:rFonts w:hint="eastAsia"/>
          <w:sz w:val="24"/>
          <w:lang w:eastAsia="zh-CN"/>
        </w:rPr>
        <w:t>除非提前获得甲方书面同意或是国家机关依法律之规定而书面要求，不向任何第三方透露或泄露任何保密信息。在因国家机关依法律之规定而书面要求的情况下，乙方应在获得书面文件的第一时间书面通知甲方，并且将该保密信息的披露严格限制在国家机关要求的范围内。</w:t>
      </w:r>
    </w:p>
    <w:p>
      <w:pPr>
        <w:numPr>
          <w:ilvl w:val="0"/>
          <w:numId w:val="14"/>
        </w:numPr>
        <w:autoSpaceDE/>
        <w:autoSpaceDN/>
        <w:spacing w:line="360" w:lineRule="auto"/>
        <w:jc w:val="both"/>
        <w:rPr>
          <w:sz w:val="24"/>
          <w:lang w:eastAsia="zh-CN"/>
        </w:rPr>
      </w:pPr>
      <w:r>
        <w:rPr>
          <w:rFonts w:hint="eastAsia"/>
          <w:sz w:val="24"/>
          <w:lang w:eastAsia="zh-CN"/>
        </w:rPr>
        <w:t>除参与本项目之必须外，不复印、复制任何甲方的保密信息资料。</w:t>
      </w:r>
    </w:p>
    <w:p>
      <w:pPr>
        <w:numPr>
          <w:ilvl w:val="0"/>
          <w:numId w:val="14"/>
        </w:numPr>
        <w:autoSpaceDE/>
        <w:autoSpaceDN/>
        <w:spacing w:line="360" w:lineRule="auto"/>
        <w:jc w:val="both"/>
        <w:rPr>
          <w:sz w:val="24"/>
          <w:lang w:eastAsia="zh-CN"/>
        </w:rPr>
      </w:pPr>
      <w:r>
        <w:rPr>
          <w:rFonts w:hint="eastAsia"/>
          <w:sz w:val="24"/>
          <w:lang w:eastAsia="zh-CN"/>
        </w:rPr>
        <w:t>使用甲方保密信息的范围仅限于因参与本项目所必须的乙方工作人员，与本项目无关的乙方工作人员不得接触、使用甲方的保密信息资料。乙方工作人员在保密期限内离职的，仍应继续负有保密义务。如上述人员违反保密义务的，视同为乙方违反保密义务。</w:t>
      </w:r>
    </w:p>
    <w:p>
      <w:pPr>
        <w:numPr>
          <w:ilvl w:val="0"/>
          <w:numId w:val="14"/>
        </w:numPr>
        <w:autoSpaceDE/>
        <w:autoSpaceDN/>
        <w:spacing w:line="360" w:lineRule="auto"/>
        <w:jc w:val="both"/>
        <w:rPr>
          <w:sz w:val="24"/>
          <w:lang w:eastAsia="zh-CN"/>
        </w:rPr>
      </w:pPr>
      <w:r>
        <w:rPr>
          <w:rFonts w:hint="eastAsia"/>
          <w:sz w:val="24"/>
          <w:lang w:eastAsia="zh-CN"/>
        </w:rPr>
        <w:t>与乙方在法律关系上独立的主体（包括但不限于股东、子公司、代理方、顾问、中介机构或其他关联方）如确因本项目之必须，在获得甲方认可并与甲方签订书面保密协议后，可在保密协议约束下获得、使用甲方的保密信息资料。</w:t>
      </w:r>
    </w:p>
    <w:p>
      <w:pPr>
        <w:numPr>
          <w:ilvl w:val="0"/>
          <w:numId w:val="12"/>
        </w:numPr>
        <w:autoSpaceDE/>
        <w:autoSpaceDN/>
        <w:spacing w:line="360" w:lineRule="auto"/>
        <w:jc w:val="both"/>
        <w:rPr>
          <w:b/>
          <w:sz w:val="24"/>
        </w:rPr>
      </w:pPr>
      <w:r>
        <w:rPr>
          <w:rFonts w:hint="eastAsia"/>
          <w:b/>
          <w:sz w:val="24"/>
          <w:lang w:eastAsia="zh-CN"/>
        </w:rPr>
        <w:t xml:space="preserve">  </w:t>
      </w:r>
      <w:r>
        <w:rPr>
          <w:rFonts w:hint="eastAsia"/>
          <w:b/>
          <w:sz w:val="24"/>
        </w:rPr>
        <w:t>保密义务的例外</w:t>
      </w:r>
    </w:p>
    <w:p>
      <w:pPr>
        <w:numPr>
          <w:ilvl w:val="0"/>
          <w:numId w:val="15"/>
        </w:numPr>
        <w:autoSpaceDE/>
        <w:autoSpaceDN/>
        <w:spacing w:line="360" w:lineRule="auto"/>
        <w:jc w:val="both"/>
        <w:rPr>
          <w:sz w:val="24"/>
          <w:lang w:eastAsia="zh-CN"/>
        </w:rPr>
      </w:pPr>
      <w:r>
        <w:rPr>
          <w:rFonts w:hint="eastAsia"/>
          <w:sz w:val="24"/>
          <w:lang w:eastAsia="zh-CN"/>
        </w:rPr>
        <w:t>保密信息已被公众所知并可通过公开途径获得（非因违反本协议而造成）。</w:t>
      </w:r>
    </w:p>
    <w:p>
      <w:pPr>
        <w:numPr>
          <w:ilvl w:val="0"/>
          <w:numId w:val="15"/>
        </w:numPr>
        <w:autoSpaceDE/>
        <w:autoSpaceDN/>
        <w:spacing w:line="360" w:lineRule="auto"/>
        <w:jc w:val="both"/>
        <w:rPr>
          <w:sz w:val="24"/>
          <w:lang w:eastAsia="zh-CN"/>
        </w:rPr>
      </w:pPr>
      <w:r>
        <w:rPr>
          <w:rFonts w:hint="eastAsia"/>
          <w:sz w:val="24"/>
          <w:lang w:eastAsia="zh-CN"/>
        </w:rPr>
        <w:t>通过合法途径向第三方获得的资料，并且该第三方对该等资料并没有任何保密义务。</w:t>
      </w:r>
    </w:p>
    <w:p>
      <w:pPr>
        <w:numPr>
          <w:ilvl w:val="0"/>
          <w:numId w:val="15"/>
        </w:numPr>
        <w:autoSpaceDE/>
        <w:autoSpaceDN/>
        <w:spacing w:line="360" w:lineRule="auto"/>
        <w:jc w:val="both"/>
        <w:rPr>
          <w:sz w:val="24"/>
          <w:lang w:eastAsia="zh-CN"/>
        </w:rPr>
      </w:pPr>
      <w:r>
        <w:rPr>
          <w:rFonts w:hint="eastAsia"/>
          <w:sz w:val="24"/>
          <w:lang w:eastAsia="zh-CN"/>
        </w:rPr>
        <w:t>乙方在并无参考甲方保密资料的情况下独立开发的资料。</w:t>
      </w:r>
    </w:p>
    <w:p>
      <w:pPr>
        <w:numPr>
          <w:ilvl w:val="0"/>
          <w:numId w:val="15"/>
        </w:numPr>
        <w:autoSpaceDE/>
        <w:autoSpaceDN/>
        <w:spacing w:line="360" w:lineRule="auto"/>
        <w:jc w:val="both"/>
        <w:rPr>
          <w:sz w:val="24"/>
          <w:lang w:eastAsia="zh-CN"/>
        </w:rPr>
      </w:pPr>
      <w:r>
        <w:rPr>
          <w:rFonts w:hint="eastAsia"/>
          <w:sz w:val="24"/>
          <w:lang w:eastAsia="zh-CN"/>
        </w:rPr>
        <w:t>为完成本项目而将保密信息报送有关国家机关、机构进行审批或公开披露的（需经甲方事前书面确认）。</w:t>
      </w:r>
    </w:p>
    <w:p>
      <w:pPr>
        <w:numPr>
          <w:ilvl w:val="0"/>
          <w:numId w:val="12"/>
        </w:numPr>
        <w:autoSpaceDE/>
        <w:autoSpaceDN/>
        <w:spacing w:line="360" w:lineRule="auto"/>
        <w:jc w:val="both"/>
        <w:rPr>
          <w:b/>
          <w:sz w:val="24"/>
        </w:rPr>
      </w:pPr>
      <w:r>
        <w:rPr>
          <w:rFonts w:hint="eastAsia"/>
          <w:b/>
          <w:sz w:val="24"/>
          <w:lang w:eastAsia="zh-CN"/>
        </w:rPr>
        <w:t xml:space="preserve">  </w:t>
      </w:r>
      <w:r>
        <w:rPr>
          <w:rFonts w:hint="eastAsia"/>
          <w:b/>
          <w:sz w:val="24"/>
        </w:rPr>
        <w:t>资料返还与销毁</w:t>
      </w:r>
    </w:p>
    <w:p>
      <w:pPr>
        <w:spacing w:line="360" w:lineRule="auto"/>
        <w:rPr>
          <w:sz w:val="24"/>
          <w:lang w:eastAsia="zh-CN"/>
        </w:rPr>
      </w:pPr>
      <w:r>
        <w:rPr>
          <w:rFonts w:hint="eastAsia"/>
          <w:sz w:val="24"/>
          <w:lang w:eastAsia="zh-CN"/>
        </w:rPr>
        <w:t>在就项目所开展的任何讨论或乙方在此项目中的参与结束后：</w:t>
      </w:r>
    </w:p>
    <w:p>
      <w:pPr>
        <w:numPr>
          <w:ilvl w:val="1"/>
          <w:numId w:val="12"/>
        </w:numPr>
        <w:tabs>
          <w:tab w:val="left" w:pos="360"/>
        </w:tabs>
        <w:autoSpaceDE/>
        <w:autoSpaceDN/>
        <w:spacing w:line="360" w:lineRule="auto"/>
        <w:jc w:val="both"/>
        <w:rPr>
          <w:sz w:val="24"/>
          <w:lang w:eastAsia="zh-CN"/>
        </w:rPr>
      </w:pPr>
      <w:r>
        <w:rPr>
          <w:rFonts w:hint="eastAsia"/>
          <w:sz w:val="24"/>
          <w:lang w:eastAsia="zh-CN"/>
        </w:rPr>
        <w:t>乙方应立即向甲方归还任何反应出保密信息的所有纸质文件材料，并从乙方曾向其输入保密信息的任何电脑、存储设备或类似设施中删除全部保密资料。</w:t>
      </w:r>
    </w:p>
    <w:p>
      <w:pPr>
        <w:numPr>
          <w:ilvl w:val="1"/>
          <w:numId w:val="12"/>
        </w:numPr>
        <w:tabs>
          <w:tab w:val="left" w:pos="360"/>
        </w:tabs>
        <w:autoSpaceDE/>
        <w:autoSpaceDN/>
        <w:spacing w:line="360" w:lineRule="auto"/>
        <w:ind w:left="0" w:firstLine="0"/>
        <w:rPr>
          <w:sz w:val="24"/>
          <w:lang w:eastAsia="zh-CN"/>
        </w:rPr>
      </w:pPr>
      <w:r>
        <w:rPr>
          <w:rFonts w:hint="eastAsia"/>
          <w:sz w:val="24"/>
          <w:lang w:eastAsia="zh-CN"/>
        </w:rPr>
        <w:t xml:space="preserve">如为适用法律法规的强制要求，在甲方书面允许的前提下，乙方可保留保密       </w:t>
      </w:r>
    </w:p>
    <w:p>
      <w:pPr>
        <w:tabs>
          <w:tab w:val="left" w:pos="750"/>
        </w:tabs>
        <w:spacing w:line="360" w:lineRule="auto"/>
        <w:ind w:firstLine="360" w:firstLineChars="150"/>
        <w:rPr>
          <w:sz w:val="24"/>
          <w:lang w:eastAsia="zh-CN"/>
        </w:rPr>
      </w:pPr>
      <w:r>
        <w:rPr>
          <w:rFonts w:hint="eastAsia"/>
          <w:sz w:val="24"/>
          <w:lang w:eastAsia="zh-CN"/>
        </w:rPr>
        <w:t>信息中必要部分，乙方对此部分承担本协议规定的保密义务。</w:t>
      </w:r>
    </w:p>
    <w:p>
      <w:pPr>
        <w:numPr>
          <w:ilvl w:val="1"/>
          <w:numId w:val="12"/>
        </w:numPr>
        <w:tabs>
          <w:tab w:val="left" w:pos="360"/>
        </w:tabs>
        <w:autoSpaceDE/>
        <w:autoSpaceDN/>
        <w:spacing w:line="360" w:lineRule="auto"/>
        <w:jc w:val="both"/>
        <w:rPr>
          <w:sz w:val="24"/>
          <w:lang w:eastAsia="zh-CN"/>
        </w:rPr>
      </w:pPr>
      <w:r>
        <w:rPr>
          <w:rFonts w:hint="eastAsia"/>
          <w:sz w:val="24"/>
          <w:lang w:eastAsia="zh-CN"/>
        </w:rPr>
        <w:t>乙方不因归还或销毁保密资料的行为而免除其在本协议下所负有的任何义务和责任。</w:t>
      </w:r>
    </w:p>
    <w:p>
      <w:pPr>
        <w:numPr>
          <w:ilvl w:val="0"/>
          <w:numId w:val="12"/>
        </w:numPr>
        <w:autoSpaceDE/>
        <w:autoSpaceDN/>
        <w:spacing w:line="360" w:lineRule="auto"/>
        <w:jc w:val="both"/>
        <w:rPr>
          <w:b/>
          <w:sz w:val="24"/>
        </w:rPr>
      </w:pPr>
      <w:r>
        <w:rPr>
          <w:rFonts w:hint="eastAsia"/>
          <w:b/>
          <w:sz w:val="24"/>
          <w:lang w:eastAsia="zh-CN"/>
        </w:rPr>
        <w:t xml:space="preserve">  </w:t>
      </w:r>
      <w:r>
        <w:rPr>
          <w:rFonts w:hint="eastAsia"/>
          <w:b/>
          <w:sz w:val="24"/>
        </w:rPr>
        <w:t>保密期限</w:t>
      </w:r>
    </w:p>
    <w:p>
      <w:pPr>
        <w:numPr>
          <w:ilvl w:val="0"/>
          <w:numId w:val="16"/>
        </w:numPr>
        <w:autoSpaceDE/>
        <w:autoSpaceDN/>
        <w:spacing w:line="360" w:lineRule="auto"/>
        <w:jc w:val="both"/>
        <w:rPr>
          <w:sz w:val="24"/>
          <w:lang w:eastAsia="zh-CN"/>
        </w:rPr>
      </w:pPr>
      <w:r>
        <w:rPr>
          <w:rFonts w:hint="eastAsia"/>
          <w:sz w:val="24"/>
          <w:lang w:eastAsia="zh-CN"/>
        </w:rPr>
        <w:t>无论本项目是否交由乙方完成或本项目是否实际完成，乙方须对本协议约定的全部保密信息负有无限期之保密义务直至保密信息成为公开信息。</w:t>
      </w:r>
    </w:p>
    <w:p>
      <w:pPr>
        <w:numPr>
          <w:ilvl w:val="0"/>
          <w:numId w:val="16"/>
        </w:numPr>
        <w:autoSpaceDE/>
        <w:autoSpaceDN/>
        <w:spacing w:line="360" w:lineRule="auto"/>
        <w:jc w:val="both"/>
        <w:rPr>
          <w:sz w:val="24"/>
          <w:lang w:eastAsia="zh-CN"/>
        </w:rPr>
      </w:pPr>
      <w:r>
        <w:rPr>
          <w:rFonts w:hint="eastAsia"/>
          <w:sz w:val="24"/>
          <w:lang w:eastAsia="zh-CN"/>
        </w:rPr>
        <w:t>除依法已公开披露的信息外，乙方应继续对保密信息中未公开披露的部分承担无期之保密义务直至未公开披露部分成为公开信息。</w:t>
      </w:r>
    </w:p>
    <w:p>
      <w:pPr>
        <w:numPr>
          <w:ilvl w:val="0"/>
          <w:numId w:val="12"/>
        </w:numPr>
        <w:autoSpaceDE/>
        <w:autoSpaceDN/>
        <w:spacing w:line="360" w:lineRule="auto"/>
        <w:jc w:val="both"/>
        <w:rPr>
          <w:b/>
          <w:sz w:val="24"/>
        </w:rPr>
      </w:pPr>
      <w:r>
        <w:rPr>
          <w:rFonts w:hint="eastAsia"/>
          <w:b/>
          <w:sz w:val="24"/>
          <w:lang w:eastAsia="zh-CN"/>
        </w:rPr>
        <w:t xml:space="preserve">  </w:t>
      </w:r>
      <w:r>
        <w:rPr>
          <w:rFonts w:hint="eastAsia"/>
          <w:b/>
          <w:sz w:val="24"/>
        </w:rPr>
        <w:t>违约责任</w:t>
      </w:r>
    </w:p>
    <w:p>
      <w:pPr>
        <w:numPr>
          <w:ilvl w:val="0"/>
          <w:numId w:val="17"/>
        </w:numPr>
        <w:autoSpaceDE/>
        <w:autoSpaceDN/>
        <w:spacing w:line="360" w:lineRule="auto"/>
        <w:jc w:val="both"/>
        <w:rPr>
          <w:sz w:val="24"/>
          <w:lang w:eastAsia="zh-CN"/>
        </w:rPr>
      </w:pPr>
      <w:r>
        <w:rPr>
          <w:rFonts w:hint="eastAsia"/>
          <w:sz w:val="24"/>
          <w:lang w:eastAsia="zh-CN"/>
        </w:rPr>
        <w:t>本协议生效后，乙方违反本协议约定给甲方造成损失的，必须立即停止违约行为，并采取一切手段消除由此导致的不利影响，并应赔偿因违约导致的甲方全部经济损失。</w:t>
      </w:r>
    </w:p>
    <w:p>
      <w:pPr>
        <w:numPr>
          <w:ilvl w:val="0"/>
          <w:numId w:val="17"/>
        </w:numPr>
        <w:autoSpaceDE/>
        <w:autoSpaceDN/>
        <w:spacing w:line="360" w:lineRule="auto"/>
        <w:jc w:val="both"/>
        <w:rPr>
          <w:sz w:val="24"/>
          <w:lang w:eastAsia="zh-CN"/>
        </w:rPr>
      </w:pPr>
      <w:r>
        <w:rPr>
          <w:rFonts w:hint="eastAsia"/>
          <w:sz w:val="24"/>
          <w:lang w:eastAsia="zh-CN"/>
        </w:rPr>
        <w:t>前款所称的损失，包括但不限于守约方因违约方的违约行为而受到的索赔、</w:t>
      </w:r>
    </w:p>
    <w:p>
      <w:pPr>
        <w:spacing w:line="360" w:lineRule="auto"/>
        <w:ind w:firstLine="360" w:firstLineChars="150"/>
        <w:rPr>
          <w:sz w:val="24"/>
          <w:lang w:eastAsia="zh-CN"/>
        </w:rPr>
      </w:pPr>
      <w:r>
        <w:rPr>
          <w:rFonts w:hint="eastAsia"/>
          <w:sz w:val="24"/>
          <w:lang w:eastAsia="zh-CN"/>
        </w:rPr>
        <w:t>支出、商业损失、信誉和声誉损失、有权机构作出的处罚等。</w:t>
      </w:r>
    </w:p>
    <w:p>
      <w:pPr>
        <w:numPr>
          <w:ilvl w:val="0"/>
          <w:numId w:val="12"/>
        </w:numPr>
        <w:autoSpaceDE/>
        <w:autoSpaceDN/>
        <w:spacing w:line="360" w:lineRule="auto"/>
        <w:jc w:val="both"/>
        <w:rPr>
          <w:b/>
          <w:sz w:val="24"/>
        </w:rPr>
      </w:pPr>
      <w:r>
        <w:rPr>
          <w:rFonts w:hint="eastAsia"/>
          <w:b/>
          <w:sz w:val="24"/>
          <w:lang w:eastAsia="zh-CN"/>
        </w:rPr>
        <w:t xml:space="preserve">  </w:t>
      </w:r>
      <w:r>
        <w:rPr>
          <w:rFonts w:hint="eastAsia"/>
          <w:b/>
          <w:sz w:val="24"/>
        </w:rPr>
        <w:t>争议解决</w:t>
      </w:r>
    </w:p>
    <w:p>
      <w:pPr>
        <w:spacing w:line="360" w:lineRule="auto"/>
        <w:ind w:left="480" w:hanging="480" w:hangingChars="200"/>
        <w:rPr>
          <w:sz w:val="24"/>
          <w:lang w:eastAsia="zh-CN"/>
        </w:rPr>
      </w:pPr>
      <w:r>
        <w:rPr>
          <w:rFonts w:hint="eastAsia"/>
          <w:sz w:val="24"/>
          <w:lang w:eastAsia="zh-CN"/>
        </w:rPr>
        <w:t>1. 本协议的签订、效力、解释、履行及争议的解决，均适用中国现行有效的法律、法规。</w:t>
      </w:r>
    </w:p>
    <w:p>
      <w:pPr>
        <w:spacing w:line="360" w:lineRule="auto"/>
        <w:ind w:left="360" w:hanging="360" w:hangingChars="150"/>
        <w:rPr>
          <w:sz w:val="24"/>
          <w:lang w:eastAsia="zh-CN"/>
        </w:rPr>
      </w:pPr>
      <w:r>
        <w:rPr>
          <w:rFonts w:hint="eastAsia"/>
          <w:sz w:val="24"/>
          <w:lang w:eastAsia="zh-CN"/>
        </w:rPr>
        <w:t>2. 因签订及履行本协议而发生的任何纠纷，双方应首先通过友好协商方式解决。若在纠纷发生后30个工作日内协商不成，任何一方可向甲方所在地人民法院提起诉讼。</w:t>
      </w:r>
    </w:p>
    <w:p>
      <w:pPr>
        <w:spacing w:line="360" w:lineRule="auto"/>
        <w:rPr>
          <w:sz w:val="24"/>
          <w:lang w:eastAsia="zh-CN"/>
        </w:rPr>
      </w:pPr>
      <w:r>
        <w:rPr>
          <w:rFonts w:hint="eastAsia"/>
          <w:sz w:val="24"/>
          <w:lang w:eastAsia="zh-CN"/>
        </w:rPr>
        <w:t>3. 协商或诉讼期间，本协议不涉及纠纷的条款仍需履行。</w:t>
      </w:r>
    </w:p>
    <w:p>
      <w:pPr>
        <w:spacing w:line="360" w:lineRule="auto"/>
        <w:rPr>
          <w:b/>
          <w:sz w:val="24"/>
          <w:lang w:eastAsia="zh-CN"/>
        </w:rPr>
      </w:pPr>
      <w:r>
        <w:rPr>
          <w:rFonts w:hint="eastAsia"/>
          <w:b/>
          <w:sz w:val="24"/>
          <w:lang w:eastAsia="zh-CN"/>
        </w:rPr>
        <w:t>第八条  协议变更</w:t>
      </w:r>
    </w:p>
    <w:p>
      <w:pPr>
        <w:spacing w:line="360" w:lineRule="auto"/>
        <w:ind w:firstLine="480" w:firstLineChars="200"/>
        <w:rPr>
          <w:sz w:val="24"/>
          <w:lang w:eastAsia="zh-CN"/>
        </w:rPr>
      </w:pPr>
      <w:r>
        <w:rPr>
          <w:rFonts w:hint="eastAsia"/>
          <w:sz w:val="24"/>
          <w:lang w:eastAsia="zh-CN"/>
        </w:rPr>
        <w:t>本协议生效后，对本协议未尽事宜或为履行本协议而需变更的，双方可以在充分协商后签订书面补充协议做出补充或变更。</w:t>
      </w:r>
    </w:p>
    <w:p>
      <w:pPr>
        <w:numPr>
          <w:ilvl w:val="0"/>
          <w:numId w:val="18"/>
        </w:numPr>
        <w:autoSpaceDE/>
        <w:autoSpaceDN/>
        <w:spacing w:line="360" w:lineRule="auto"/>
        <w:jc w:val="both"/>
        <w:rPr>
          <w:b/>
          <w:sz w:val="24"/>
        </w:rPr>
      </w:pPr>
      <w:r>
        <w:rPr>
          <w:rFonts w:hint="eastAsia"/>
          <w:b/>
          <w:sz w:val="24"/>
        </w:rPr>
        <w:t>其他</w:t>
      </w:r>
    </w:p>
    <w:p>
      <w:pPr>
        <w:tabs>
          <w:tab w:val="left" w:pos="750"/>
        </w:tabs>
        <w:spacing w:line="360" w:lineRule="auto"/>
        <w:ind w:left="360" w:hanging="360" w:hangingChars="150"/>
        <w:rPr>
          <w:sz w:val="24"/>
          <w:lang w:eastAsia="zh-CN"/>
        </w:rPr>
      </w:pPr>
      <w:r>
        <w:rPr>
          <w:rFonts w:hint="eastAsia"/>
          <w:sz w:val="24"/>
          <w:lang w:eastAsia="zh-CN"/>
        </w:rPr>
        <w:t>1. 双方确认</w:t>
      </w:r>
      <w:r>
        <w:rPr>
          <w:sz w:val="24"/>
          <w:lang w:eastAsia="zh-CN"/>
        </w:rPr>
        <w:t>本协议及其内容并非双方就本项目进行谈判和达成任何独立的最终协议的基础，也不构成</w:t>
      </w:r>
      <w:r>
        <w:rPr>
          <w:rFonts w:hint="eastAsia"/>
          <w:sz w:val="24"/>
          <w:lang w:eastAsia="zh-CN"/>
        </w:rPr>
        <w:t>甲</w:t>
      </w:r>
      <w:r>
        <w:rPr>
          <w:sz w:val="24"/>
          <w:lang w:eastAsia="zh-CN"/>
        </w:rPr>
        <w:t>方对本项目最终协议的任何承诺</w:t>
      </w:r>
      <w:r>
        <w:rPr>
          <w:rFonts w:hint="eastAsia"/>
          <w:sz w:val="24"/>
          <w:lang w:eastAsia="zh-CN"/>
        </w:rPr>
        <w:t>。甲方无义务承担所提供信息所造成的任何特殊的、偶然的、后续的、间接的损害或损失</w:t>
      </w:r>
      <w:r>
        <w:rPr>
          <w:sz w:val="24"/>
          <w:lang w:eastAsia="zh-CN"/>
        </w:rPr>
        <w:t>。</w:t>
      </w:r>
    </w:p>
    <w:p>
      <w:pPr>
        <w:tabs>
          <w:tab w:val="left" w:pos="750"/>
        </w:tabs>
        <w:spacing w:line="360" w:lineRule="auto"/>
        <w:rPr>
          <w:sz w:val="24"/>
          <w:lang w:eastAsia="zh-CN"/>
        </w:rPr>
      </w:pPr>
      <w:r>
        <w:rPr>
          <w:rFonts w:hint="eastAsia"/>
          <w:sz w:val="24"/>
          <w:lang w:eastAsia="zh-CN"/>
        </w:rPr>
        <w:t>2. 本协议经协议各方签订后生效。</w:t>
      </w:r>
    </w:p>
    <w:p>
      <w:pPr>
        <w:tabs>
          <w:tab w:val="left" w:pos="750"/>
        </w:tabs>
        <w:spacing w:line="360" w:lineRule="auto"/>
        <w:rPr>
          <w:sz w:val="24"/>
          <w:lang w:eastAsia="zh-CN"/>
        </w:rPr>
      </w:pPr>
      <w:r>
        <w:rPr>
          <w:rFonts w:hint="eastAsia"/>
          <w:sz w:val="24"/>
          <w:lang w:eastAsia="zh-CN"/>
        </w:rPr>
        <w:t>3. 本协议一式陆份，甲方执四份，乙方执二份，具有同等法律效力。</w:t>
      </w:r>
    </w:p>
    <w:p>
      <w:pPr>
        <w:spacing w:line="360" w:lineRule="auto"/>
        <w:rPr>
          <w:b/>
          <w:sz w:val="24"/>
          <w:lang w:eastAsia="zh-CN"/>
        </w:rPr>
      </w:pPr>
      <w:r>
        <w:rPr>
          <w:rFonts w:hint="eastAsia"/>
          <w:b/>
          <w:sz w:val="24"/>
          <w:lang w:eastAsia="zh-CN"/>
        </w:rPr>
        <w:t>（以下无正文）</w:t>
      </w:r>
    </w:p>
    <w:p>
      <w:pPr>
        <w:spacing w:line="520" w:lineRule="exact"/>
        <w:ind w:left="-444" w:leftChars="-202" w:firstLine="472" w:firstLineChars="196"/>
        <w:rPr>
          <w:sz w:val="24"/>
          <w:lang w:eastAsia="zh-CN"/>
        </w:rPr>
      </w:pPr>
      <w:r>
        <w:rPr>
          <w:rFonts w:hint="eastAsia"/>
          <w:b/>
          <w:sz w:val="24"/>
          <w:lang w:eastAsia="zh-CN"/>
        </w:rPr>
        <w:t xml:space="preserve">甲方：腾龙芳烃（漳州）有限公司   </w:t>
      </w:r>
    </w:p>
    <w:p>
      <w:pPr>
        <w:spacing w:line="520" w:lineRule="exact"/>
        <w:ind w:firstLine="240" w:firstLineChars="100"/>
        <w:rPr>
          <w:sz w:val="24"/>
          <w:lang w:eastAsia="zh-CN"/>
        </w:rPr>
      </w:pPr>
      <w:r>
        <w:rPr>
          <w:rFonts w:hint="eastAsia"/>
          <w:sz w:val="24"/>
          <w:lang w:eastAsia="zh-CN"/>
        </w:rPr>
        <w:t xml:space="preserve">授权代表：                            </w:t>
      </w:r>
    </w:p>
    <w:p>
      <w:pPr>
        <w:spacing w:line="520" w:lineRule="exact"/>
        <w:rPr>
          <w:sz w:val="24"/>
          <w:lang w:eastAsia="zh-CN"/>
        </w:rPr>
      </w:pPr>
    </w:p>
    <w:p>
      <w:pPr>
        <w:spacing w:line="520" w:lineRule="exact"/>
        <w:rPr>
          <w:sz w:val="24"/>
          <w:lang w:eastAsia="zh-CN"/>
        </w:rPr>
      </w:pPr>
      <w:r>
        <w:rPr>
          <w:rFonts w:hint="eastAsia"/>
          <w:b/>
          <w:sz w:val="24"/>
          <w:lang w:eastAsia="zh-CN"/>
        </w:rPr>
        <w:t>乙方：</w:t>
      </w:r>
      <w:r>
        <w:rPr>
          <w:rFonts w:hint="eastAsia"/>
          <w:sz w:val="24"/>
          <w:lang w:eastAsia="zh-CN"/>
        </w:rPr>
        <w:t xml:space="preserve"> </w:t>
      </w:r>
    </w:p>
    <w:p>
      <w:pPr>
        <w:spacing w:line="520" w:lineRule="exact"/>
        <w:ind w:firstLine="240" w:firstLineChars="100"/>
        <w:rPr>
          <w:sz w:val="24"/>
          <w:lang w:eastAsia="zh-CN"/>
        </w:rPr>
      </w:pPr>
      <w:r>
        <w:rPr>
          <w:rFonts w:hint="eastAsia"/>
          <w:sz w:val="24"/>
          <w:lang w:eastAsia="zh-CN"/>
        </w:rPr>
        <w:t>授权代表：</w:t>
      </w:r>
    </w:p>
    <w:p>
      <w:pPr>
        <w:pStyle w:val="2"/>
      </w:pPr>
    </w:p>
    <w:p>
      <w:pPr>
        <w:spacing w:afterLines="50" w:line="520" w:lineRule="exact"/>
        <w:rPr>
          <w:b/>
          <w:sz w:val="28"/>
          <w:szCs w:val="28"/>
          <w:lang w:eastAsia="zh-CN"/>
        </w:rPr>
      </w:pPr>
      <w:r>
        <w:rPr>
          <w:rFonts w:hint="eastAsia"/>
          <w:b/>
          <w:sz w:val="28"/>
          <w:szCs w:val="28"/>
          <w:lang w:eastAsia="zh-CN"/>
        </w:rPr>
        <w:t>附件5：</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rFonts w:hint="eastAsia" w:asciiTheme="minorEastAsia" w:hAnsiTheme="minorEastAsia" w:eastAsiaTheme="minorEastAsia"/>
          <w:sz w:val="24"/>
          <w:szCs w:val="24"/>
          <w:u w:val="single"/>
          <w:lang w:eastAsia="zh-CN"/>
        </w:rPr>
        <w:t>2021年电力监控系统等级保护测评及安全防护评估与整改加固</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甲方：</w:t>
      </w:r>
      <w:r>
        <w:rPr>
          <w:rFonts w:hint="eastAsia"/>
          <w:snapToGrid w:val="0"/>
          <w:sz w:val="21"/>
          <w:szCs w:val="21"/>
          <w:lang w:eastAsia="zh-CN"/>
        </w:rPr>
        <w:t xml:space="preserve">腾龙芳烃（漳州）有限公司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合法权益，根据国家有关工程建设法律法规和廉政建设责任制规定，特订立本建设项目廉洁工程承诺书。</w:t>
      </w:r>
    </w:p>
    <w:p>
      <w:pPr>
        <w:pStyle w:val="14"/>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ind w:firstLine="306" w:firstLineChars="145"/>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w:t>
      </w:r>
      <w:r>
        <w:fldChar w:fldCharType="begin"/>
      </w:r>
      <w:r>
        <w:instrText xml:space="preserve"> HYPERLINK "mailto:fhcjc@fhcpec.com.cn" </w:instrText>
      </w:r>
      <w:r>
        <w:fldChar w:fldCharType="separate"/>
      </w:r>
      <w:r>
        <w:rPr>
          <w:rStyle w:val="34"/>
          <w:rFonts w:hint="eastAsia"/>
          <w:snapToGrid w:val="0"/>
          <w:sz w:val="21"/>
          <w:szCs w:val="21"/>
          <w:lang w:eastAsia="zh-CN"/>
        </w:rPr>
        <w:t>fhcjc@fhcpec.com.cn</w:t>
      </w:r>
      <w:r>
        <w:rPr>
          <w:rStyle w:val="34"/>
          <w:rFonts w:hint="eastAsia"/>
          <w:snapToGrid w:val="0"/>
          <w:sz w:val="21"/>
          <w:szCs w:val="21"/>
          <w:lang w:eastAsia="zh-CN"/>
        </w:rPr>
        <w:fldChar w:fldCharType="end"/>
      </w:r>
      <w:r>
        <w:rPr>
          <w:rFonts w:hint="eastAsia"/>
          <w:snapToGrid w:val="0"/>
          <w:sz w:val="21"/>
          <w:szCs w:val="21"/>
          <w:u w:val="single"/>
          <w:lang w:eastAsia="zh-CN"/>
        </w:rPr>
        <w:t xml:space="preserve">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sz w:val="21"/>
          <w:szCs w:val="21"/>
          <w:lang w:eastAsia="zh-CN"/>
        </w:rPr>
      </w:pPr>
      <w:r>
        <w:rPr>
          <w:rFonts w:hint="eastAsia"/>
          <w:spacing w:val="-2"/>
          <w:sz w:val="21"/>
          <w:szCs w:val="21"/>
          <w:lang w:eastAsia="zh-CN"/>
        </w:rPr>
        <w:t>腾龙芳烃（漳州）有限公司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pPr>
    </w:p>
    <w:p>
      <w:pPr>
        <w:pStyle w:val="2"/>
      </w:pPr>
    </w:p>
    <w:p>
      <w:pPr>
        <w:pStyle w:val="16"/>
        <w:spacing w:line="360" w:lineRule="auto"/>
        <w:rPr>
          <w:rFonts w:hAnsi="宋体"/>
          <w:lang w:eastAsia="zh-CN"/>
        </w:rPr>
      </w:pPr>
    </w:p>
    <w:p>
      <w:pPr>
        <w:pStyle w:val="2"/>
        <w:sectPr>
          <w:footerReference r:id="rId11" w:type="default"/>
          <w:pgSz w:w="11910" w:h="16840"/>
          <w:pgMar w:top="1480" w:right="1120" w:bottom="740" w:left="1300" w:header="0" w:footer="487" w:gutter="0"/>
          <w:cols w:space="720" w:num="1"/>
        </w:sectPr>
      </w:pPr>
    </w:p>
    <w:p>
      <w:pPr>
        <w:pStyle w:val="2"/>
        <w:rPr>
          <w:b/>
          <w:bCs/>
          <w:sz w:val="24"/>
          <w:szCs w:val="24"/>
        </w:rPr>
      </w:pPr>
      <w:bookmarkStart w:id="56"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Theme="minorEastAsia" w:hAnsiTheme="minorEastAsia" w:eastAsiaTheme="minorEastAsia"/>
          <w:b/>
          <w:sz w:val="36"/>
          <w:szCs w:val="36"/>
          <w:u w:val="single"/>
          <w:lang w:eastAsia="zh-CN"/>
        </w:rPr>
        <w:t>2021年电力监控系统等级保护测评及安全防护评估与整改加固</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4</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56"/>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2021年电力监控系统等级保护测评及安全防护评估与整改加固</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2021年电力监控系统等级保护测评及安全防护评估与整改加固</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sz w:val="24"/>
          <w:szCs w:val="24"/>
        </w:rPr>
      </w:pPr>
    </w:p>
    <w:p>
      <w:pPr>
        <w:pStyle w:val="2"/>
        <w:rPr>
          <w:sz w:val="24"/>
          <w:szCs w:val="24"/>
        </w:rPr>
      </w:pPr>
      <w:r>
        <w:rPr>
          <w:rFonts w:hint="eastAsia"/>
          <w:sz w:val="24"/>
          <w:szCs w:val="24"/>
        </w:rPr>
        <w:t>附件5、</w:t>
      </w:r>
    </w:p>
    <w:p>
      <w:pPr>
        <w:spacing w:line="500" w:lineRule="exact"/>
        <w:jc w:val="both"/>
        <w:rPr>
          <w:sz w:val="24"/>
          <w:szCs w:val="24"/>
          <w:lang w:eastAsia="zh-CN"/>
        </w:rPr>
      </w:pPr>
    </w:p>
    <w:tbl>
      <w:tblPr>
        <w:tblStyle w:val="28"/>
        <w:tblW w:w="9014" w:type="dxa"/>
        <w:tblInd w:w="392" w:type="dxa"/>
        <w:tblLayout w:type="autofit"/>
        <w:tblCellMar>
          <w:top w:w="0" w:type="dxa"/>
          <w:left w:w="108" w:type="dxa"/>
          <w:bottom w:w="0" w:type="dxa"/>
          <w:right w:w="108" w:type="dxa"/>
        </w:tblCellMar>
      </w:tblPr>
      <w:tblGrid>
        <w:gridCol w:w="1020"/>
        <w:gridCol w:w="3516"/>
        <w:gridCol w:w="3118"/>
        <w:gridCol w:w="1360"/>
      </w:tblGrid>
      <w:tr>
        <w:trPr>
          <w:trHeight w:val="435" w:hRule="atLeast"/>
        </w:trPr>
        <w:tc>
          <w:tcPr>
            <w:tcW w:w="9014" w:type="dxa"/>
            <w:gridSpan w:val="4"/>
            <w:tcBorders>
              <w:top w:val="nil"/>
              <w:left w:val="nil"/>
              <w:bottom w:val="nil"/>
              <w:right w:val="nil"/>
            </w:tcBorders>
            <w:shd w:val="clear" w:color="auto" w:fill="auto"/>
            <w:noWrap/>
            <w:vAlign w:val="center"/>
          </w:tcPr>
          <w:p>
            <w:pPr>
              <w:widowControl/>
              <w:autoSpaceDE/>
              <w:autoSpaceDN/>
              <w:jc w:val="center"/>
              <w:rPr>
                <w:rFonts w:ascii="黑体" w:hAnsi="黑体" w:eastAsia="黑体" w:cs="Arial"/>
                <w:sz w:val="32"/>
                <w:szCs w:val="32"/>
                <w:lang w:eastAsia="zh-CN"/>
              </w:rPr>
            </w:pPr>
            <w:r>
              <w:rPr>
                <w:rFonts w:hint="eastAsia" w:ascii="黑体" w:hAnsi="黑体" w:eastAsia="黑体" w:cs="Arial"/>
                <w:sz w:val="32"/>
                <w:szCs w:val="32"/>
                <w:lang w:eastAsia="zh-CN"/>
              </w:rPr>
              <w:t>技术偏离表</w:t>
            </w: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项目名称</w:t>
            </w:r>
            <w:r>
              <w:rPr>
                <w:rFonts w:cs="Arial" w:asciiTheme="majorEastAsia" w:hAnsiTheme="majorEastAsia" w:eastAsiaTheme="majorEastAsia"/>
                <w:sz w:val="24"/>
                <w:szCs w:val="24"/>
                <w:lang w:eastAsia="zh-CN"/>
              </w:rPr>
              <w:t>:</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发包人</w:t>
            </w:r>
            <w:r>
              <w:rPr>
                <w:rFonts w:cs="Arial" w:asciiTheme="majorEastAsia" w:hAnsiTheme="majorEastAsia" w:eastAsiaTheme="majorEastAsia"/>
                <w:sz w:val="24"/>
                <w:szCs w:val="24"/>
                <w:lang w:eastAsia="zh-CN"/>
              </w:rPr>
              <w:t>:福建福海</w:t>
            </w:r>
            <w:r>
              <w:rPr>
                <w:rFonts w:hint="eastAsia" w:cs="Arial" w:asciiTheme="majorEastAsia" w:hAnsiTheme="majorEastAsia" w:eastAsiaTheme="majorEastAsia"/>
                <w:sz w:val="24"/>
                <w:szCs w:val="24"/>
                <w:lang w:eastAsia="zh-CN"/>
              </w:rPr>
              <w:t>创石油化工有限公司</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请购单号</w:t>
            </w:r>
            <w:r>
              <w:rPr>
                <w:rFonts w:cs="Arial" w:asciiTheme="majorEastAsia" w:hAnsiTheme="majorEastAsia" w:eastAsiaTheme="majorEastAsia"/>
                <w:sz w:val="24"/>
                <w:szCs w:val="24"/>
                <w:lang w:eastAsia="zh-CN"/>
              </w:rPr>
              <w:t>:</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招标文件名称</w:t>
            </w:r>
            <w:r>
              <w:rPr>
                <w:rFonts w:cs="Arial" w:asciiTheme="majorEastAsia" w:hAnsiTheme="majorEastAsia" w:eastAsiaTheme="majorEastAsia"/>
                <w:sz w:val="24"/>
                <w:szCs w:val="24"/>
                <w:lang w:eastAsia="zh-CN"/>
              </w:rPr>
              <w:t>:</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85"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cs="Arial" w:asciiTheme="majorEastAsia" w:hAnsiTheme="majorEastAsia" w:eastAsiaTheme="majorEastAsia"/>
                <w:sz w:val="24"/>
                <w:szCs w:val="24"/>
                <w:lang w:eastAsia="zh-CN"/>
              </w:rPr>
              <w:t>投</w:t>
            </w:r>
            <w:r>
              <w:rPr>
                <w:rFonts w:hint="eastAsia" w:cs="Arial" w:asciiTheme="majorEastAsia" w:hAnsiTheme="majorEastAsia" w:eastAsiaTheme="majorEastAsia"/>
                <w:sz w:val="24"/>
                <w:szCs w:val="24"/>
                <w:lang w:eastAsia="zh-CN"/>
              </w:rPr>
              <w:t>标人</w:t>
            </w:r>
            <w:r>
              <w:rPr>
                <w:rFonts w:cs="Arial" w:asciiTheme="majorEastAsia" w:hAnsiTheme="majorEastAsia" w:eastAsiaTheme="majorEastAsia"/>
                <w:sz w:val="24"/>
                <w:szCs w:val="24"/>
                <w:lang w:eastAsia="zh-CN"/>
              </w:rPr>
              <w:t>:</w:t>
            </w:r>
            <w:r>
              <w:rPr>
                <w:rFonts w:cs="Arial" w:asciiTheme="majorEastAsia" w:hAnsiTheme="majorEastAsia" w:eastAsiaTheme="majorEastAsia"/>
                <w:color w:val="FF0000"/>
                <w:sz w:val="24"/>
                <w:szCs w:val="24"/>
                <w:lang w:eastAsia="zh-CN"/>
              </w:rPr>
              <w:t>XXXXXXXX</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102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序</w:t>
            </w:r>
            <w:r>
              <w:rPr>
                <w:rFonts w:hint="eastAsia" w:cs="Arial"/>
                <w:sz w:val="20"/>
                <w:szCs w:val="20"/>
                <w:lang w:eastAsia="zh-CN"/>
              </w:rPr>
              <w:t>号</w:t>
            </w:r>
          </w:p>
        </w:tc>
        <w:tc>
          <w:tcPr>
            <w:tcW w:w="3516" w:type="dxa"/>
            <w:tcBorders>
              <w:top w:val="single" w:color="auto" w:sz="8" w:space="0"/>
              <w:left w:val="nil"/>
              <w:bottom w:val="single" w:color="auto" w:sz="4" w:space="0"/>
              <w:right w:val="single" w:color="auto" w:sz="4" w:space="0"/>
            </w:tcBorders>
            <w:shd w:val="clear" w:color="auto" w:fill="auto"/>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投</w:t>
            </w:r>
            <w:r>
              <w:rPr>
                <w:rFonts w:hint="eastAsia" w:cs="Arial"/>
                <w:sz w:val="20"/>
                <w:szCs w:val="20"/>
                <w:lang w:eastAsia="zh-CN"/>
              </w:rPr>
              <w:t>标人澄清或背离意见</w:t>
            </w:r>
          </w:p>
        </w:tc>
        <w:tc>
          <w:tcPr>
            <w:tcW w:w="3118" w:type="dxa"/>
            <w:tcBorders>
              <w:top w:val="single" w:color="auto" w:sz="8" w:space="0"/>
              <w:left w:val="nil"/>
              <w:bottom w:val="single" w:color="auto" w:sz="4" w:space="0"/>
              <w:right w:val="single" w:color="auto" w:sz="4" w:space="0"/>
            </w:tcBorders>
            <w:shd w:val="clear" w:color="auto" w:fill="auto"/>
            <w:vAlign w:val="center"/>
          </w:tcPr>
          <w:p>
            <w:pPr>
              <w:widowControl/>
              <w:autoSpaceDE/>
              <w:autoSpaceDN/>
              <w:jc w:val="center"/>
              <w:rPr>
                <w:rFonts w:ascii="Arial" w:hAnsi="Arial" w:cs="Arial"/>
                <w:sz w:val="20"/>
                <w:szCs w:val="20"/>
                <w:lang w:eastAsia="zh-CN"/>
              </w:rPr>
            </w:pPr>
            <w:r>
              <w:rPr>
                <w:rFonts w:hint="eastAsia" w:cs="Arial"/>
                <w:sz w:val="20"/>
                <w:szCs w:val="20"/>
                <w:lang w:eastAsia="zh-CN"/>
              </w:rPr>
              <w:t>发包人</w:t>
            </w:r>
            <w:r>
              <w:rPr>
                <w:rFonts w:ascii="Arial" w:hAnsi="Arial" w:cs="Arial"/>
                <w:sz w:val="20"/>
                <w:szCs w:val="20"/>
                <w:lang w:eastAsia="zh-CN"/>
              </w:rPr>
              <w:t>回</w:t>
            </w:r>
            <w:r>
              <w:rPr>
                <w:rFonts w:hint="eastAsia" w:cs="Arial"/>
                <w:sz w:val="20"/>
                <w:szCs w:val="20"/>
                <w:lang w:eastAsia="zh-CN"/>
              </w:rPr>
              <w:t>复</w:t>
            </w:r>
          </w:p>
        </w:tc>
        <w:tc>
          <w:tcPr>
            <w:tcW w:w="1360" w:type="dxa"/>
            <w:tcBorders>
              <w:top w:val="single" w:color="auto" w:sz="8" w:space="0"/>
              <w:left w:val="nil"/>
              <w:bottom w:val="single" w:color="auto" w:sz="4" w:space="0"/>
              <w:right w:val="single" w:color="auto" w:sz="8" w:space="0"/>
            </w:tcBorders>
            <w:shd w:val="clear" w:color="auto" w:fill="auto"/>
            <w:vAlign w:val="center"/>
          </w:tcPr>
          <w:p>
            <w:pPr>
              <w:widowControl/>
              <w:autoSpaceDE/>
              <w:autoSpaceDN/>
              <w:jc w:val="center"/>
              <w:rPr>
                <w:rFonts w:cs="Arial"/>
                <w:sz w:val="20"/>
                <w:szCs w:val="20"/>
                <w:lang w:eastAsia="zh-CN"/>
              </w:rPr>
            </w:pPr>
            <w:r>
              <w:rPr>
                <w:rFonts w:hint="eastAsia" w:cs="Arial"/>
                <w:sz w:val="20"/>
                <w:szCs w:val="20"/>
                <w:lang w:eastAsia="zh-CN"/>
              </w:rPr>
              <w:t>状态</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w:t>
            </w:r>
          </w:p>
        </w:tc>
        <w:tc>
          <w:tcPr>
            <w:tcW w:w="3516" w:type="dxa"/>
            <w:tcBorders>
              <w:top w:val="nil"/>
              <w:left w:val="nil"/>
              <w:bottom w:val="single" w:color="auto" w:sz="4" w:space="0"/>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nil"/>
              <w:left w:val="nil"/>
              <w:bottom w:val="single" w:color="auto" w:sz="4" w:space="0"/>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nil"/>
              <w:left w:val="nil"/>
              <w:bottom w:val="single" w:color="auto" w:sz="4" w:space="0"/>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2</w:t>
            </w:r>
          </w:p>
        </w:tc>
        <w:tc>
          <w:tcPr>
            <w:tcW w:w="3516" w:type="dxa"/>
            <w:tcBorders>
              <w:top w:val="nil"/>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nil"/>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nil"/>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3</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4</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5</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6</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7</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8</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9</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10</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11</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12</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13</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4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14</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15</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85" w:hRule="atLeast"/>
        </w:trPr>
        <w:tc>
          <w:tcPr>
            <w:tcW w:w="1020" w:type="dxa"/>
            <w:tcBorders>
              <w:top w:val="nil"/>
              <w:left w:val="single" w:color="auto" w:sz="8" w:space="0"/>
              <w:bottom w:val="single" w:color="auto" w:sz="8"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16</w:t>
            </w:r>
          </w:p>
        </w:tc>
        <w:tc>
          <w:tcPr>
            <w:tcW w:w="3516" w:type="dxa"/>
            <w:tcBorders>
              <w:top w:val="single" w:color="auto" w:sz="4" w:space="0"/>
              <w:left w:val="nil"/>
              <w:bottom w:val="single" w:color="auto" w:sz="8" w:space="0"/>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single" w:color="auto" w:sz="8" w:space="0"/>
              <w:right w:val="single" w:color="auto" w:sz="4" w:space="0"/>
            </w:tcBorders>
            <w:shd w:val="clear" w:color="auto" w:fill="auto"/>
            <w:vAlign w:val="center"/>
          </w:tcPr>
          <w:p>
            <w:pPr>
              <w:widowControl/>
              <w:autoSpaceDE/>
              <w:autoSpaceDN/>
              <w:rPr>
                <w:rFonts w:cs="Arial"/>
                <w:sz w:val="20"/>
                <w:szCs w:val="20"/>
                <w:lang w:eastAsia="zh-CN"/>
              </w:rPr>
            </w:pPr>
            <w:r>
              <w:rPr>
                <w:rFonts w:hint="eastAsia" w:cs="Arial"/>
                <w:sz w:val="20"/>
                <w:szCs w:val="20"/>
                <w:lang w:eastAsia="zh-CN"/>
              </w:rPr>
              <w:t>　</w:t>
            </w:r>
          </w:p>
        </w:tc>
        <w:tc>
          <w:tcPr>
            <w:tcW w:w="1360" w:type="dxa"/>
            <w:tcBorders>
              <w:top w:val="single" w:color="auto" w:sz="4" w:space="0"/>
              <w:left w:val="nil"/>
              <w:bottom w:val="single" w:color="auto" w:sz="8" w:space="0"/>
              <w:right w:val="single" w:color="auto" w:sz="8"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810" w:hRule="atLeast"/>
        </w:trPr>
        <w:tc>
          <w:tcPr>
            <w:tcW w:w="1020" w:type="dxa"/>
            <w:tcBorders>
              <w:top w:val="nil"/>
              <w:left w:val="nil"/>
              <w:bottom w:val="nil"/>
              <w:right w:val="nil"/>
            </w:tcBorders>
            <w:shd w:val="clear" w:color="auto" w:fill="auto"/>
            <w:noWrap/>
            <w:vAlign w:val="center"/>
          </w:tcPr>
          <w:p>
            <w:pPr>
              <w:widowControl/>
              <w:autoSpaceDE/>
              <w:autoSpaceDN/>
              <w:rPr>
                <w:rFonts w:ascii="Arial" w:hAnsi="Arial" w:cs="Arial"/>
                <w:sz w:val="24"/>
                <w:szCs w:val="24"/>
                <w:lang w:eastAsia="zh-CN"/>
              </w:rPr>
            </w:pPr>
            <w:r>
              <w:rPr>
                <w:rFonts w:ascii="Arial" w:hAnsi="Arial" w:cs="Arial"/>
                <w:sz w:val="24"/>
                <w:szCs w:val="24"/>
                <w:lang w:eastAsia="zh-CN"/>
              </w:rPr>
              <w:t>注：</w:t>
            </w:r>
          </w:p>
        </w:tc>
        <w:tc>
          <w:tcPr>
            <w:tcW w:w="7994" w:type="dxa"/>
            <w:gridSpan w:val="3"/>
            <w:tcBorders>
              <w:top w:val="nil"/>
              <w:left w:val="nil"/>
              <w:bottom w:val="nil"/>
              <w:right w:val="nil"/>
            </w:tcBorders>
            <w:shd w:val="clear" w:color="auto" w:fill="auto"/>
            <w:vAlign w:val="center"/>
          </w:tcPr>
          <w:p>
            <w:pPr>
              <w:widowControl/>
              <w:autoSpaceDE/>
              <w:autoSpaceDN/>
              <w:rPr>
                <w:rFonts w:ascii="Arial" w:hAnsi="Arial" w:cs="Arial"/>
                <w:sz w:val="24"/>
                <w:szCs w:val="24"/>
                <w:lang w:eastAsia="zh-CN"/>
              </w:rPr>
            </w:pPr>
            <w:r>
              <w:rPr>
                <w:rFonts w:ascii="Arial" w:hAnsi="Arial" w:cs="Arial"/>
                <w:sz w:val="24"/>
                <w:szCs w:val="24"/>
                <w:lang w:eastAsia="zh-CN"/>
              </w:rPr>
              <w:t>若投</w:t>
            </w:r>
            <w:r>
              <w:rPr>
                <w:rFonts w:hint="eastAsia" w:cs="Arial"/>
                <w:sz w:val="24"/>
                <w:szCs w:val="24"/>
                <w:lang w:eastAsia="zh-CN"/>
              </w:rPr>
              <w:t>标人认为无技术偏离，此表应填写声明与发包技术说明无技术偏离，作为技术方案的组成部分，返回发包人。</w:t>
            </w:r>
          </w:p>
        </w:tc>
      </w:tr>
    </w:tbl>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r>
        <w:rPr>
          <w:rFonts w:hint="eastAsia"/>
          <w:sz w:val="24"/>
          <w:szCs w:val="24"/>
          <w:lang w:eastAsia="zh-CN"/>
        </w:rPr>
        <w:t>附件6、</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left="1804" w:leftChars="220" w:hanging="1320" w:hangingChars="55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2021年电力监控系统等级保护测评及安全防护评估与整改加固</w:t>
      </w:r>
      <w:r>
        <w:rPr>
          <w:rFonts w:hint="eastAsia" w:asciiTheme="majorEastAsia" w:hAnsiTheme="majorEastAsia" w:eastAsiaTheme="majorEastAsia"/>
          <w:sz w:val="24"/>
          <w:szCs w:val="24"/>
          <w:u w:val="single"/>
          <w:lang w:eastAsia="zh-CN"/>
        </w:rPr>
        <w:t xml:space="preserve">项目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spacing w:line="360" w:lineRule="auto"/>
        <w:rPr>
          <w:sz w:val="24"/>
          <w:szCs w:val="24"/>
        </w:rPr>
      </w:pPr>
      <w:r>
        <w:rPr>
          <w:rFonts w:hint="eastAsia"/>
        </w:rPr>
        <w:t xml:space="preserve">       </w:t>
      </w:r>
      <w:r>
        <w:rPr>
          <w:rFonts w:hint="eastAsia"/>
          <w:sz w:val="24"/>
          <w:szCs w:val="24"/>
        </w:rPr>
        <w:t>分项报价详见附表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按比选文件内容要求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合同生效后三个月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rPr>
          <w:sz w:val="24"/>
          <w:szCs w:val="24"/>
        </w:rPr>
      </w:pPr>
      <w:r>
        <w:rPr>
          <w:rFonts w:hint="eastAsia"/>
          <w:sz w:val="24"/>
          <w:szCs w:val="24"/>
        </w:rPr>
        <w:t>附表：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423"/>
        <w:gridCol w:w="2192"/>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59" w:type="dxa"/>
            <w:vAlign w:val="center"/>
          </w:tcPr>
          <w:p>
            <w:pPr>
              <w:pStyle w:val="2"/>
              <w:jc w:val="center"/>
              <w:rPr>
                <w:sz w:val="24"/>
                <w:szCs w:val="24"/>
              </w:rPr>
            </w:pPr>
            <w:r>
              <w:rPr>
                <w:rFonts w:hint="eastAsia"/>
                <w:sz w:val="24"/>
                <w:szCs w:val="24"/>
              </w:rPr>
              <w:t>序号</w:t>
            </w:r>
          </w:p>
        </w:tc>
        <w:tc>
          <w:tcPr>
            <w:tcW w:w="3423" w:type="dxa"/>
            <w:vAlign w:val="center"/>
          </w:tcPr>
          <w:p>
            <w:pPr>
              <w:pStyle w:val="2"/>
              <w:jc w:val="center"/>
              <w:rPr>
                <w:sz w:val="24"/>
                <w:szCs w:val="24"/>
              </w:rPr>
            </w:pPr>
            <w:r>
              <w:rPr>
                <w:rFonts w:hint="eastAsia"/>
                <w:sz w:val="24"/>
                <w:szCs w:val="24"/>
              </w:rPr>
              <w:t>内容</w:t>
            </w:r>
          </w:p>
        </w:tc>
        <w:tc>
          <w:tcPr>
            <w:tcW w:w="2192" w:type="dxa"/>
            <w:vAlign w:val="center"/>
          </w:tcPr>
          <w:p>
            <w:pPr>
              <w:pStyle w:val="2"/>
              <w:jc w:val="center"/>
              <w:rPr>
                <w:sz w:val="24"/>
                <w:szCs w:val="24"/>
              </w:rPr>
            </w:pPr>
            <w:r>
              <w:rPr>
                <w:rFonts w:hint="eastAsia"/>
                <w:sz w:val="24"/>
                <w:szCs w:val="24"/>
              </w:rPr>
              <w:t>价格</w:t>
            </w:r>
          </w:p>
        </w:tc>
        <w:tc>
          <w:tcPr>
            <w:tcW w:w="2192" w:type="dxa"/>
            <w:vAlign w:val="center"/>
          </w:tcPr>
          <w:p>
            <w:pPr>
              <w:pStyle w:val="2"/>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59" w:type="dxa"/>
            <w:vAlign w:val="center"/>
          </w:tcPr>
          <w:p>
            <w:pPr>
              <w:pStyle w:val="2"/>
              <w:jc w:val="center"/>
              <w:rPr>
                <w:sz w:val="24"/>
                <w:szCs w:val="24"/>
              </w:rPr>
            </w:pPr>
            <w:r>
              <w:rPr>
                <w:rFonts w:hint="eastAsia"/>
                <w:sz w:val="24"/>
                <w:szCs w:val="24"/>
              </w:rPr>
              <w:t>1</w:t>
            </w:r>
          </w:p>
        </w:tc>
        <w:tc>
          <w:tcPr>
            <w:tcW w:w="3423" w:type="dxa"/>
            <w:vAlign w:val="center"/>
          </w:tcPr>
          <w:p>
            <w:pPr>
              <w:pStyle w:val="2"/>
              <w:jc w:val="center"/>
              <w:rPr>
                <w:sz w:val="24"/>
                <w:szCs w:val="24"/>
              </w:rPr>
            </w:pPr>
            <w:r>
              <w:rPr>
                <w:rFonts w:hint="eastAsia"/>
                <w:sz w:val="24"/>
                <w:szCs w:val="24"/>
              </w:rPr>
              <w:t>等级保护测评及安全防护评估</w:t>
            </w:r>
          </w:p>
        </w:tc>
        <w:tc>
          <w:tcPr>
            <w:tcW w:w="2192" w:type="dxa"/>
            <w:vAlign w:val="center"/>
          </w:tcPr>
          <w:p>
            <w:pPr>
              <w:pStyle w:val="2"/>
              <w:jc w:val="center"/>
              <w:rPr>
                <w:sz w:val="24"/>
                <w:szCs w:val="24"/>
              </w:rPr>
            </w:pPr>
          </w:p>
        </w:tc>
        <w:tc>
          <w:tcPr>
            <w:tcW w:w="219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Align w:val="center"/>
          </w:tcPr>
          <w:p>
            <w:pPr>
              <w:pStyle w:val="2"/>
              <w:jc w:val="center"/>
              <w:rPr>
                <w:sz w:val="24"/>
                <w:szCs w:val="24"/>
              </w:rPr>
            </w:pPr>
            <w:r>
              <w:rPr>
                <w:rFonts w:hint="eastAsia"/>
                <w:sz w:val="24"/>
                <w:szCs w:val="24"/>
              </w:rPr>
              <w:t>2</w:t>
            </w:r>
          </w:p>
        </w:tc>
        <w:tc>
          <w:tcPr>
            <w:tcW w:w="3423" w:type="dxa"/>
            <w:vAlign w:val="center"/>
          </w:tcPr>
          <w:p>
            <w:pPr>
              <w:pStyle w:val="2"/>
              <w:jc w:val="center"/>
              <w:rPr>
                <w:sz w:val="24"/>
                <w:szCs w:val="24"/>
              </w:rPr>
            </w:pPr>
            <w:r>
              <w:rPr>
                <w:rFonts w:hint="eastAsia"/>
                <w:sz w:val="24"/>
                <w:szCs w:val="24"/>
              </w:rPr>
              <w:t>加固及消缺</w:t>
            </w:r>
          </w:p>
        </w:tc>
        <w:tc>
          <w:tcPr>
            <w:tcW w:w="2192" w:type="dxa"/>
            <w:vAlign w:val="center"/>
          </w:tcPr>
          <w:p>
            <w:pPr>
              <w:pStyle w:val="2"/>
              <w:jc w:val="center"/>
              <w:rPr>
                <w:sz w:val="24"/>
                <w:szCs w:val="24"/>
              </w:rPr>
            </w:pPr>
          </w:p>
        </w:tc>
        <w:tc>
          <w:tcPr>
            <w:tcW w:w="2192" w:type="dxa"/>
            <w:vAlign w:val="center"/>
          </w:tcPr>
          <w:p>
            <w:pPr>
              <w:pStyle w:val="2"/>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766" w:type="dxa"/>
            <w:gridSpan w:val="4"/>
            <w:vAlign w:val="center"/>
          </w:tcPr>
          <w:p>
            <w:pPr>
              <w:pStyle w:val="2"/>
              <w:rPr>
                <w:sz w:val="24"/>
                <w:szCs w:val="24"/>
              </w:rPr>
            </w:pPr>
            <w:r>
              <w:rPr>
                <w:rFonts w:hint="eastAsia"/>
                <w:sz w:val="24"/>
                <w:szCs w:val="24"/>
              </w:rPr>
              <w:t xml:space="preserve">           合计：</w:t>
            </w:r>
          </w:p>
        </w:tc>
      </w:tr>
    </w:tbl>
    <w:p>
      <w:pPr>
        <w:pStyle w:val="2"/>
        <w:rPr>
          <w:sz w:val="24"/>
          <w:szCs w:val="24"/>
        </w:rPr>
      </w:pPr>
    </w:p>
    <w:sectPr>
      <w:footerReference r:id="rId12"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7</w:t>
    </w:r>
    <w:r>
      <w:rPr>
        <w:rStyle w:val="32"/>
      </w:rPr>
      <w:fldChar w:fldCharType="end"/>
    </w:r>
  </w:p>
  <w:p>
    <w:pPr>
      <w:pStyle w:val="20"/>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680"/>
      <w:docPartObj>
        <w:docPartGallery w:val="AutoText"/>
      </w:docPartObj>
    </w:sdtPr>
    <w:sdtContent>
      <w:p>
        <w:pPr>
          <w:pStyle w:val="20"/>
          <w:jc w:val="center"/>
        </w:pPr>
        <w:r>
          <w:fldChar w:fldCharType="begin"/>
        </w:r>
        <w:r>
          <w:instrText xml:space="preserve"> PAGE   \* MERGEFORMAT </w:instrText>
        </w:r>
        <w:r>
          <w:fldChar w:fldCharType="separate"/>
        </w:r>
        <w:r>
          <w:rPr>
            <w:lang w:val="zh-CN"/>
          </w:rPr>
          <w:t>31</w:t>
        </w:r>
        <w:r>
          <w:rPr>
            <w:lang w:val="zh-CN"/>
          </w:rPr>
          <w:fldChar w:fldCharType="end"/>
        </w:r>
      </w:p>
    </w:sdtContent>
  </w:sdt>
  <w:p>
    <w:pPr>
      <w:pStyle w:val="13"/>
      <w:spacing w:line="14" w:lineRule="auto"/>
      <w:rPr>
        <w:sz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18"/>
        <w:szCs w:val="18"/>
      </w:rPr>
    </w:pPr>
    <w:r>
      <w:rPr>
        <w:rFonts w:hint="eastAsia"/>
      </w:rPr>
      <w:t xml:space="preserve"> </w:t>
    </w:r>
    <w:r>
      <w:rPr>
        <w:rFonts w:hint="eastAsia"/>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76DBE"/>
    <w:multiLevelType w:val="multilevel"/>
    <w:tmpl w:val="01C76DBE"/>
    <w:lvl w:ilvl="0" w:tentative="0">
      <w:start w:val="1"/>
      <w:numFmt w:val="decimal"/>
      <w:lvlText w:val="%1"/>
      <w:lvlJc w:val="left"/>
      <w:pPr>
        <w:tabs>
          <w:tab w:val="left" w:pos="425"/>
        </w:tabs>
        <w:ind w:left="0" w:firstLine="0"/>
      </w:pPr>
      <w:rPr>
        <w:rFonts w:hint="eastAsia"/>
        <w:sz w:val="24"/>
        <w:szCs w:val="24"/>
      </w:rPr>
    </w:lvl>
    <w:lvl w:ilvl="1" w:tentative="0">
      <w:start w:val="1"/>
      <w:numFmt w:val="decimal"/>
      <w:lvlText w:val="%1.%2"/>
      <w:lvlJc w:val="left"/>
      <w:pPr>
        <w:tabs>
          <w:tab w:val="left" w:pos="567"/>
        </w:tabs>
        <w:ind w:left="567" w:hanging="567"/>
      </w:pPr>
      <w:rPr>
        <w:rFonts w:hint="eastAsia"/>
        <w:sz w:val="24"/>
      </w:rPr>
    </w:lvl>
    <w:lvl w:ilvl="2" w:tentative="0">
      <w:start w:val="1"/>
      <w:numFmt w:val="decimal"/>
      <w:lvlText w:val="%1.%2.%3"/>
      <w:lvlJc w:val="left"/>
      <w:pPr>
        <w:tabs>
          <w:tab w:val="left" w:pos="851"/>
        </w:tabs>
        <w:ind w:left="851" w:hanging="709"/>
      </w:pPr>
      <w:rPr>
        <w:rFonts w:hint="eastAsia"/>
        <w:b w:val="0"/>
        <w:sz w:val="24"/>
        <w:szCs w:val="24"/>
      </w:rPr>
    </w:lvl>
    <w:lvl w:ilvl="3" w:tentative="0">
      <w:start w:val="1"/>
      <w:numFmt w:val="decimal"/>
      <w:lvlText w:val="%1.%2.%3.%4"/>
      <w:lvlJc w:val="left"/>
      <w:pPr>
        <w:tabs>
          <w:tab w:val="left" w:pos="851"/>
        </w:tabs>
        <w:ind w:left="851" w:hanging="851"/>
      </w:pPr>
      <w:rPr>
        <w:rFonts w:hint="default" w:ascii="宋体" w:hAnsi="宋体" w:eastAsia="宋体"/>
        <w:b w:val="0"/>
        <w:i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B820563"/>
    <w:multiLevelType w:val="multilevel"/>
    <w:tmpl w:val="1B820563"/>
    <w:lvl w:ilvl="0" w:tentative="0">
      <w:start w:val="1"/>
      <w:numFmt w:val="decimalEnclosedCircle"/>
      <w:lvlText w:val="%1"/>
      <w:lvlJc w:val="left"/>
      <w:pPr>
        <w:ind w:left="900" w:hanging="420"/>
      </w:pPr>
      <w:rPr>
        <w:rFonts w:hint="default" w:ascii="宋体"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4C5566E"/>
    <w:multiLevelType w:val="multilevel"/>
    <w:tmpl w:val="24C5566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C8E742B"/>
    <w:multiLevelType w:val="multilevel"/>
    <w:tmpl w:val="2C8E742B"/>
    <w:lvl w:ilvl="0" w:tentative="0">
      <w:start w:val="1"/>
      <w:numFmt w:val="bullet"/>
      <w:lvlText w:val=""/>
      <w:lvlJc w:val="left"/>
      <w:pPr>
        <w:tabs>
          <w:tab w:val="left" w:pos="544"/>
        </w:tabs>
        <w:ind w:left="420" w:hanging="420"/>
      </w:pPr>
      <w:rPr>
        <w:rFonts w:hint="default" w:ascii="Wingdings" w:hAnsi="Wingdings"/>
      </w:r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E2C7A62"/>
    <w:multiLevelType w:val="multilevel"/>
    <w:tmpl w:val="2E2C7A62"/>
    <w:lvl w:ilvl="0" w:tentative="0">
      <w:start w:val="1"/>
      <w:numFmt w:val="japaneseCounting"/>
      <w:lvlText w:val="第%1条"/>
      <w:lvlJc w:val="left"/>
      <w:pPr>
        <w:tabs>
          <w:tab w:val="left" w:pos="750"/>
        </w:tabs>
        <w:ind w:left="750" w:hanging="750"/>
      </w:pPr>
      <w:rPr>
        <w:rFonts w:hint="default"/>
      </w:rPr>
    </w:lvl>
    <w:lvl w:ilvl="1" w:tentative="0">
      <w:start w:val="1"/>
      <w:numFmt w:val="decimal"/>
      <w:lvlText w:val="%2."/>
      <w:lvlJc w:val="left"/>
      <w:pPr>
        <w:tabs>
          <w:tab w:val="left" w:pos="420"/>
        </w:tabs>
        <w:ind w:left="420" w:hanging="420"/>
      </w:pPr>
      <w:rPr>
        <w:rFonts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304240D"/>
    <w:multiLevelType w:val="multilevel"/>
    <w:tmpl w:val="430424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9BC7C57"/>
    <w:multiLevelType w:val="multilevel"/>
    <w:tmpl w:val="49BC7C57"/>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BB52D93"/>
    <w:multiLevelType w:val="multilevel"/>
    <w:tmpl w:val="4BB52D93"/>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3F65E21"/>
    <w:multiLevelType w:val="multilevel"/>
    <w:tmpl w:val="53F65E2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6F825FE"/>
    <w:multiLevelType w:val="multilevel"/>
    <w:tmpl w:val="56F825FE"/>
    <w:lvl w:ilvl="0" w:tentative="0">
      <w:start w:val="9"/>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A717BE2"/>
    <w:multiLevelType w:val="multilevel"/>
    <w:tmpl w:val="5A717BE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44F7DCF"/>
    <w:multiLevelType w:val="multilevel"/>
    <w:tmpl w:val="644F7DC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65B6258"/>
    <w:multiLevelType w:val="multilevel"/>
    <w:tmpl w:val="765B6258"/>
    <w:lvl w:ilvl="0" w:tentative="0">
      <w:start w:val="1"/>
      <w:numFmt w:val="japaneseCounting"/>
      <w:lvlText w:val="%1、"/>
      <w:lvlJc w:val="left"/>
      <w:pPr>
        <w:ind w:left="956" w:hanging="720"/>
      </w:pPr>
      <w:rPr>
        <w:rFonts w:hint="default"/>
      </w:rPr>
    </w:lvl>
    <w:lvl w:ilvl="1" w:tentative="0">
      <w:start w:val="1"/>
      <w:numFmt w:val="lowerLetter"/>
      <w:lvlText w:val="%2)"/>
      <w:lvlJc w:val="left"/>
      <w:pPr>
        <w:ind w:left="1076" w:hanging="420"/>
      </w:pPr>
    </w:lvl>
    <w:lvl w:ilvl="2" w:tentative="0">
      <w:start w:val="1"/>
      <w:numFmt w:val="lowerRoman"/>
      <w:lvlText w:val="%3."/>
      <w:lvlJc w:val="right"/>
      <w:pPr>
        <w:ind w:left="1496" w:hanging="420"/>
      </w:pPr>
    </w:lvl>
    <w:lvl w:ilvl="3" w:tentative="0">
      <w:start w:val="1"/>
      <w:numFmt w:val="decimal"/>
      <w:lvlText w:val="%4."/>
      <w:lvlJc w:val="left"/>
      <w:pPr>
        <w:ind w:left="1916" w:hanging="420"/>
      </w:pPr>
    </w:lvl>
    <w:lvl w:ilvl="4" w:tentative="0">
      <w:start w:val="1"/>
      <w:numFmt w:val="lowerLetter"/>
      <w:lvlText w:val="%5)"/>
      <w:lvlJc w:val="left"/>
      <w:pPr>
        <w:ind w:left="2336" w:hanging="420"/>
      </w:pPr>
    </w:lvl>
    <w:lvl w:ilvl="5" w:tentative="0">
      <w:start w:val="1"/>
      <w:numFmt w:val="lowerRoman"/>
      <w:lvlText w:val="%6."/>
      <w:lvlJc w:val="right"/>
      <w:pPr>
        <w:ind w:left="2756" w:hanging="420"/>
      </w:pPr>
    </w:lvl>
    <w:lvl w:ilvl="6" w:tentative="0">
      <w:start w:val="1"/>
      <w:numFmt w:val="decimal"/>
      <w:lvlText w:val="%7."/>
      <w:lvlJc w:val="left"/>
      <w:pPr>
        <w:ind w:left="3176" w:hanging="420"/>
      </w:pPr>
    </w:lvl>
    <w:lvl w:ilvl="7" w:tentative="0">
      <w:start w:val="1"/>
      <w:numFmt w:val="lowerLetter"/>
      <w:lvlText w:val="%8)"/>
      <w:lvlJc w:val="left"/>
      <w:pPr>
        <w:ind w:left="3596" w:hanging="420"/>
      </w:pPr>
    </w:lvl>
    <w:lvl w:ilvl="8" w:tentative="0">
      <w:start w:val="1"/>
      <w:numFmt w:val="lowerRoman"/>
      <w:lvlText w:val="%9."/>
      <w:lvlJc w:val="right"/>
      <w:pPr>
        <w:ind w:left="4016" w:hanging="420"/>
      </w:pPr>
    </w:lvl>
  </w:abstractNum>
  <w:abstractNum w:abstractNumId="16">
    <w:nsid w:val="7BFD7F0E"/>
    <w:multiLevelType w:val="multilevel"/>
    <w:tmpl w:val="7BFD7F0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7EBA793F"/>
    <w:multiLevelType w:val="multilevel"/>
    <w:tmpl w:val="7EBA793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num>
  <w:num w:numId="2">
    <w:abstractNumId w:val="1"/>
  </w:num>
  <w:num w:numId="3">
    <w:abstractNumId w:val="3"/>
  </w:num>
  <w:num w:numId="4">
    <w:abstractNumId w:val="2"/>
  </w:num>
  <w:num w:numId="5">
    <w:abstractNumId w:val="10"/>
  </w:num>
  <w:num w:numId="6">
    <w:abstractNumId w:val="11"/>
  </w:num>
  <w:num w:numId="7">
    <w:abstractNumId w:val="0"/>
  </w:num>
  <w:num w:numId="8">
    <w:abstractNumId w:val="6"/>
  </w:num>
  <w:num w:numId="9">
    <w:abstractNumId w:val="9"/>
  </w:num>
  <w:num w:numId="10">
    <w:abstractNumId w:val="4"/>
  </w:num>
  <w:num w:numId="11">
    <w:abstractNumId w:val="16"/>
  </w:num>
  <w:num w:numId="12">
    <w:abstractNumId w:val="7"/>
  </w:num>
  <w:num w:numId="13">
    <w:abstractNumId w:val="13"/>
  </w:num>
  <w:num w:numId="14">
    <w:abstractNumId w:val="14"/>
  </w:num>
  <w:num w:numId="15">
    <w:abstractNumId w:val="8"/>
  </w:num>
  <w:num w:numId="16">
    <w:abstractNumId w:val="17"/>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E0E"/>
    <w:rsid w:val="000202CA"/>
    <w:rsid w:val="00020B9A"/>
    <w:rsid w:val="00020CC3"/>
    <w:rsid w:val="00021B5D"/>
    <w:rsid w:val="00023EC0"/>
    <w:rsid w:val="00025944"/>
    <w:rsid w:val="00026E62"/>
    <w:rsid w:val="00030A03"/>
    <w:rsid w:val="00031725"/>
    <w:rsid w:val="000323A3"/>
    <w:rsid w:val="00041330"/>
    <w:rsid w:val="00053167"/>
    <w:rsid w:val="000539A9"/>
    <w:rsid w:val="000566C1"/>
    <w:rsid w:val="000574D8"/>
    <w:rsid w:val="00057B80"/>
    <w:rsid w:val="00061920"/>
    <w:rsid w:val="00065211"/>
    <w:rsid w:val="0007163D"/>
    <w:rsid w:val="00074021"/>
    <w:rsid w:val="00077B9D"/>
    <w:rsid w:val="00082CB7"/>
    <w:rsid w:val="00083424"/>
    <w:rsid w:val="00083E6F"/>
    <w:rsid w:val="00092A16"/>
    <w:rsid w:val="00094E76"/>
    <w:rsid w:val="000978A0"/>
    <w:rsid w:val="000A3EC0"/>
    <w:rsid w:val="000A7610"/>
    <w:rsid w:val="000A790C"/>
    <w:rsid w:val="000B32D4"/>
    <w:rsid w:val="000C072B"/>
    <w:rsid w:val="000C1165"/>
    <w:rsid w:val="000C300F"/>
    <w:rsid w:val="000C5F12"/>
    <w:rsid w:val="000C64A8"/>
    <w:rsid w:val="000D11B0"/>
    <w:rsid w:val="000E01DA"/>
    <w:rsid w:val="000E3D99"/>
    <w:rsid w:val="000E6345"/>
    <w:rsid w:val="000E76E8"/>
    <w:rsid w:val="000F1F09"/>
    <w:rsid w:val="000F58B5"/>
    <w:rsid w:val="00100B1C"/>
    <w:rsid w:val="00102DE0"/>
    <w:rsid w:val="001030CD"/>
    <w:rsid w:val="00103250"/>
    <w:rsid w:val="001116F7"/>
    <w:rsid w:val="001150E8"/>
    <w:rsid w:val="0012227C"/>
    <w:rsid w:val="00125F3E"/>
    <w:rsid w:val="00126497"/>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D5F"/>
    <w:rsid w:val="00160F2B"/>
    <w:rsid w:val="00162385"/>
    <w:rsid w:val="0016313A"/>
    <w:rsid w:val="00164AD8"/>
    <w:rsid w:val="001714D2"/>
    <w:rsid w:val="00173025"/>
    <w:rsid w:val="00174168"/>
    <w:rsid w:val="00174EC0"/>
    <w:rsid w:val="00177533"/>
    <w:rsid w:val="00180783"/>
    <w:rsid w:val="0018226E"/>
    <w:rsid w:val="0018241B"/>
    <w:rsid w:val="00187E02"/>
    <w:rsid w:val="00192B7D"/>
    <w:rsid w:val="00193817"/>
    <w:rsid w:val="00195099"/>
    <w:rsid w:val="001A36B1"/>
    <w:rsid w:val="001A49C9"/>
    <w:rsid w:val="001A7C6F"/>
    <w:rsid w:val="001B4666"/>
    <w:rsid w:val="001B5F95"/>
    <w:rsid w:val="001B698B"/>
    <w:rsid w:val="001C430C"/>
    <w:rsid w:val="001D129E"/>
    <w:rsid w:val="001D16B9"/>
    <w:rsid w:val="001D7B51"/>
    <w:rsid w:val="001E058A"/>
    <w:rsid w:val="001E0831"/>
    <w:rsid w:val="001E7BAD"/>
    <w:rsid w:val="001F29F9"/>
    <w:rsid w:val="001F6DCE"/>
    <w:rsid w:val="00205007"/>
    <w:rsid w:val="00206E34"/>
    <w:rsid w:val="0021338D"/>
    <w:rsid w:val="0021431D"/>
    <w:rsid w:val="00222516"/>
    <w:rsid w:val="00226C0B"/>
    <w:rsid w:val="0022716A"/>
    <w:rsid w:val="00227556"/>
    <w:rsid w:val="0023436A"/>
    <w:rsid w:val="00235A02"/>
    <w:rsid w:val="00240610"/>
    <w:rsid w:val="00240817"/>
    <w:rsid w:val="002432A4"/>
    <w:rsid w:val="00243784"/>
    <w:rsid w:val="0025090F"/>
    <w:rsid w:val="00255354"/>
    <w:rsid w:val="00255631"/>
    <w:rsid w:val="00260E35"/>
    <w:rsid w:val="00261F6C"/>
    <w:rsid w:val="0027713E"/>
    <w:rsid w:val="0028289E"/>
    <w:rsid w:val="00283E18"/>
    <w:rsid w:val="0028469F"/>
    <w:rsid w:val="0028558B"/>
    <w:rsid w:val="00285A20"/>
    <w:rsid w:val="00295585"/>
    <w:rsid w:val="002A0C8B"/>
    <w:rsid w:val="002B07A9"/>
    <w:rsid w:val="002B0A06"/>
    <w:rsid w:val="002B49F0"/>
    <w:rsid w:val="002C18CA"/>
    <w:rsid w:val="002C2748"/>
    <w:rsid w:val="002C4DB4"/>
    <w:rsid w:val="002D1DAE"/>
    <w:rsid w:val="002D22FB"/>
    <w:rsid w:val="002D2646"/>
    <w:rsid w:val="002D7819"/>
    <w:rsid w:val="002E0359"/>
    <w:rsid w:val="002E1E41"/>
    <w:rsid w:val="002E210C"/>
    <w:rsid w:val="002E35CC"/>
    <w:rsid w:val="002E6ED4"/>
    <w:rsid w:val="002F0FE0"/>
    <w:rsid w:val="002F17B5"/>
    <w:rsid w:val="003003A1"/>
    <w:rsid w:val="003006BA"/>
    <w:rsid w:val="003045A7"/>
    <w:rsid w:val="003218EF"/>
    <w:rsid w:val="00322549"/>
    <w:rsid w:val="00323A48"/>
    <w:rsid w:val="00333E2A"/>
    <w:rsid w:val="003352AA"/>
    <w:rsid w:val="0034037A"/>
    <w:rsid w:val="00342D1B"/>
    <w:rsid w:val="00353DDB"/>
    <w:rsid w:val="00353FD4"/>
    <w:rsid w:val="00361ABB"/>
    <w:rsid w:val="0036456D"/>
    <w:rsid w:val="00365AFE"/>
    <w:rsid w:val="00367B55"/>
    <w:rsid w:val="00371CA0"/>
    <w:rsid w:val="00372FA5"/>
    <w:rsid w:val="00390950"/>
    <w:rsid w:val="003914FA"/>
    <w:rsid w:val="00392AAD"/>
    <w:rsid w:val="003A1FDF"/>
    <w:rsid w:val="003A256E"/>
    <w:rsid w:val="003A327F"/>
    <w:rsid w:val="003A57FC"/>
    <w:rsid w:val="003B2BCD"/>
    <w:rsid w:val="003B2D77"/>
    <w:rsid w:val="003B3BF2"/>
    <w:rsid w:val="003B4363"/>
    <w:rsid w:val="003B57B9"/>
    <w:rsid w:val="003B6081"/>
    <w:rsid w:val="003D2806"/>
    <w:rsid w:val="003D77B7"/>
    <w:rsid w:val="003F1446"/>
    <w:rsid w:val="003F1FAC"/>
    <w:rsid w:val="003F7C2E"/>
    <w:rsid w:val="0040273C"/>
    <w:rsid w:val="00403AFA"/>
    <w:rsid w:val="0040417A"/>
    <w:rsid w:val="00404C11"/>
    <w:rsid w:val="0040778F"/>
    <w:rsid w:val="00423584"/>
    <w:rsid w:val="0043796A"/>
    <w:rsid w:val="0044287E"/>
    <w:rsid w:val="00446F80"/>
    <w:rsid w:val="004508A4"/>
    <w:rsid w:val="00453EA6"/>
    <w:rsid w:val="0045672D"/>
    <w:rsid w:val="004611B5"/>
    <w:rsid w:val="00464030"/>
    <w:rsid w:val="00471E39"/>
    <w:rsid w:val="0047282D"/>
    <w:rsid w:val="00474FAE"/>
    <w:rsid w:val="004763D4"/>
    <w:rsid w:val="00477E26"/>
    <w:rsid w:val="0048261B"/>
    <w:rsid w:val="00482B42"/>
    <w:rsid w:val="004835AF"/>
    <w:rsid w:val="00484A33"/>
    <w:rsid w:val="004919EE"/>
    <w:rsid w:val="0049286C"/>
    <w:rsid w:val="00497CEA"/>
    <w:rsid w:val="004A2A3A"/>
    <w:rsid w:val="004A4779"/>
    <w:rsid w:val="004A68E8"/>
    <w:rsid w:val="004A6E67"/>
    <w:rsid w:val="004B4A9E"/>
    <w:rsid w:val="004C20FD"/>
    <w:rsid w:val="004C3761"/>
    <w:rsid w:val="004C4941"/>
    <w:rsid w:val="004D1023"/>
    <w:rsid w:val="004D16FD"/>
    <w:rsid w:val="004D2C58"/>
    <w:rsid w:val="004D7D03"/>
    <w:rsid w:val="004E0E75"/>
    <w:rsid w:val="004F5E72"/>
    <w:rsid w:val="0050268E"/>
    <w:rsid w:val="00502ADE"/>
    <w:rsid w:val="00503354"/>
    <w:rsid w:val="00510E9C"/>
    <w:rsid w:val="00513B86"/>
    <w:rsid w:val="00524492"/>
    <w:rsid w:val="005257EA"/>
    <w:rsid w:val="00533859"/>
    <w:rsid w:val="0053396C"/>
    <w:rsid w:val="00533D5B"/>
    <w:rsid w:val="005353A9"/>
    <w:rsid w:val="00540F71"/>
    <w:rsid w:val="0054734D"/>
    <w:rsid w:val="00551549"/>
    <w:rsid w:val="00552E4D"/>
    <w:rsid w:val="00553ED7"/>
    <w:rsid w:val="00555319"/>
    <w:rsid w:val="005577D4"/>
    <w:rsid w:val="00564B7F"/>
    <w:rsid w:val="00567846"/>
    <w:rsid w:val="005722E9"/>
    <w:rsid w:val="005829E2"/>
    <w:rsid w:val="0058459A"/>
    <w:rsid w:val="00593270"/>
    <w:rsid w:val="00593EAB"/>
    <w:rsid w:val="00595392"/>
    <w:rsid w:val="00595F8F"/>
    <w:rsid w:val="005A267F"/>
    <w:rsid w:val="005A4B0B"/>
    <w:rsid w:val="005A7BB0"/>
    <w:rsid w:val="005B104C"/>
    <w:rsid w:val="005B35AA"/>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E7CDE"/>
    <w:rsid w:val="005F2E5C"/>
    <w:rsid w:val="005F5FA0"/>
    <w:rsid w:val="005F63E8"/>
    <w:rsid w:val="00601441"/>
    <w:rsid w:val="0060334B"/>
    <w:rsid w:val="00605BBD"/>
    <w:rsid w:val="006103A6"/>
    <w:rsid w:val="00610D2B"/>
    <w:rsid w:val="00611B03"/>
    <w:rsid w:val="006127B7"/>
    <w:rsid w:val="00612F3E"/>
    <w:rsid w:val="00614725"/>
    <w:rsid w:val="00623250"/>
    <w:rsid w:val="006243F4"/>
    <w:rsid w:val="00624785"/>
    <w:rsid w:val="006259C8"/>
    <w:rsid w:val="00627058"/>
    <w:rsid w:val="00627167"/>
    <w:rsid w:val="0063408F"/>
    <w:rsid w:val="00636ABF"/>
    <w:rsid w:val="00637987"/>
    <w:rsid w:val="00637A05"/>
    <w:rsid w:val="006414EB"/>
    <w:rsid w:val="00641EFE"/>
    <w:rsid w:val="0064240F"/>
    <w:rsid w:val="006442C1"/>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31FC"/>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36F01"/>
    <w:rsid w:val="00740A47"/>
    <w:rsid w:val="007425A4"/>
    <w:rsid w:val="00742673"/>
    <w:rsid w:val="007470A4"/>
    <w:rsid w:val="00751740"/>
    <w:rsid w:val="00752CBC"/>
    <w:rsid w:val="00754486"/>
    <w:rsid w:val="007563C8"/>
    <w:rsid w:val="007626D4"/>
    <w:rsid w:val="007627D8"/>
    <w:rsid w:val="007646B1"/>
    <w:rsid w:val="00764844"/>
    <w:rsid w:val="0077094C"/>
    <w:rsid w:val="007760C7"/>
    <w:rsid w:val="007868C2"/>
    <w:rsid w:val="0078787D"/>
    <w:rsid w:val="0079099E"/>
    <w:rsid w:val="0079541F"/>
    <w:rsid w:val="007A0629"/>
    <w:rsid w:val="007A3950"/>
    <w:rsid w:val="007A7888"/>
    <w:rsid w:val="007B6C5D"/>
    <w:rsid w:val="007C402C"/>
    <w:rsid w:val="007C43CE"/>
    <w:rsid w:val="007C5BFE"/>
    <w:rsid w:val="007D1BC9"/>
    <w:rsid w:val="007D4407"/>
    <w:rsid w:val="007D7C61"/>
    <w:rsid w:val="007E72C8"/>
    <w:rsid w:val="007F139C"/>
    <w:rsid w:val="007F37A6"/>
    <w:rsid w:val="007F5584"/>
    <w:rsid w:val="0080002D"/>
    <w:rsid w:val="00800D6E"/>
    <w:rsid w:val="00801C81"/>
    <w:rsid w:val="00805348"/>
    <w:rsid w:val="0080561F"/>
    <w:rsid w:val="00807905"/>
    <w:rsid w:val="0081139D"/>
    <w:rsid w:val="008148FE"/>
    <w:rsid w:val="00815E73"/>
    <w:rsid w:val="00820E36"/>
    <w:rsid w:val="00831E2E"/>
    <w:rsid w:val="0083503E"/>
    <w:rsid w:val="00837C7C"/>
    <w:rsid w:val="0084094D"/>
    <w:rsid w:val="008427A4"/>
    <w:rsid w:val="00842866"/>
    <w:rsid w:val="00844CFA"/>
    <w:rsid w:val="008465E3"/>
    <w:rsid w:val="00853DDB"/>
    <w:rsid w:val="0086319F"/>
    <w:rsid w:val="00872E5F"/>
    <w:rsid w:val="008736F1"/>
    <w:rsid w:val="008769E8"/>
    <w:rsid w:val="00884265"/>
    <w:rsid w:val="00884873"/>
    <w:rsid w:val="00886356"/>
    <w:rsid w:val="00892302"/>
    <w:rsid w:val="00896532"/>
    <w:rsid w:val="00897CED"/>
    <w:rsid w:val="008A4205"/>
    <w:rsid w:val="008A5545"/>
    <w:rsid w:val="008B177E"/>
    <w:rsid w:val="008C06B2"/>
    <w:rsid w:val="008C0A12"/>
    <w:rsid w:val="008C21B5"/>
    <w:rsid w:val="008C488E"/>
    <w:rsid w:val="008D05C7"/>
    <w:rsid w:val="008D4C06"/>
    <w:rsid w:val="008D7465"/>
    <w:rsid w:val="008E1DB0"/>
    <w:rsid w:val="008E30D8"/>
    <w:rsid w:val="008F1C5D"/>
    <w:rsid w:val="008F47A3"/>
    <w:rsid w:val="008F6946"/>
    <w:rsid w:val="00901C7B"/>
    <w:rsid w:val="00902CEE"/>
    <w:rsid w:val="0090301E"/>
    <w:rsid w:val="00903F42"/>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3422"/>
    <w:rsid w:val="0098443A"/>
    <w:rsid w:val="00986A43"/>
    <w:rsid w:val="00995671"/>
    <w:rsid w:val="009A0766"/>
    <w:rsid w:val="009A106C"/>
    <w:rsid w:val="009A7E31"/>
    <w:rsid w:val="009B30BD"/>
    <w:rsid w:val="009B3333"/>
    <w:rsid w:val="009B34E7"/>
    <w:rsid w:val="009C38B3"/>
    <w:rsid w:val="009C3BE2"/>
    <w:rsid w:val="009C76EB"/>
    <w:rsid w:val="009D510E"/>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2D72"/>
    <w:rsid w:val="00A536A6"/>
    <w:rsid w:val="00A54181"/>
    <w:rsid w:val="00A545E8"/>
    <w:rsid w:val="00A54A9D"/>
    <w:rsid w:val="00A638CC"/>
    <w:rsid w:val="00A66C05"/>
    <w:rsid w:val="00A72D69"/>
    <w:rsid w:val="00A7709F"/>
    <w:rsid w:val="00A77229"/>
    <w:rsid w:val="00A81C9C"/>
    <w:rsid w:val="00A84167"/>
    <w:rsid w:val="00A86721"/>
    <w:rsid w:val="00A867E8"/>
    <w:rsid w:val="00A95FB8"/>
    <w:rsid w:val="00A9710D"/>
    <w:rsid w:val="00A976BF"/>
    <w:rsid w:val="00A97D0E"/>
    <w:rsid w:val="00AA062F"/>
    <w:rsid w:val="00AA6D81"/>
    <w:rsid w:val="00AB798A"/>
    <w:rsid w:val="00AC019C"/>
    <w:rsid w:val="00AC268C"/>
    <w:rsid w:val="00AE0225"/>
    <w:rsid w:val="00AE058E"/>
    <w:rsid w:val="00AE14F2"/>
    <w:rsid w:val="00AE2C37"/>
    <w:rsid w:val="00AE4B95"/>
    <w:rsid w:val="00AE4FD5"/>
    <w:rsid w:val="00AE5ABC"/>
    <w:rsid w:val="00AE5AF2"/>
    <w:rsid w:val="00AE67BB"/>
    <w:rsid w:val="00AF2AD1"/>
    <w:rsid w:val="00AF4539"/>
    <w:rsid w:val="00B002FC"/>
    <w:rsid w:val="00B01CF2"/>
    <w:rsid w:val="00B0216E"/>
    <w:rsid w:val="00B02339"/>
    <w:rsid w:val="00B065F7"/>
    <w:rsid w:val="00B152CD"/>
    <w:rsid w:val="00B15FF6"/>
    <w:rsid w:val="00B20863"/>
    <w:rsid w:val="00B26192"/>
    <w:rsid w:val="00B2697D"/>
    <w:rsid w:val="00B27085"/>
    <w:rsid w:val="00B307F2"/>
    <w:rsid w:val="00B37788"/>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4F19"/>
    <w:rsid w:val="00B85CDD"/>
    <w:rsid w:val="00B905D2"/>
    <w:rsid w:val="00B92675"/>
    <w:rsid w:val="00B93FAE"/>
    <w:rsid w:val="00B966DA"/>
    <w:rsid w:val="00BA0122"/>
    <w:rsid w:val="00BA29FE"/>
    <w:rsid w:val="00BA2A75"/>
    <w:rsid w:val="00BA5558"/>
    <w:rsid w:val="00BB01F8"/>
    <w:rsid w:val="00BB1EFB"/>
    <w:rsid w:val="00BB5C37"/>
    <w:rsid w:val="00BC0D36"/>
    <w:rsid w:val="00BC0FE8"/>
    <w:rsid w:val="00BC45B8"/>
    <w:rsid w:val="00BC7345"/>
    <w:rsid w:val="00BD15B7"/>
    <w:rsid w:val="00BD3682"/>
    <w:rsid w:val="00BD562D"/>
    <w:rsid w:val="00BD6FA3"/>
    <w:rsid w:val="00BD79B1"/>
    <w:rsid w:val="00BE1744"/>
    <w:rsid w:val="00BE3E4E"/>
    <w:rsid w:val="00BE5D83"/>
    <w:rsid w:val="00BF301A"/>
    <w:rsid w:val="00BF41E6"/>
    <w:rsid w:val="00BF42DC"/>
    <w:rsid w:val="00BF5ECE"/>
    <w:rsid w:val="00BF68B8"/>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555D"/>
    <w:rsid w:val="00C37CA6"/>
    <w:rsid w:val="00C42299"/>
    <w:rsid w:val="00C5640F"/>
    <w:rsid w:val="00C60594"/>
    <w:rsid w:val="00C61DB8"/>
    <w:rsid w:val="00C73BF4"/>
    <w:rsid w:val="00C74C62"/>
    <w:rsid w:val="00C81B27"/>
    <w:rsid w:val="00C845B7"/>
    <w:rsid w:val="00C8684E"/>
    <w:rsid w:val="00C900D2"/>
    <w:rsid w:val="00C929E9"/>
    <w:rsid w:val="00C97478"/>
    <w:rsid w:val="00CA1DD5"/>
    <w:rsid w:val="00CA2C40"/>
    <w:rsid w:val="00CB13B4"/>
    <w:rsid w:val="00CB2215"/>
    <w:rsid w:val="00CB2E01"/>
    <w:rsid w:val="00CB41BE"/>
    <w:rsid w:val="00CE1050"/>
    <w:rsid w:val="00CE26A2"/>
    <w:rsid w:val="00CE30D9"/>
    <w:rsid w:val="00CE495C"/>
    <w:rsid w:val="00CF2260"/>
    <w:rsid w:val="00CF22A0"/>
    <w:rsid w:val="00CF414E"/>
    <w:rsid w:val="00CF6340"/>
    <w:rsid w:val="00D070CB"/>
    <w:rsid w:val="00D13CD0"/>
    <w:rsid w:val="00D15F34"/>
    <w:rsid w:val="00D17E3D"/>
    <w:rsid w:val="00D227E9"/>
    <w:rsid w:val="00D239A4"/>
    <w:rsid w:val="00D252B3"/>
    <w:rsid w:val="00D43086"/>
    <w:rsid w:val="00D461AC"/>
    <w:rsid w:val="00D56426"/>
    <w:rsid w:val="00D56CA5"/>
    <w:rsid w:val="00D71AF2"/>
    <w:rsid w:val="00D735D2"/>
    <w:rsid w:val="00D7448B"/>
    <w:rsid w:val="00D749CB"/>
    <w:rsid w:val="00D74CF8"/>
    <w:rsid w:val="00D809BD"/>
    <w:rsid w:val="00D80BF3"/>
    <w:rsid w:val="00D8165C"/>
    <w:rsid w:val="00D81A23"/>
    <w:rsid w:val="00D84374"/>
    <w:rsid w:val="00D844C1"/>
    <w:rsid w:val="00D856F2"/>
    <w:rsid w:val="00D947D8"/>
    <w:rsid w:val="00D95908"/>
    <w:rsid w:val="00D97E3F"/>
    <w:rsid w:val="00DA72F8"/>
    <w:rsid w:val="00DA7DE4"/>
    <w:rsid w:val="00DB33D7"/>
    <w:rsid w:val="00DB4A46"/>
    <w:rsid w:val="00DB6325"/>
    <w:rsid w:val="00DC3284"/>
    <w:rsid w:val="00DC3D8A"/>
    <w:rsid w:val="00DC4D44"/>
    <w:rsid w:val="00DC5A96"/>
    <w:rsid w:val="00DC61B1"/>
    <w:rsid w:val="00DD56C2"/>
    <w:rsid w:val="00DD7B9C"/>
    <w:rsid w:val="00DE03E2"/>
    <w:rsid w:val="00DE1405"/>
    <w:rsid w:val="00DE1C6C"/>
    <w:rsid w:val="00DE3EFC"/>
    <w:rsid w:val="00DE5602"/>
    <w:rsid w:val="00DE5C71"/>
    <w:rsid w:val="00DE6B27"/>
    <w:rsid w:val="00DE7F98"/>
    <w:rsid w:val="00DF1C4F"/>
    <w:rsid w:val="00E02A34"/>
    <w:rsid w:val="00E05270"/>
    <w:rsid w:val="00E056F8"/>
    <w:rsid w:val="00E10FA5"/>
    <w:rsid w:val="00E228C6"/>
    <w:rsid w:val="00E2472F"/>
    <w:rsid w:val="00E272E1"/>
    <w:rsid w:val="00E33712"/>
    <w:rsid w:val="00E33D57"/>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A5FC7"/>
    <w:rsid w:val="00EB04FA"/>
    <w:rsid w:val="00EB2E58"/>
    <w:rsid w:val="00EB672A"/>
    <w:rsid w:val="00EC6214"/>
    <w:rsid w:val="00ED0D7F"/>
    <w:rsid w:val="00ED0EB7"/>
    <w:rsid w:val="00ED4054"/>
    <w:rsid w:val="00ED63E2"/>
    <w:rsid w:val="00ED6A31"/>
    <w:rsid w:val="00ED7768"/>
    <w:rsid w:val="00EE0686"/>
    <w:rsid w:val="00EE2B7C"/>
    <w:rsid w:val="00EE735B"/>
    <w:rsid w:val="00EF0F5B"/>
    <w:rsid w:val="00EF5DFE"/>
    <w:rsid w:val="00F03A3C"/>
    <w:rsid w:val="00F060A9"/>
    <w:rsid w:val="00F06CFC"/>
    <w:rsid w:val="00F14430"/>
    <w:rsid w:val="00F1620A"/>
    <w:rsid w:val="00F168E1"/>
    <w:rsid w:val="00F16B50"/>
    <w:rsid w:val="00F22F56"/>
    <w:rsid w:val="00F242D6"/>
    <w:rsid w:val="00F25655"/>
    <w:rsid w:val="00F30027"/>
    <w:rsid w:val="00F309F3"/>
    <w:rsid w:val="00F3123B"/>
    <w:rsid w:val="00F355D1"/>
    <w:rsid w:val="00F415AE"/>
    <w:rsid w:val="00F426CE"/>
    <w:rsid w:val="00F42B7B"/>
    <w:rsid w:val="00F443A8"/>
    <w:rsid w:val="00F56134"/>
    <w:rsid w:val="00F60757"/>
    <w:rsid w:val="00F62379"/>
    <w:rsid w:val="00F6274B"/>
    <w:rsid w:val="00F64067"/>
    <w:rsid w:val="00F6409E"/>
    <w:rsid w:val="00F7405E"/>
    <w:rsid w:val="00F766F8"/>
    <w:rsid w:val="00F80742"/>
    <w:rsid w:val="00F81AA8"/>
    <w:rsid w:val="00F81DC8"/>
    <w:rsid w:val="00F86A99"/>
    <w:rsid w:val="00F86B1A"/>
    <w:rsid w:val="00F904FF"/>
    <w:rsid w:val="00F97E24"/>
    <w:rsid w:val="00FA00FA"/>
    <w:rsid w:val="00FA187E"/>
    <w:rsid w:val="00FA3B06"/>
    <w:rsid w:val="00FA5E9F"/>
    <w:rsid w:val="00FA7EF2"/>
    <w:rsid w:val="00FB093C"/>
    <w:rsid w:val="00FB2BDE"/>
    <w:rsid w:val="00FB3167"/>
    <w:rsid w:val="00FB446A"/>
    <w:rsid w:val="00FB4B2B"/>
    <w:rsid w:val="00FB52E3"/>
    <w:rsid w:val="00FC0F19"/>
    <w:rsid w:val="00FC2CF1"/>
    <w:rsid w:val="00FC4D4F"/>
    <w:rsid w:val="00FD2FD3"/>
    <w:rsid w:val="00FD31B4"/>
    <w:rsid w:val="00FD5BEF"/>
    <w:rsid w:val="00FE0EA3"/>
    <w:rsid w:val="00FE775B"/>
    <w:rsid w:val="00FF2258"/>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3970272"/>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78"/>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qFormat/>
    <w:uiPriority w:val="0"/>
    <w:pPr>
      <w:ind w:left="2520" w:leftChars="1200"/>
    </w:pPr>
  </w:style>
  <w:style w:type="paragraph" w:styleId="8">
    <w:name w:val="Normal Indent"/>
    <w:basedOn w:val="1"/>
    <w:next w:val="9"/>
    <w:link w:val="77"/>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qFormat/>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qFormat/>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qFormat/>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1"/>
    <w:rPr>
      <w:sz w:val="24"/>
      <w:szCs w:val="24"/>
    </w:rPr>
  </w:style>
  <w:style w:type="paragraph" w:styleId="14">
    <w:name w:val="Body Text Indent"/>
    <w:basedOn w:val="1"/>
    <w:link w:val="59"/>
    <w:qFormat/>
    <w:uiPriority w:val="0"/>
    <w:pPr>
      <w:spacing w:after="120"/>
      <w:ind w:left="420" w:leftChars="200"/>
    </w:pPr>
  </w:style>
  <w:style w:type="paragraph" w:styleId="15">
    <w:name w:val="toc 3"/>
    <w:basedOn w:val="1"/>
    <w:next w:val="1"/>
    <w:qFormat/>
    <w:uiPriority w:val="39"/>
    <w:pPr>
      <w:ind w:left="840" w:leftChars="400"/>
    </w:pPr>
  </w:style>
  <w:style w:type="paragraph" w:styleId="16">
    <w:name w:val="Plain Text"/>
    <w:basedOn w:val="1"/>
    <w:link w:val="40"/>
    <w:qFormat/>
    <w:uiPriority w:val="99"/>
    <w:rPr>
      <w:rFonts w:hAnsi="Courier New" w:cs="Courier New"/>
      <w:szCs w:val="21"/>
    </w:rPr>
  </w:style>
  <w:style w:type="paragraph" w:styleId="17">
    <w:name w:val="Date"/>
    <w:basedOn w:val="1"/>
    <w:next w:val="1"/>
    <w:link w:val="47"/>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qFormat/>
    <w:uiPriority w:val="0"/>
    <w:pPr>
      <w:spacing w:after="120" w:line="480" w:lineRule="auto"/>
      <w:ind w:left="420" w:leftChars="200"/>
    </w:pPr>
  </w:style>
  <w:style w:type="paragraph" w:styleId="19">
    <w:name w:val="Balloon Text"/>
    <w:basedOn w:val="1"/>
    <w:link w:val="51"/>
    <w:qFormat/>
    <w:uiPriority w:val="0"/>
    <w:rPr>
      <w:sz w:val="18"/>
      <w:szCs w:val="18"/>
    </w:rPr>
  </w:style>
  <w:style w:type="paragraph" w:styleId="20">
    <w:name w:val="footer"/>
    <w:basedOn w:val="1"/>
    <w:link w:val="41"/>
    <w:qFormat/>
    <w:uiPriority w:val="0"/>
    <w:pPr>
      <w:tabs>
        <w:tab w:val="center" w:pos="4153"/>
        <w:tab w:val="right" w:pos="8306"/>
      </w:tabs>
      <w:snapToGrid w:val="0"/>
    </w:pPr>
    <w:rPr>
      <w:sz w:val="18"/>
      <w:szCs w:val="18"/>
    </w:rPr>
  </w:style>
  <w:style w:type="paragraph" w:styleId="21">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qFormat/>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qFormat/>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qFormat/>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26">
    <w:name w:val="index 1"/>
    <w:basedOn w:val="1"/>
    <w:next w:val="1"/>
    <w:qFormat/>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customStyle="1" w:styleId="35">
    <w:name w:val="标题 1 Char"/>
    <w:link w:val="3"/>
    <w:uiPriority w:val="0"/>
    <w:rPr>
      <w:rFonts w:ascii="宋体" w:hAnsi="宋体" w:cs="宋体"/>
      <w:b/>
      <w:bCs/>
      <w:sz w:val="28"/>
      <w:szCs w:val="28"/>
      <w:lang w:eastAsia="en-US"/>
    </w:rPr>
  </w:style>
  <w:style w:type="character" w:customStyle="1" w:styleId="36">
    <w:name w:val="标题 2 Char"/>
    <w:basedOn w:val="30"/>
    <w:link w:val="4"/>
    <w:qFormat/>
    <w:uiPriority w:val="0"/>
    <w:rPr>
      <w:rFonts w:ascii="宋体" w:hAnsi="宋体" w:cs="宋体"/>
      <w:b/>
      <w:bCs/>
      <w:sz w:val="24"/>
      <w:szCs w:val="24"/>
      <w:lang w:eastAsia="en-US"/>
    </w:rPr>
  </w:style>
  <w:style w:type="character" w:customStyle="1" w:styleId="37">
    <w:name w:val="标题 3 Char"/>
    <w:basedOn w:val="30"/>
    <w:link w:val="5"/>
    <w:qFormat/>
    <w:uiPriority w:val="0"/>
    <w:rPr>
      <w:rFonts w:ascii="宋体" w:hAnsi="宋体" w:cs="宋体"/>
      <w:b/>
      <w:bCs/>
      <w:sz w:val="32"/>
      <w:szCs w:val="32"/>
      <w:lang w:eastAsia="en-US"/>
    </w:rPr>
  </w:style>
  <w:style w:type="character" w:customStyle="1" w:styleId="38">
    <w:name w:val="标题 4 Char"/>
    <w:basedOn w:val="30"/>
    <w:link w:val="6"/>
    <w:semiHidden/>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uiPriority w:val="0"/>
    <w:rPr>
      <w:rFonts w:ascii="宋体" w:hAnsi="宋体" w:cs="宋体"/>
      <w:sz w:val="24"/>
      <w:szCs w:val="24"/>
      <w:lang w:eastAsia="en-US"/>
    </w:rPr>
  </w:style>
  <w:style w:type="character" w:customStyle="1" w:styleId="40">
    <w:name w:val="纯文本 Char1"/>
    <w:link w:val="16"/>
    <w:qFormat/>
    <w:uiPriority w:val="0"/>
    <w:rPr>
      <w:rFonts w:ascii="宋体" w:hAnsi="Courier New" w:cs="Courier New"/>
      <w:sz w:val="22"/>
      <w:szCs w:val="21"/>
      <w:lang w:eastAsia="en-US"/>
    </w:rPr>
  </w:style>
  <w:style w:type="character" w:customStyle="1" w:styleId="41">
    <w:name w:val="页脚 Char"/>
    <w:basedOn w:val="30"/>
    <w:link w:val="20"/>
    <w:uiPriority w:val="99"/>
    <w:rPr>
      <w:rFonts w:ascii="宋体" w:hAnsi="宋体" w:cs="宋体"/>
      <w:sz w:val="18"/>
      <w:szCs w:val="18"/>
      <w:lang w:eastAsia="en-US"/>
    </w:rPr>
  </w:style>
  <w:style w:type="character" w:customStyle="1" w:styleId="42">
    <w:name w:val="页眉 Char"/>
    <w:basedOn w:val="30"/>
    <w:link w:val="9"/>
    <w:qFormat/>
    <w:uiPriority w:val="0"/>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uiPriority w:val="0"/>
    <w:rPr>
      <w:rFonts w:asciiTheme="minorHAnsi" w:hAnsiTheme="minorHAnsi" w:eastAsiaTheme="minorEastAsia" w:cstheme="minorBidi"/>
      <w:kern w:val="2"/>
      <w:sz w:val="21"/>
      <w:szCs w:val="22"/>
    </w:rPr>
  </w:style>
  <w:style w:type="paragraph" w:customStyle="1" w:styleId="48">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uiPriority w:val="0"/>
    <w:rPr>
      <w:color w:val="0000FF"/>
      <w:sz w:val="18"/>
      <w:szCs w:val="18"/>
      <w:u w:val="none"/>
      <w:bdr w:val="single" w:color="DCDCDC" w:sz="8" w:space="0"/>
      <w:shd w:val="clear" w:color="auto" w:fill="FFFFFF"/>
    </w:rPr>
  </w:style>
  <w:style w:type="character" w:customStyle="1" w:styleId="51">
    <w:name w:val="批注框文本 Char"/>
    <w:basedOn w:val="30"/>
    <w:link w:val="19"/>
    <w:uiPriority w:val="0"/>
    <w:rPr>
      <w:rFonts w:ascii="宋体" w:hAnsi="宋体" w:cs="宋体"/>
      <w:sz w:val="18"/>
      <w:szCs w:val="18"/>
      <w:lang w:eastAsia="en-US"/>
    </w:rPr>
  </w:style>
  <w:style w:type="paragraph" w:customStyle="1" w:styleId="5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qFormat/>
    <w:uiPriority w:val="0"/>
    <w:rPr>
      <w:kern w:val="2"/>
      <w:sz w:val="21"/>
    </w:rPr>
  </w:style>
  <w:style w:type="paragraph" w:customStyle="1" w:styleId="56">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qFormat/>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qFormat/>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qFormat/>
    <w:uiPriority w:val="0"/>
    <w:rPr>
      <w:kern w:val="2"/>
      <w:sz w:val="21"/>
      <w:szCs w:val="24"/>
      <w:shd w:val="clear" w:color="auto" w:fill="000080"/>
    </w:rPr>
  </w:style>
  <w:style w:type="paragraph" w:customStyle="1" w:styleId="64">
    <w:name w:val="样式 标题 2 + 宋体 五号 行距: 单倍行距"/>
    <w:basedOn w:val="4"/>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qFormat/>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qFormat/>
    <w:uiPriority w:val="0"/>
    <w:pPr>
      <w:autoSpaceDE/>
      <w:autoSpaceDN/>
      <w:jc w:val="both"/>
    </w:pPr>
    <w:rPr>
      <w:rFonts w:ascii="Tahoma" w:hAnsi="Tahoma" w:cs="Times New Roman"/>
      <w:kern w:val="2"/>
      <w:sz w:val="24"/>
      <w:szCs w:val="20"/>
      <w:lang w:eastAsia="zh-CN"/>
    </w:rPr>
  </w:style>
  <w:style w:type="paragraph" w:customStyle="1" w:styleId="68">
    <w:name w:val="样式2"/>
    <w:basedOn w:val="1"/>
    <w:qFormat/>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qFormat/>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qFormat/>
    <w:uiPriority w:val="0"/>
    <w:rPr>
      <w:rFonts w:ascii="宋体" w:hAnsi="宋体"/>
      <w:kern w:val="2"/>
      <w:sz w:val="24"/>
      <w:szCs w:val="24"/>
    </w:rPr>
  </w:style>
  <w:style w:type="paragraph" w:customStyle="1" w:styleId="72">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3">
    <w:name w:val="font21"/>
    <w:qFormat/>
    <w:uiPriority w:val="0"/>
    <w:rPr>
      <w:rFonts w:hint="eastAsia" w:ascii="宋体" w:hAnsi="宋体" w:eastAsia="宋体" w:cs="宋体"/>
      <w:color w:val="000000"/>
      <w:sz w:val="20"/>
      <w:szCs w:val="20"/>
      <w:u w:val="none"/>
    </w:rPr>
  </w:style>
  <w:style w:type="character" w:customStyle="1" w:styleId="74">
    <w:name w:val="font01"/>
    <w:basedOn w:val="30"/>
    <w:qFormat/>
    <w:uiPriority w:val="0"/>
    <w:rPr>
      <w:rFonts w:hint="eastAsia" w:ascii="宋体" w:hAnsi="宋体" w:eastAsia="宋体" w:cs="宋体"/>
      <w:color w:val="000000"/>
      <w:sz w:val="24"/>
      <w:szCs w:val="24"/>
      <w:u w:val="single"/>
    </w:rPr>
  </w:style>
  <w:style w:type="character" w:customStyle="1" w:styleId="75">
    <w:name w:val="普通文字 Char2"/>
    <w:basedOn w:val="30"/>
    <w:qFormat/>
    <w:uiPriority w:val="99"/>
    <w:rPr>
      <w:rFonts w:ascii="宋体" w:hAnsi="Courier New" w:cs="Courier New"/>
      <w:sz w:val="22"/>
      <w:szCs w:val="21"/>
      <w:lang w:eastAsia="en-US"/>
    </w:rPr>
  </w:style>
  <w:style w:type="character" w:customStyle="1" w:styleId="76">
    <w:name w:val="正文文本 Char1"/>
    <w:basedOn w:val="30"/>
    <w:qFormat/>
    <w:uiPriority w:val="0"/>
    <w:rPr>
      <w:rFonts w:ascii="宋体" w:hAnsi="宋体" w:cs="宋体"/>
      <w:sz w:val="24"/>
      <w:szCs w:val="24"/>
      <w:lang w:eastAsia="en-US"/>
    </w:rPr>
  </w:style>
  <w:style w:type="character" w:customStyle="1" w:styleId="77">
    <w:name w:val="正文缩进 Char"/>
    <w:link w:val="8"/>
    <w:qFormat/>
    <w:uiPriority w:val="0"/>
    <w:rPr>
      <w:kern w:val="2"/>
      <w:sz w:val="21"/>
    </w:rPr>
  </w:style>
  <w:style w:type="character" w:customStyle="1" w:styleId="78">
    <w:name w:val="正文1 Char"/>
    <w:basedOn w:val="30"/>
    <w:link w:val="2"/>
    <w:qFormat/>
    <w:locked/>
    <w:uiPriority w:val="0"/>
    <w:rPr>
      <w:rFonts w:ascii="宋体" w:hAnsi="Calibri"/>
      <w:sz w:val="34"/>
      <w:szCs w:val="22"/>
    </w:rPr>
  </w:style>
  <w:style w:type="paragraph" w:customStyle="1" w:styleId="79">
    <w:name w:val="国网标准正文"/>
    <w:basedOn w:val="1"/>
    <w:link w:val="80"/>
    <w:semiHidden/>
    <w:qFormat/>
    <w:uiPriority w:val="0"/>
    <w:pPr>
      <w:tabs>
        <w:tab w:val="left" w:pos="2700"/>
      </w:tabs>
      <w:autoSpaceDE/>
      <w:autoSpaceDN/>
      <w:adjustRightInd w:val="0"/>
      <w:snapToGrid w:val="0"/>
      <w:spacing w:line="312" w:lineRule="exact"/>
      <w:ind w:firstLine="420" w:firstLineChars="200"/>
      <w:jc w:val="both"/>
      <w:textAlignment w:val="center"/>
    </w:pPr>
    <w:rPr>
      <w:rFonts w:cs="Times New Roman"/>
      <w:kern w:val="2"/>
      <w:sz w:val="21"/>
      <w:szCs w:val="28"/>
    </w:rPr>
  </w:style>
  <w:style w:type="character" w:customStyle="1" w:styleId="80">
    <w:name w:val="国网标准正文 Char"/>
    <w:link w:val="79"/>
    <w:semiHidden/>
    <w:qFormat/>
    <w:uiPriority w:val="0"/>
    <w:rPr>
      <w:rFonts w:ascii="宋体" w:hAnsi="宋体"/>
      <w:kern w:val="2"/>
      <w:sz w:val="21"/>
      <w:szCs w:val="28"/>
    </w:rPr>
  </w:style>
  <w:style w:type="paragraph" w:customStyle="1" w:styleId="81">
    <w:name w:val="国标3级"/>
    <w:basedOn w:val="1"/>
    <w:link w:val="82"/>
    <w:semiHidden/>
    <w:qFormat/>
    <w:uiPriority w:val="0"/>
    <w:pPr>
      <w:autoSpaceDE/>
      <w:autoSpaceDN/>
      <w:snapToGrid w:val="0"/>
      <w:spacing w:line="312" w:lineRule="exact"/>
      <w:jc w:val="both"/>
    </w:pPr>
    <w:rPr>
      <w:rFonts w:cs="Times New Roman"/>
      <w:color w:val="000000"/>
      <w:kern w:val="2"/>
      <w:sz w:val="21"/>
      <w:szCs w:val="20"/>
    </w:rPr>
  </w:style>
  <w:style w:type="character" w:customStyle="1" w:styleId="82">
    <w:name w:val="国标3级 Char"/>
    <w:link w:val="81"/>
    <w:semiHidden/>
    <w:qFormat/>
    <w:uiPriority w:val="0"/>
    <w:rPr>
      <w:rFonts w:ascii="宋体" w:hAnsi="宋体"/>
      <w:color w:val="000000"/>
      <w:kern w:val="2"/>
      <w:sz w:val="21"/>
    </w:rPr>
  </w:style>
  <w:style w:type="character" w:customStyle="1" w:styleId="83">
    <w:name w:val="列出段落 Char"/>
    <w:uiPriority w:val="34"/>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5C76C-0062-4CD9-B9C6-7B14210BB967}">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55</Pages>
  <Words>4990</Words>
  <Characters>28449</Characters>
  <Lines>237</Lines>
  <Paragraphs>66</Paragraphs>
  <TotalTime>100</TotalTime>
  <ScaleCrop>false</ScaleCrop>
  <LinksUpToDate>false</LinksUpToDate>
  <CharactersWithSpaces>33373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2021-04-26T08:42:00Z</dcterms:created>
  <dc:creator>CGC</dc:creator>
  <cp:lastModifiedBy>潘骏</cp:lastModifiedBy>
  <dcterms:modified xsi:type="dcterms:W3CDTF">2021-04-29T07:48:32Z</dcterms:modified>
  <dc:title>公开招标文件（货物服务类）</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2052-11.1.0.10463</vt:lpwstr>
  </property>
  <property fmtid="{D5CDD505-2E9C-101B-9397-08002B2CF9AE}" pid="6" name="ICV">
    <vt:lpwstr>0C0D918138034FA9A0C127366C3109E2</vt:lpwstr>
  </property>
</Properties>
</file>