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tabs>
          <w:tab w:val="left" w:pos="5880"/>
        </w:tabs>
        <w:jc w:val="center"/>
        <w:rPr>
          <w:rFonts w:cs="黑体" w:asciiTheme="minorEastAsia" w:hAnsiTheme="minorEastAsia" w:eastAsiaTheme="minorEastAsia"/>
          <w:b/>
          <w:bCs/>
          <w:sz w:val="44"/>
          <w:szCs w:val="44"/>
        </w:rPr>
      </w:pPr>
      <w:r>
        <w:rPr>
          <w:rFonts w:hint="eastAsia" w:cs="黑体" w:asciiTheme="minorEastAsia" w:hAnsiTheme="minorEastAsia" w:eastAsiaTheme="minorEastAsia"/>
          <w:b/>
          <w:bCs/>
          <w:sz w:val="52"/>
          <w:szCs w:val="52"/>
        </w:rPr>
        <w:t>2021年6月5.5万吨工业盐采购项目</w:t>
      </w:r>
    </w:p>
    <w:p>
      <w:pPr>
        <w:tabs>
          <w:tab w:val="left" w:pos="5880"/>
        </w:tabs>
        <w:jc w:val="center"/>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tabs>
          <w:tab w:val="left" w:pos="5880"/>
        </w:tabs>
        <w:jc w:val="center"/>
        <w:rPr>
          <w:rFonts w:cs="黑体" w:asciiTheme="minorEastAsia" w:hAnsiTheme="minorEastAsia" w:eastAsiaTheme="minorEastAsia"/>
          <w:b/>
          <w:bCs/>
          <w:sz w:val="32"/>
          <w:szCs w:val="32"/>
          <w:highlight w:val="yellow"/>
        </w:rPr>
      </w:pPr>
      <w:r>
        <w:rPr>
          <w:rFonts w:hint="eastAsia" w:cs="黑体" w:asciiTheme="minorEastAsia" w:hAnsiTheme="minorEastAsia" w:eastAsiaTheme="minorEastAsia"/>
          <w:b/>
          <w:bCs/>
          <w:sz w:val="32"/>
          <w:szCs w:val="32"/>
        </w:rPr>
        <w:t>二〇二一年三月</w:t>
      </w: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ascii="宋体" w:hAnsi="宋体" w:cs="宋体"/>
          <w:sz w:val="32"/>
          <w:szCs w:val="28"/>
        </w:rPr>
      </w:pPr>
      <w:r>
        <w:rPr>
          <w:rFonts w:hint="eastAsia" w:ascii="宋体" w:hAnsi="宋体" w:cs="宋体"/>
          <w:sz w:val="32"/>
          <w:szCs w:val="28"/>
        </w:rPr>
        <w:t>目    录</w:t>
      </w:r>
    </w:p>
    <w:p>
      <w:pPr>
        <w:tabs>
          <w:tab w:val="left" w:pos="5880"/>
        </w:tabs>
        <w:jc w:val="left"/>
        <w:rPr>
          <w:rFonts w:ascii="宋体" w:hAnsi="宋体" w:cs="宋体"/>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第二章   比选须知</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第三章   参选文件的编制</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第四章   评比规则</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第五章   合同授予</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第六章   中选后相关履约要求</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第七章   其它</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  </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附件一：合同书</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附件二：参选文件格式</w:t>
      </w:r>
    </w:p>
    <w:p>
      <w:pPr>
        <w:tabs>
          <w:tab w:val="left" w:pos="5880"/>
        </w:tabs>
        <w:adjustRightInd w:val="0"/>
        <w:spacing w:line="360" w:lineRule="auto"/>
        <w:ind w:firstLine="630" w:firstLineChars="225"/>
        <w:jc w:val="left"/>
        <w:textAlignment w:val="baseline"/>
        <w:rPr>
          <w:rFonts w:ascii="宋体" w:hAnsi="宋体"/>
          <w:sz w:val="28"/>
          <w:szCs w:val="28"/>
        </w:rPr>
      </w:pPr>
    </w:p>
    <w:p>
      <w:pPr>
        <w:tabs>
          <w:tab w:val="left" w:pos="5880"/>
        </w:tabs>
        <w:adjustRightInd w:val="0"/>
        <w:spacing w:line="360" w:lineRule="auto"/>
        <w:ind w:firstLine="630" w:firstLineChars="225"/>
        <w:jc w:val="left"/>
        <w:textAlignment w:val="baseline"/>
        <w:rPr>
          <w:rFonts w:ascii="宋体" w:hAnsi="宋体"/>
          <w:sz w:val="28"/>
          <w:szCs w:val="28"/>
        </w:rPr>
      </w:pPr>
    </w:p>
    <w:p>
      <w:pPr>
        <w:tabs>
          <w:tab w:val="left" w:pos="5880"/>
        </w:tabs>
        <w:spacing w:line="324" w:lineRule="auto"/>
        <w:jc w:val="center"/>
        <w:rPr>
          <w:rFonts w:ascii="宋体" w:hAnsi="宋体"/>
          <w:b/>
          <w:bCs/>
          <w:sz w:val="32"/>
          <w:szCs w:val="32"/>
        </w:rPr>
      </w:pPr>
    </w:p>
    <w:p>
      <w:pPr>
        <w:tabs>
          <w:tab w:val="left" w:pos="5880"/>
        </w:tabs>
        <w:spacing w:line="324" w:lineRule="auto"/>
        <w:jc w:val="center"/>
        <w:rPr>
          <w:rFonts w:ascii="宋体" w:hAnsi="宋体"/>
          <w:sz w:val="24"/>
        </w:rPr>
      </w:pPr>
    </w:p>
    <w:p>
      <w:pPr>
        <w:tabs>
          <w:tab w:val="left" w:pos="5880"/>
        </w:tabs>
        <w:spacing w:line="324" w:lineRule="auto"/>
        <w:jc w:val="center"/>
        <w:rPr>
          <w:rFonts w:ascii="宋体" w:hAnsi="宋体"/>
          <w:sz w:val="24"/>
        </w:rPr>
      </w:pPr>
    </w:p>
    <w:p>
      <w:pPr>
        <w:tabs>
          <w:tab w:val="left" w:pos="5880"/>
        </w:tabs>
        <w:spacing w:line="324" w:lineRule="auto"/>
        <w:jc w:val="center"/>
        <w:rPr>
          <w:rFonts w:ascii="宋体" w:hAnsi="宋体"/>
          <w:sz w:val="24"/>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ascii="宋体"/>
          <w:b/>
          <w:bCs/>
          <w:color w:val="000000"/>
          <w:sz w:val="32"/>
          <w:szCs w:val="32"/>
        </w:rPr>
      </w:pPr>
      <w:r>
        <w:rPr>
          <w:rFonts w:hint="eastAsia" w:ascii="宋体" w:hAnsi="宋体" w:cs="宋体"/>
          <w:b/>
          <w:bCs/>
          <w:color w:val="000000"/>
          <w:sz w:val="32"/>
          <w:szCs w:val="32"/>
        </w:rPr>
        <w:t>第一章</w:t>
      </w:r>
      <w:r>
        <w:rPr>
          <w:rFonts w:ascii="宋体" w:hAnsi="宋体" w:cs="宋体"/>
          <w:b/>
          <w:bCs/>
          <w:color w:val="000000"/>
          <w:sz w:val="32"/>
          <w:szCs w:val="32"/>
        </w:rPr>
        <w:t xml:space="preserve">   </w:t>
      </w:r>
      <w:r>
        <w:rPr>
          <w:rFonts w:hint="eastAsia" w:ascii="宋体" w:hAnsi="宋体" w:cs="宋体"/>
          <w:b/>
          <w:bCs/>
          <w:color w:val="000000"/>
          <w:sz w:val="32"/>
          <w:szCs w:val="32"/>
        </w:rPr>
        <w:t>比选公告</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u w:val="single"/>
        </w:rPr>
        <w:t xml:space="preserve"> 2021年6月5.5万吨工业盐采购项目</w:t>
      </w:r>
      <w:r>
        <w:rPr>
          <w:rFonts w:hint="eastAsia" w:ascii="宋体" w:hAnsi="宋体"/>
          <w:snapToGrid w:val="0"/>
          <w:spacing w:val="8"/>
          <w:sz w:val="28"/>
          <w:szCs w:val="28"/>
        </w:rPr>
        <w:t>进行国内公开比选。</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一、比选内容：</w:t>
      </w:r>
    </w:p>
    <w:p>
      <w:pPr>
        <w:tabs>
          <w:tab w:val="left" w:pos="5880"/>
        </w:tabs>
        <w:ind w:firstLine="592" w:firstLineChars="200"/>
        <w:rPr>
          <w:rFonts w:ascii="宋体" w:hAnsi="宋体"/>
          <w:snapToGrid w:val="0"/>
          <w:spacing w:val="8"/>
          <w:sz w:val="28"/>
          <w:szCs w:val="28"/>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u w:val="single"/>
        </w:rPr>
        <w:t>2021年6月5.5万吨工业盐采购项目;</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(二)项目内容：</w:t>
      </w:r>
    </w:p>
    <w:p>
      <w:pPr>
        <w:tabs>
          <w:tab w:val="left" w:pos="5880"/>
        </w:tabs>
        <w:ind w:firstLine="592" w:firstLineChars="200"/>
        <w:rPr>
          <w:rFonts w:ascii="宋体" w:hAnsi="宋体"/>
          <w:snapToGrid w:val="0"/>
          <w:spacing w:val="8"/>
          <w:sz w:val="28"/>
          <w:szCs w:val="28"/>
          <w:u w:val="single"/>
        </w:rPr>
      </w:pPr>
      <w:r>
        <w:rPr>
          <w:rFonts w:hint="eastAsia" w:ascii="宋体" w:hAnsi="宋体"/>
          <w:snapToGrid w:val="0"/>
          <w:spacing w:val="8"/>
          <w:sz w:val="28"/>
          <w:szCs w:val="28"/>
        </w:rPr>
        <w:t>主要服务内容</w:t>
      </w:r>
      <w:r>
        <w:rPr>
          <w:rFonts w:hint="eastAsia" w:ascii="宋体" w:hAnsi="宋体"/>
          <w:snapToGrid w:val="0"/>
          <w:spacing w:val="8"/>
          <w:sz w:val="28"/>
          <w:szCs w:val="28"/>
          <w:u w:val="single"/>
        </w:rPr>
        <w:t>：详见比选范围。</w:t>
      </w:r>
    </w:p>
    <w:p>
      <w:pPr>
        <w:tabs>
          <w:tab w:val="left" w:pos="5880"/>
        </w:tabs>
        <w:ind w:firstLine="552"/>
        <w:rPr>
          <w:rFonts w:ascii="宋体" w:hAnsi="宋体"/>
          <w:snapToGrid w:val="0"/>
          <w:spacing w:val="8"/>
          <w:sz w:val="28"/>
          <w:szCs w:val="28"/>
          <w:u w:val="single"/>
        </w:rPr>
      </w:pPr>
      <w:r>
        <w:rPr>
          <w:rFonts w:hint="eastAsia" w:ascii="宋体" w:hAnsi="宋体"/>
          <w:snapToGrid w:val="0"/>
          <w:spacing w:val="8"/>
          <w:sz w:val="28"/>
          <w:szCs w:val="28"/>
        </w:rPr>
        <w:t>服务期：</w:t>
      </w:r>
      <w:r>
        <w:rPr>
          <w:rFonts w:hint="eastAsia" w:ascii="宋体" w:hAnsi="宋体"/>
          <w:snapToGrid w:val="0"/>
          <w:spacing w:val="8"/>
          <w:sz w:val="28"/>
          <w:szCs w:val="28"/>
          <w:u w:val="single"/>
        </w:rPr>
        <w:t>2021年3月</w:t>
      </w:r>
      <w:r>
        <w:rPr>
          <w:rFonts w:hint="eastAsia" w:ascii="宋体" w:hAnsi="宋体"/>
          <w:snapToGrid w:val="0"/>
          <w:spacing w:val="8"/>
          <w:sz w:val="28"/>
          <w:szCs w:val="28"/>
          <w:u w:val="single"/>
          <w:lang w:val="en-US" w:eastAsia="zh-CN"/>
        </w:rPr>
        <w:t>19</w:t>
      </w:r>
      <w:r>
        <w:rPr>
          <w:rFonts w:hint="eastAsia" w:ascii="宋体" w:hAnsi="宋体"/>
          <w:snapToGrid w:val="0"/>
          <w:spacing w:val="8"/>
          <w:sz w:val="28"/>
          <w:szCs w:val="28"/>
          <w:u w:val="single"/>
        </w:rPr>
        <w:t>日-2021年9月30日。</w:t>
      </w:r>
    </w:p>
    <w:p>
      <w:pPr>
        <w:tabs>
          <w:tab w:val="left" w:pos="5880"/>
        </w:tabs>
        <w:ind w:firstLine="552"/>
        <w:rPr>
          <w:rFonts w:ascii="宋体" w:hAnsi="宋体"/>
          <w:snapToGrid w:val="0"/>
          <w:spacing w:val="8"/>
          <w:sz w:val="28"/>
          <w:szCs w:val="28"/>
          <w:u w:val="single"/>
        </w:rPr>
      </w:pPr>
      <w:r>
        <w:rPr>
          <w:rFonts w:hint="eastAsia" w:ascii="宋体" w:hAnsi="宋体"/>
          <w:snapToGrid w:val="0"/>
          <w:spacing w:val="8"/>
          <w:sz w:val="28"/>
          <w:szCs w:val="28"/>
        </w:rPr>
        <w:t>地点：</w:t>
      </w:r>
      <w:r>
        <w:rPr>
          <w:rFonts w:hint="eastAsia" w:ascii="宋体" w:hAnsi="宋体"/>
          <w:snapToGrid w:val="0"/>
          <w:spacing w:val="8"/>
          <w:sz w:val="28"/>
          <w:szCs w:val="28"/>
          <w:u w:val="single"/>
        </w:rPr>
        <w:t>比选人提供的服务清单和地址明细为准。</w:t>
      </w:r>
    </w:p>
    <w:p>
      <w:pPr>
        <w:tabs>
          <w:tab w:val="left" w:pos="5880"/>
        </w:tabs>
        <w:ind w:firstLine="552"/>
        <w:rPr>
          <w:rFonts w:ascii="宋体" w:hAnsi="宋体"/>
          <w:snapToGrid w:val="0"/>
          <w:spacing w:val="8"/>
          <w:sz w:val="28"/>
          <w:szCs w:val="28"/>
          <w:u w:val="single"/>
        </w:rPr>
      </w:pPr>
      <w:r>
        <w:rPr>
          <w:rFonts w:hint="eastAsia" w:ascii="宋体" w:hAnsi="宋体"/>
          <w:snapToGrid w:val="0"/>
          <w:spacing w:val="8"/>
          <w:sz w:val="28"/>
          <w:szCs w:val="28"/>
          <w:u w:val="single"/>
        </w:rPr>
        <w:t>备注：参选人必须对项目的全部货物与服务进行参选，不得仅对项目中的部分货物或服务进行参选，否则其参选文件将被拒绝。</w:t>
      </w:r>
    </w:p>
    <w:p>
      <w:pPr>
        <w:numPr>
          <w:ilvl w:val="0"/>
          <w:numId w:val="1"/>
        </w:numPr>
        <w:tabs>
          <w:tab w:val="left" w:pos="5880"/>
        </w:tabs>
        <w:ind w:firstLine="592" w:firstLineChars="200"/>
        <w:rPr>
          <w:rFonts w:ascii="宋体" w:hAnsi="宋体"/>
          <w:snapToGrid w:val="0"/>
          <w:spacing w:val="8"/>
          <w:sz w:val="28"/>
          <w:szCs w:val="28"/>
          <w:u w:val="single"/>
        </w:rPr>
      </w:pPr>
      <w:r>
        <w:rPr>
          <w:rFonts w:hint="eastAsia" w:ascii="宋体" w:hAnsi="宋体"/>
          <w:snapToGrid w:val="0"/>
          <w:spacing w:val="8"/>
          <w:sz w:val="28"/>
          <w:szCs w:val="28"/>
        </w:rPr>
        <w:t>参选人资格要求：</w:t>
      </w:r>
      <w:r>
        <w:rPr>
          <w:rFonts w:hint="eastAsia" w:ascii="宋体" w:hAnsi="宋体"/>
          <w:snapToGrid w:val="0"/>
          <w:spacing w:val="8"/>
          <w:sz w:val="28"/>
          <w:szCs w:val="28"/>
          <w:u w:val="single"/>
        </w:rPr>
        <w:t>应具备独立法人资格且有能力提供比选服务内容。</w:t>
      </w:r>
      <w:r>
        <w:rPr>
          <w:rFonts w:hint="eastAsia" w:ascii="宋体" w:hAnsi="宋体"/>
          <w:snapToGrid w:val="0"/>
          <w:spacing w:val="8"/>
          <w:sz w:val="28"/>
          <w:szCs w:val="28"/>
        </w:rPr>
        <w:t xml:space="preserve"> </w:t>
      </w:r>
    </w:p>
    <w:p>
      <w:pPr>
        <w:tabs>
          <w:tab w:val="left" w:pos="5880"/>
        </w:tabs>
        <w:rPr>
          <w:rFonts w:ascii="宋体" w:hAnsi="宋体"/>
          <w:snapToGrid w:val="0"/>
          <w:spacing w:val="8"/>
          <w:sz w:val="28"/>
          <w:szCs w:val="28"/>
          <w:u w:val="single"/>
        </w:rPr>
      </w:pPr>
      <w:r>
        <w:rPr>
          <w:rFonts w:hint="eastAsia" w:ascii="宋体" w:hAnsi="宋体"/>
          <w:snapToGrid w:val="0"/>
          <w:spacing w:val="8"/>
          <w:sz w:val="28"/>
          <w:szCs w:val="28"/>
        </w:rPr>
        <w:t xml:space="preserve">    三、参选报名时间：</w:t>
      </w:r>
      <w:r>
        <w:rPr>
          <w:rFonts w:hint="eastAsia" w:ascii="宋体" w:hAnsi="宋体"/>
          <w:snapToGrid w:val="0"/>
          <w:spacing w:val="8"/>
          <w:sz w:val="28"/>
          <w:szCs w:val="28"/>
          <w:u w:val="single"/>
        </w:rPr>
        <w:t>凡愿意参加比选的合格参选人请于2021年3月</w:t>
      </w:r>
      <w:r>
        <w:rPr>
          <w:rFonts w:ascii="宋体" w:hAnsi="宋体"/>
          <w:snapToGrid w:val="0"/>
          <w:spacing w:val="8"/>
          <w:sz w:val="28"/>
          <w:szCs w:val="28"/>
          <w:u w:val="single"/>
        </w:rPr>
        <w:t>19</w:t>
      </w:r>
      <w:r>
        <w:rPr>
          <w:rFonts w:hint="eastAsia" w:ascii="宋体" w:hAnsi="宋体"/>
          <w:snapToGrid w:val="0"/>
          <w:spacing w:val="8"/>
          <w:sz w:val="28"/>
          <w:szCs w:val="28"/>
          <w:u w:val="single"/>
        </w:rPr>
        <w:t>日</w:t>
      </w:r>
      <w:r>
        <w:rPr>
          <w:rFonts w:hint="eastAsia" w:ascii="宋体" w:hAnsi="宋体"/>
          <w:sz w:val="28"/>
          <w:szCs w:val="28"/>
          <w:u w:val="single"/>
        </w:rPr>
        <w:t>至202</w:t>
      </w:r>
      <w:r>
        <w:rPr>
          <w:rFonts w:hint="eastAsia" w:ascii="宋体" w:hAnsi="宋体"/>
          <w:sz w:val="28"/>
          <w:szCs w:val="28"/>
          <w:u w:val="single"/>
          <w:lang w:val="en-US" w:eastAsia="zh-CN"/>
        </w:rPr>
        <w:t>1</w:t>
      </w:r>
      <w:r>
        <w:rPr>
          <w:rFonts w:hint="eastAsia" w:ascii="宋体" w:hAnsi="宋体"/>
          <w:sz w:val="28"/>
          <w:szCs w:val="28"/>
          <w:u w:val="single"/>
        </w:rPr>
        <w:t>年 4月1日</w:t>
      </w:r>
      <w:r>
        <w:rPr>
          <w:rFonts w:hint="eastAsia" w:ascii="宋体" w:hAnsi="宋体"/>
          <w:snapToGrid w:val="0"/>
          <w:spacing w:val="8"/>
          <w:sz w:val="28"/>
          <w:szCs w:val="28"/>
          <w:u w:val="single"/>
        </w:rPr>
        <w:t>，每天上午9:00至12:00，下午14:00至16:00，递交参选文件，逾期不予受理。</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四、参选文件递交的截止时间(以比选人收到参选文件的时间为准)：</w:t>
      </w:r>
      <w:r>
        <w:rPr>
          <w:rFonts w:hint="eastAsia" w:ascii="宋体" w:hAnsi="宋体"/>
          <w:sz w:val="28"/>
          <w:szCs w:val="28"/>
          <w:u w:val="single"/>
        </w:rPr>
        <w:t xml:space="preserve"> 2021</w:t>
      </w:r>
      <w:r>
        <w:rPr>
          <w:rFonts w:hint="eastAsia" w:ascii="宋体" w:hAnsi="宋体"/>
          <w:sz w:val="28"/>
          <w:szCs w:val="28"/>
        </w:rPr>
        <w:t>年</w:t>
      </w:r>
      <w:r>
        <w:rPr>
          <w:rFonts w:hint="eastAsia" w:ascii="宋体" w:hAnsi="宋体"/>
          <w:sz w:val="28"/>
          <w:szCs w:val="28"/>
          <w:u w:val="single"/>
        </w:rPr>
        <w:t>4</w:t>
      </w:r>
      <w:r>
        <w:rPr>
          <w:rFonts w:hint="eastAsia" w:ascii="宋体" w:hAnsi="宋体"/>
          <w:sz w:val="28"/>
          <w:szCs w:val="28"/>
        </w:rPr>
        <w:t>月</w:t>
      </w:r>
      <w:r>
        <w:rPr>
          <w:rFonts w:hint="eastAsia" w:ascii="宋体" w:hAnsi="宋体"/>
          <w:sz w:val="28"/>
          <w:szCs w:val="28"/>
          <w:u w:val="single"/>
        </w:rPr>
        <w:t>1</w:t>
      </w:r>
      <w:r>
        <w:rPr>
          <w:rFonts w:hint="eastAsia" w:ascii="宋体" w:hAnsi="宋体"/>
          <w:sz w:val="28"/>
          <w:szCs w:val="28"/>
        </w:rPr>
        <w:t>日下午16时00分</w:t>
      </w:r>
      <w:r>
        <w:rPr>
          <w:rFonts w:hint="eastAsia" w:ascii="宋体" w:hAnsi="宋体"/>
          <w:snapToGrid w:val="0"/>
          <w:spacing w:val="8"/>
          <w:sz w:val="28"/>
          <w:szCs w:val="28"/>
        </w:rPr>
        <w:t>。</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五、本自主比选采用</w:t>
      </w:r>
      <w:r>
        <w:rPr>
          <w:rFonts w:hint="eastAsia" w:ascii="宋体" w:hAnsi="宋体"/>
          <w:snapToGrid w:val="0"/>
          <w:spacing w:val="8"/>
          <w:sz w:val="28"/>
          <w:szCs w:val="28"/>
          <w:u w:val="single"/>
        </w:rPr>
        <w:t>最低价评标法</w:t>
      </w:r>
      <w:r>
        <w:rPr>
          <w:rFonts w:hint="eastAsia" w:ascii="宋体" w:hAnsi="宋体"/>
          <w:snapToGrid w:val="0"/>
          <w:spacing w:val="8"/>
          <w:sz w:val="28"/>
          <w:szCs w:val="28"/>
        </w:rPr>
        <w:t>。</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六、本公司将在参选文件截止日期后另行择日组织比选会议。</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七、参选保证金（本条不适用）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7.1保证金提交的时间：比选文件递交截止时间之前，即2021年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w:t>
      </w:r>
      <w:bookmarkStart w:id="2" w:name="_GoBack"/>
      <w:bookmarkEnd w:id="2"/>
      <w:r>
        <w:rPr>
          <w:rFonts w:hint="eastAsia" w:asciiTheme="minorEastAsia" w:hAnsiTheme="minorEastAsia" w:eastAsiaTheme="minorEastAsia"/>
          <w:sz w:val="28"/>
          <w:szCs w:val="28"/>
        </w:rPr>
        <w:t>日16时前。</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7.3比选保证金提交的金额：</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7.3.1 </w:t>
      </w:r>
      <w:r>
        <w:rPr>
          <w:rFonts w:hint="eastAsia" w:ascii="宋体" w:hAnsi="宋体"/>
          <w:snapToGrid w:val="0"/>
          <w:spacing w:val="8"/>
          <w:sz w:val="28"/>
          <w:szCs w:val="28"/>
          <w:u w:val="single"/>
        </w:rPr>
        <w:t xml:space="preserve">                            项目</w:t>
      </w:r>
      <w:r>
        <w:rPr>
          <w:rFonts w:hint="eastAsia" w:asciiTheme="minorEastAsia" w:hAnsiTheme="minorEastAsia" w:eastAsiaTheme="minorEastAsia"/>
          <w:sz w:val="28"/>
          <w:szCs w:val="28"/>
        </w:rPr>
        <w:t>比选保证金人民币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pPr>
        <w:tabs>
          <w:tab w:val="left" w:pos="5880"/>
        </w:tabs>
        <w:ind w:firstLine="532" w:firstLineChars="190"/>
        <w:rPr>
          <w:rFonts w:ascii="宋体" w:hAnsi="宋体"/>
          <w:sz w:val="28"/>
          <w:szCs w:val="28"/>
        </w:rPr>
      </w:pPr>
      <w:r>
        <w:rPr>
          <w:rFonts w:hint="eastAsia" w:ascii="宋体" w:hAnsi="宋体"/>
          <w:sz w:val="28"/>
          <w:szCs w:val="28"/>
        </w:rPr>
        <w:t>联 系 人： 黄先生 (商务) 电话：13959599745</w:t>
      </w:r>
    </w:p>
    <w:p>
      <w:pPr>
        <w:tabs>
          <w:tab w:val="left" w:pos="5880"/>
        </w:tabs>
        <w:ind w:firstLine="532" w:firstLineChars="190"/>
        <w:rPr>
          <w:rFonts w:ascii="宋体" w:hAnsi="宋体"/>
          <w:sz w:val="28"/>
          <w:szCs w:val="28"/>
          <w:u w:val="single"/>
        </w:rPr>
      </w:pPr>
      <w:r>
        <w:rPr>
          <w:rFonts w:hint="eastAsia" w:ascii="宋体" w:hAnsi="宋体"/>
          <w:sz w:val="28"/>
          <w:szCs w:val="28"/>
        </w:rPr>
        <w:t xml:space="preserve">           纪检监察室    电话：0591-8655</w:t>
      </w:r>
      <w:r>
        <w:rPr>
          <w:rFonts w:ascii="宋体" w:hAnsi="宋体"/>
          <w:sz w:val="28"/>
          <w:szCs w:val="28"/>
        </w:rPr>
        <w:t>2317</w:t>
      </w:r>
    </w:p>
    <w:p>
      <w:pPr>
        <w:tabs>
          <w:tab w:val="left" w:pos="5880"/>
        </w:tabs>
        <w:ind w:firstLine="560" w:firstLineChars="200"/>
        <w:rPr>
          <w:rFonts w:ascii="宋体" w:hAnsi="宋体"/>
          <w:sz w:val="28"/>
          <w:szCs w:val="28"/>
        </w:rPr>
      </w:pPr>
      <w:r>
        <w:rPr>
          <w:rFonts w:hint="eastAsia" w:ascii="宋体" w:hAnsi="宋体"/>
          <w:sz w:val="28"/>
          <w:szCs w:val="28"/>
        </w:rPr>
        <w:t>传    真： 0591-86552003</w:t>
      </w:r>
    </w:p>
    <w:p>
      <w:pPr>
        <w:tabs>
          <w:tab w:val="left" w:pos="5880"/>
        </w:tabs>
        <w:ind w:firstLine="560" w:firstLineChars="200"/>
        <w:rPr>
          <w:rFonts w:ascii="宋体" w:hAnsi="宋体"/>
          <w:sz w:val="28"/>
          <w:szCs w:val="28"/>
        </w:rPr>
      </w:pPr>
      <w:r>
        <w:rPr>
          <w:rFonts w:hint="eastAsia" w:ascii="宋体" w:hAnsi="宋体"/>
          <w:sz w:val="28"/>
          <w:szCs w:val="28"/>
        </w:rPr>
        <w:t>联系地址： 福建省福清市江阴工业集中区国盛大道3号</w:t>
      </w:r>
    </w:p>
    <w:p>
      <w:pPr>
        <w:tabs>
          <w:tab w:val="left" w:pos="5880"/>
        </w:tabs>
        <w:ind w:firstLine="560" w:firstLineChars="200"/>
        <w:rPr>
          <w:rFonts w:ascii="宋体" w:hAnsi="宋体"/>
          <w:sz w:val="28"/>
          <w:szCs w:val="28"/>
        </w:rPr>
      </w:pPr>
      <w:r>
        <w:rPr>
          <w:rFonts w:hint="eastAsia" w:ascii="宋体" w:hAnsi="宋体"/>
          <w:sz w:val="28"/>
          <w:szCs w:val="28"/>
        </w:rPr>
        <w:t>邮    编： 350309</w:t>
      </w:r>
    </w:p>
    <w:p>
      <w:pPr>
        <w:tabs>
          <w:tab w:val="left" w:pos="5880"/>
        </w:tabs>
        <w:jc w:val="right"/>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pPr>
        <w:tabs>
          <w:tab w:val="left" w:pos="5880"/>
        </w:tabs>
        <w:jc w:val="cente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2021年</w:t>
      </w:r>
      <w:r>
        <w:rPr>
          <w:rFonts w:ascii="宋体" w:hAnsi="宋体"/>
          <w:sz w:val="28"/>
          <w:szCs w:val="28"/>
        </w:rPr>
        <w:t>3</w:t>
      </w:r>
      <w:r>
        <w:rPr>
          <w:rFonts w:hint="eastAsia" w:ascii="宋体" w:hAnsi="宋体"/>
          <w:sz w:val="28"/>
          <w:szCs w:val="28"/>
        </w:rPr>
        <w:t>月</w:t>
      </w:r>
      <w:r>
        <w:rPr>
          <w:rFonts w:ascii="宋体" w:hAnsi="宋体"/>
          <w:sz w:val="28"/>
          <w:szCs w:val="28"/>
        </w:rPr>
        <w:t>19</w:t>
      </w:r>
      <w:r>
        <w:rPr>
          <w:rFonts w:hint="eastAsia" w:ascii="宋体" w:hAnsi="宋体"/>
          <w:sz w:val="28"/>
          <w:szCs w:val="28"/>
        </w:rPr>
        <w:t>日</w:t>
      </w:r>
    </w:p>
    <w:p>
      <w:pPr>
        <w:rPr>
          <w:rFonts w:ascii="宋体" w:hAnsi="宋体" w:cs="宋体"/>
          <w:b/>
          <w:bCs/>
          <w:sz w:val="32"/>
          <w:szCs w:val="32"/>
        </w:rPr>
      </w:pPr>
      <w:r>
        <w:rPr>
          <w:rFonts w:hint="eastAsia" w:ascii="宋体" w:hAnsi="宋体" w:cs="宋体"/>
          <w:b/>
          <w:bCs/>
          <w:sz w:val="32"/>
          <w:szCs w:val="32"/>
        </w:rPr>
        <w:br w:type="page"/>
      </w:r>
    </w:p>
    <w:p>
      <w:pPr>
        <w:tabs>
          <w:tab w:val="left" w:pos="5880"/>
        </w:tabs>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tabs>
          <w:tab w:val="left" w:pos="5880"/>
        </w:tabs>
        <w:jc w:val="left"/>
        <w:rPr>
          <w:rFonts w:ascii="宋体"/>
          <w:b/>
          <w:bCs/>
          <w:sz w:val="28"/>
          <w:szCs w:val="28"/>
        </w:rPr>
      </w:pPr>
      <w:r>
        <w:rPr>
          <w:rFonts w:ascii="宋体" w:hAnsi="宋体" w:cs="宋体"/>
          <w:b/>
          <w:bCs/>
          <w:sz w:val="28"/>
          <w:szCs w:val="28"/>
        </w:rPr>
        <w:t>1</w:t>
      </w:r>
      <w:r>
        <w:rPr>
          <w:rFonts w:hint="eastAsia" w:ascii="宋体" w:hAnsi="宋体" w:cs="宋体"/>
          <w:b/>
          <w:bCs/>
          <w:sz w:val="28"/>
          <w:szCs w:val="28"/>
        </w:rPr>
        <w:t>、比选范围</w:t>
      </w:r>
    </w:p>
    <w:p>
      <w:pPr>
        <w:tabs>
          <w:tab w:val="left" w:pos="5880"/>
        </w:tabs>
        <w:ind w:firstLine="560"/>
        <w:rPr>
          <w:rFonts w:ascii="宋体" w:hAnsi="宋体" w:cs="宋体"/>
          <w:sz w:val="28"/>
          <w:szCs w:val="28"/>
        </w:rPr>
      </w:pPr>
      <w:r>
        <w:rPr>
          <w:rFonts w:hint="eastAsia" w:ascii="宋体" w:hAnsi="宋体" w:cs="宋体"/>
          <w:sz w:val="28"/>
          <w:szCs w:val="28"/>
        </w:rPr>
        <w:t>1.1、福建省东南电化股份有限公司2021年6月5.5万吨工业盐采购项目。</w:t>
      </w:r>
    </w:p>
    <w:p>
      <w:pPr>
        <w:ind w:firstLine="560"/>
        <w:rPr>
          <w:rFonts w:ascii="宋体" w:hAnsi="宋体" w:cs="宋体"/>
          <w:sz w:val="28"/>
          <w:szCs w:val="28"/>
        </w:rPr>
      </w:pPr>
      <w:r>
        <w:rPr>
          <w:rFonts w:hint="eastAsia" w:ascii="宋体" w:hAnsi="宋体" w:cs="宋体"/>
          <w:sz w:val="28"/>
          <w:szCs w:val="28"/>
        </w:rPr>
        <w:t>1.2、采购清单如下：</w:t>
      </w:r>
    </w:p>
    <w:tbl>
      <w:tblPr>
        <w:tblStyle w:val="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90"/>
        <w:gridCol w:w="3914"/>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68"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99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3914"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w:t>
            </w:r>
          </w:p>
        </w:tc>
        <w:tc>
          <w:tcPr>
            <w:tcW w:w="2428"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考核条款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9" w:hRule="exact"/>
          <w:jc w:val="center"/>
        </w:trPr>
        <w:tc>
          <w:tcPr>
            <w:tcW w:w="1368" w:type="dxa"/>
            <w:vAlign w:val="center"/>
          </w:tcPr>
          <w:p>
            <w:pPr>
              <w:widowControl/>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工业盐采购项目</w:t>
            </w:r>
          </w:p>
        </w:tc>
        <w:tc>
          <w:tcPr>
            <w:tcW w:w="990" w:type="dxa"/>
            <w:vAlign w:val="center"/>
          </w:tcPr>
          <w:p>
            <w:pPr>
              <w:widowControl/>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5.5万吨</w:t>
            </w:r>
          </w:p>
        </w:tc>
        <w:tc>
          <w:tcPr>
            <w:tcW w:w="3914" w:type="dxa"/>
            <w:vAlign w:val="center"/>
          </w:tcPr>
          <w:p>
            <w:pPr>
              <w:widowControl/>
              <w:jc w:val="center"/>
              <w:textAlignment w:val="center"/>
              <w:rPr>
                <w:rFonts w:asciiTheme="minorEastAsia" w:hAnsiTheme="minorEastAsia" w:cstheme="minorEastAsia"/>
                <w:sz w:val="28"/>
                <w:szCs w:val="28"/>
              </w:rPr>
            </w:pPr>
            <w:r>
              <w:rPr>
                <w:rFonts w:hint="eastAsia" w:ascii="宋体" w:hAnsi="宋体" w:cs="宋体"/>
                <w:sz w:val="28"/>
                <w:szCs w:val="28"/>
              </w:rPr>
              <w:t>参选人可单独对澳盐或印度盐进行报价，也可对澳盐和印度盐同时进行分开报价，参选人需确保任意一份报价单都对项目的全部货物与服务进行参选，不得仅对项目中的部分货物或服务进行参选，否则视为无效。</w:t>
            </w:r>
          </w:p>
        </w:tc>
        <w:tc>
          <w:tcPr>
            <w:tcW w:w="2428" w:type="dxa"/>
            <w:vAlign w:val="center"/>
          </w:tcPr>
          <w:p>
            <w:pPr>
              <w:widowControl/>
              <w:jc w:val="center"/>
              <w:textAlignment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如果指标不合格买方可以直接退货或双方协商折价让步接收，退货发生的所有费用由卖方承担。</w:t>
            </w:r>
          </w:p>
        </w:tc>
      </w:tr>
    </w:tbl>
    <w:p>
      <w:pPr>
        <w:rPr>
          <w:rFonts w:ascii="宋体" w:hAnsi="宋体" w:cs="宋体"/>
          <w:sz w:val="28"/>
          <w:szCs w:val="28"/>
        </w:rPr>
      </w:pPr>
      <w:r>
        <w:rPr>
          <w:rFonts w:hint="eastAsia" w:ascii="宋体" w:hAnsi="宋体" w:cs="宋体"/>
          <w:sz w:val="28"/>
          <w:szCs w:val="28"/>
        </w:rPr>
        <w:t>注：需方有权根据澳盐和印度盐的市场价差最终决定采购澳盐或印度盐。</w:t>
      </w:r>
    </w:p>
    <w:p>
      <w:pPr>
        <w:ind w:firstLine="560" w:firstLineChars="200"/>
        <w:rPr>
          <w:rFonts w:ascii="宋体" w:hAnsi="宋体" w:cs="宋体"/>
          <w:sz w:val="28"/>
          <w:szCs w:val="28"/>
        </w:rPr>
      </w:pPr>
      <w:r>
        <w:rPr>
          <w:rFonts w:hint="eastAsia" w:ascii="宋体" w:hAnsi="宋体" w:cs="宋体"/>
          <w:sz w:val="28"/>
          <w:szCs w:val="28"/>
        </w:rPr>
        <w:t>1.3、</w:t>
      </w:r>
      <w:r>
        <w:rPr>
          <w:rFonts w:hint="eastAsia" w:ascii="宋体" w:hAnsi="宋体"/>
          <w:snapToGrid w:val="0"/>
          <w:spacing w:val="8"/>
          <w:sz w:val="28"/>
          <w:szCs w:val="28"/>
        </w:rPr>
        <w:t>质量指标需满足：</w:t>
      </w:r>
      <w:r>
        <w:rPr>
          <w:rFonts w:hint="eastAsia" w:ascii="宋体" w:hAnsi="宋体" w:cs="宋体"/>
          <w:sz w:val="28"/>
          <w:szCs w:val="28"/>
        </w:rPr>
        <w:t>外观：白色、微黄色或青白色晶体，无明显外来杂物；氯化钠≥96.00%；水分≤3.50%；水不溶物≤0.03%；钙离子≤0.06% ；镁离子≤0.04%；硫酸根离子≤0.15%；总铵≤10.0ppm ；其他指标参照国标。</w:t>
      </w:r>
    </w:p>
    <w:p>
      <w:pPr>
        <w:tabs>
          <w:tab w:val="left" w:pos="5880"/>
        </w:tabs>
        <w:jc w:val="left"/>
        <w:rPr>
          <w:rFonts w:ascii="宋体"/>
          <w:b/>
          <w:bCs/>
          <w:sz w:val="28"/>
          <w:szCs w:val="28"/>
        </w:rPr>
      </w:pPr>
      <w:r>
        <w:rPr>
          <w:rFonts w:ascii="宋体" w:hAnsi="宋体" w:cs="宋体"/>
          <w:b/>
          <w:bCs/>
          <w:sz w:val="28"/>
          <w:szCs w:val="28"/>
        </w:rPr>
        <w:t>2</w:t>
      </w:r>
      <w:r>
        <w:rPr>
          <w:rFonts w:hint="eastAsia" w:ascii="宋体" w:hAnsi="宋体" w:cs="宋体"/>
          <w:b/>
          <w:bCs/>
          <w:sz w:val="28"/>
          <w:szCs w:val="28"/>
        </w:rPr>
        <w:t>、定义和解释</w:t>
      </w:r>
    </w:p>
    <w:p>
      <w:pPr>
        <w:tabs>
          <w:tab w:val="left" w:pos="5880"/>
        </w:tabs>
        <w:ind w:firstLine="560" w:firstLineChars="200"/>
        <w:jc w:val="left"/>
        <w:rPr>
          <w:rFonts w:ascii="宋体"/>
          <w:sz w:val="28"/>
          <w:szCs w:val="28"/>
        </w:rPr>
      </w:pPr>
      <w:r>
        <w:rPr>
          <w:rFonts w:ascii="宋体" w:hAnsi="宋体" w:cs="宋体"/>
          <w:sz w:val="28"/>
          <w:szCs w:val="28"/>
        </w:rPr>
        <w:t xml:space="preserve">2.1 </w:t>
      </w:r>
      <w:r>
        <w:rPr>
          <w:rFonts w:hint="eastAsia" w:ascii="宋体" w:hAnsi="宋体" w:cs="宋体"/>
          <w:sz w:val="28"/>
          <w:szCs w:val="28"/>
        </w:rPr>
        <w:t>“比选人”系福建省东南电化股份有限公司，即业主方。</w:t>
      </w:r>
    </w:p>
    <w:p>
      <w:pPr>
        <w:tabs>
          <w:tab w:val="left" w:pos="5880"/>
        </w:tabs>
        <w:ind w:firstLine="560" w:firstLineChars="200"/>
        <w:jc w:val="left"/>
        <w:rPr>
          <w:rFonts w:ascii="宋体"/>
          <w:sz w:val="28"/>
          <w:szCs w:val="28"/>
        </w:rPr>
      </w:pPr>
      <w:r>
        <w:rPr>
          <w:rFonts w:ascii="宋体" w:hAnsi="宋体" w:cs="宋体"/>
          <w:sz w:val="28"/>
          <w:szCs w:val="28"/>
        </w:rPr>
        <w:t xml:space="preserve">2.2 </w:t>
      </w:r>
      <w:r>
        <w:rPr>
          <w:rFonts w:hint="eastAsia" w:ascii="宋体" w:hAnsi="宋体" w:cs="宋体"/>
          <w:sz w:val="28"/>
          <w:szCs w:val="28"/>
        </w:rPr>
        <w:t>“参选人”系指向比选人报名并接受邀请，领取比选文件，且已经提交或准备提交本次参选文件的法人。</w:t>
      </w:r>
    </w:p>
    <w:p>
      <w:pPr>
        <w:tabs>
          <w:tab w:val="left" w:pos="5880"/>
        </w:tabs>
        <w:ind w:firstLine="560" w:firstLineChars="200"/>
        <w:jc w:val="left"/>
        <w:rPr>
          <w:rFonts w:ascii="宋体"/>
          <w:sz w:val="28"/>
          <w:szCs w:val="28"/>
        </w:rPr>
      </w:pPr>
      <w:r>
        <w:rPr>
          <w:rFonts w:ascii="宋体" w:hAnsi="宋体" w:cs="宋体"/>
          <w:sz w:val="28"/>
          <w:szCs w:val="28"/>
        </w:rPr>
        <w:t xml:space="preserve">2.3  </w:t>
      </w:r>
      <w:r>
        <w:rPr>
          <w:rFonts w:hint="eastAsia" w:ascii="宋体" w:hAnsi="宋体" w:cs="宋体"/>
          <w:sz w:val="28"/>
          <w:szCs w:val="28"/>
        </w:rPr>
        <w:t>“参选人代表”系指全权代表参选人参加本次投标活动并签署参选文件的人，如果参选人代表不是参选人的法定代表人，须持有《法定代表人授权委托书》详见附件二。</w:t>
      </w:r>
    </w:p>
    <w:p>
      <w:pPr>
        <w:tabs>
          <w:tab w:val="left" w:pos="5880"/>
        </w:tabs>
        <w:ind w:firstLine="560" w:firstLineChars="200"/>
        <w:jc w:val="left"/>
        <w:rPr>
          <w:rFonts w:ascii="宋体"/>
          <w:sz w:val="28"/>
          <w:szCs w:val="28"/>
        </w:rPr>
      </w:pPr>
      <w:r>
        <w:rPr>
          <w:rFonts w:ascii="宋体" w:hAnsi="宋体" w:cs="宋体"/>
          <w:sz w:val="28"/>
          <w:szCs w:val="28"/>
        </w:rPr>
        <w:t xml:space="preserve">2.4 </w:t>
      </w:r>
      <w:r>
        <w:rPr>
          <w:rFonts w:hint="eastAsia" w:ascii="宋体" w:hAnsi="宋体" w:cs="宋体"/>
          <w:sz w:val="28"/>
          <w:szCs w:val="28"/>
        </w:rPr>
        <w:t>“服务”系指比选文件规定参选人为完成全部合同义务须承担的所有工作，包括：装车、运输、处置等以及其他类似的义务。</w:t>
      </w:r>
    </w:p>
    <w:p>
      <w:pPr>
        <w:tabs>
          <w:tab w:val="left" w:pos="5880"/>
        </w:tabs>
        <w:jc w:val="left"/>
        <w:rPr>
          <w:rFonts w:ascii="宋体"/>
          <w:b/>
          <w:bCs/>
          <w:sz w:val="28"/>
          <w:szCs w:val="28"/>
        </w:rPr>
      </w:pPr>
      <w:r>
        <w:rPr>
          <w:rFonts w:ascii="宋体" w:hAnsi="宋体" w:cs="宋体"/>
          <w:b/>
          <w:bCs/>
          <w:sz w:val="28"/>
          <w:szCs w:val="28"/>
        </w:rPr>
        <w:t>3</w:t>
      </w:r>
      <w:r>
        <w:rPr>
          <w:rFonts w:hint="eastAsia" w:ascii="宋体" w:hAnsi="宋体" w:cs="宋体"/>
          <w:b/>
          <w:bCs/>
          <w:sz w:val="28"/>
          <w:szCs w:val="28"/>
        </w:rPr>
        <w:t>、比选文件组成</w:t>
      </w:r>
    </w:p>
    <w:p>
      <w:pPr>
        <w:tabs>
          <w:tab w:val="left" w:pos="5880"/>
        </w:tabs>
        <w:ind w:firstLine="560" w:firstLineChars="200"/>
        <w:jc w:val="left"/>
        <w:rPr>
          <w:rFonts w:ascii="宋体" w:hAnsi="宋体" w:cs="宋体"/>
          <w:sz w:val="28"/>
          <w:szCs w:val="28"/>
        </w:rPr>
      </w:pPr>
      <w:r>
        <w:rPr>
          <w:rFonts w:ascii="宋体" w:hAnsi="宋体" w:cs="宋体"/>
          <w:sz w:val="28"/>
          <w:szCs w:val="28"/>
        </w:rPr>
        <w:t xml:space="preserve">3.1 </w:t>
      </w:r>
      <w:r>
        <w:rPr>
          <w:rFonts w:hint="eastAsia" w:ascii="宋体" w:hAnsi="宋体" w:cs="宋体"/>
          <w:sz w:val="28"/>
          <w:szCs w:val="28"/>
        </w:rPr>
        <w:t>比选文件包括下列内容：</w:t>
      </w:r>
      <w:r>
        <w:rPr>
          <w:rFonts w:ascii="宋体" w:hAnsi="宋体" w:cs="宋体"/>
          <w:sz w:val="28"/>
          <w:szCs w:val="28"/>
        </w:rPr>
        <w:t xml:space="preserve">    </w:t>
      </w:r>
    </w:p>
    <w:p>
      <w:pPr>
        <w:tabs>
          <w:tab w:val="left" w:pos="5880"/>
        </w:tabs>
        <w:ind w:firstLine="560" w:firstLineChars="200"/>
        <w:jc w:val="left"/>
        <w:rPr>
          <w:rFonts w:ascii="宋体"/>
          <w:sz w:val="28"/>
          <w:szCs w:val="28"/>
        </w:rPr>
      </w:pPr>
      <w:r>
        <w:rPr>
          <w:rFonts w:hint="eastAsia" w:ascii="宋体" w:hAnsi="宋体" w:cs="宋体"/>
          <w:sz w:val="28"/>
          <w:szCs w:val="28"/>
        </w:rPr>
        <w:t>比选公告、比选须知、合同书格式、报价单、承诺函等。</w:t>
      </w:r>
    </w:p>
    <w:p>
      <w:pPr>
        <w:tabs>
          <w:tab w:val="left" w:pos="5880"/>
        </w:tabs>
        <w:ind w:firstLine="560" w:firstLineChars="200"/>
        <w:jc w:val="left"/>
        <w:rPr>
          <w:rFonts w:ascii="宋体"/>
          <w:sz w:val="28"/>
          <w:szCs w:val="28"/>
        </w:rPr>
      </w:pPr>
      <w:r>
        <w:rPr>
          <w:rFonts w:ascii="宋体" w:hAnsi="宋体" w:cs="宋体"/>
          <w:sz w:val="28"/>
          <w:szCs w:val="28"/>
        </w:rPr>
        <w:t xml:space="preserve">3.2 </w:t>
      </w:r>
      <w:r>
        <w:rPr>
          <w:rFonts w:hint="eastAsia" w:ascii="宋体" w:hAnsi="宋体" w:cs="宋体"/>
          <w:sz w:val="28"/>
          <w:szCs w:val="28"/>
        </w:rPr>
        <w:t>比选文件除</w:t>
      </w:r>
      <w:r>
        <w:rPr>
          <w:rFonts w:ascii="宋体" w:hAnsi="宋体" w:cs="宋体"/>
          <w:sz w:val="28"/>
          <w:szCs w:val="28"/>
        </w:rPr>
        <w:t>3.1</w:t>
      </w:r>
      <w:r>
        <w:rPr>
          <w:rFonts w:hint="eastAsia" w:ascii="宋体" w:hAnsi="宋体" w:cs="宋体"/>
          <w:sz w:val="28"/>
          <w:szCs w:val="28"/>
        </w:rPr>
        <w:t>内容外，比选人在比选期间发出的书面文件和其他修改或补充函件，均是比选文件不可分割的组成部分。</w:t>
      </w:r>
    </w:p>
    <w:p>
      <w:pPr>
        <w:tabs>
          <w:tab w:val="left" w:pos="5880"/>
        </w:tabs>
        <w:jc w:val="left"/>
        <w:rPr>
          <w:rFonts w:ascii="宋体"/>
          <w:b/>
          <w:bCs/>
          <w:sz w:val="28"/>
          <w:szCs w:val="28"/>
        </w:rPr>
      </w:pPr>
      <w:r>
        <w:rPr>
          <w:rFonts w:ascii="宋体" w:hAnsi="宋体" w:cs="宋体"/>
          <w:b/>
          <w:bCs/>
          <w:sz w:val="28"/>
          <w:szCs w:val="28"/>
        </w:rPr>
        <w:t>4</w:t>
      </w:r>
      <w:r>
        <w:rPr>
          <w:rFonts w:hint="eastAsia" w:ascii="宋体" w:hAnsi="宋体" w:cs="宋体"/>
          <w:b/>
          <w:bCs/>
          <w:sz w:val="28"/>
          <w:szCs w:val="28"/>
        </w:rPr>
        <w:t>、比选文件的澄清</w:t>
      </w:r>
    </w:p>
    <w:p>
      <w:pPr>
        <w:tabs>
          <w:tab w:val="left" w:pos="5880"/>
        </w:tabs>
        <w:ind w:firstLine="560" w:firstLineChars="200"/>
        <w:jc w:val="left"/>
        <w:rPr>
          <w:rFonts w:ascii="宋体"/>
          <w:sz w:val="28"/>
          <w:szCs w:val="28"/>
        </w:rPr>
      </w:pPr>
      <w:r>
        <w:rPr>
          <w:rFonts w:hint="eastAsia" w:ascii="宋体" w:hAnsi="宋体" w:cs="宋体"/>
          <w:sz w:val="28"/>
          <w:szCs w:val="28"/>
        </w:rPr>
        <w:t>参选人获取比选文件后，应仔细检查比选文件的所有内容，如有残缺等问题应在获得招标文件</w:t>
      </w:r>
      <w:r>
        <w:rPr>
          <w:rFonts w:ascii="宋体" w:hAnsi="宋体" w:cs="宋体"/>
          <w:sz w:val="28"/>
          <w:szCs w:val="28"/>
        </w:rPr>
        <w:t>3</w:t>
      </w:r>
      <w:r>
        <w:rPr>
          <w:rFonts w:hint="eastAsia" w:ascii="宋体" w:hAnsi="宋体" w:cs="宋体"/>
          <w:sz w:val="28"/>
          <w:szCs w:val="28"/>
        </w:rPr>
        <w:t>日内向比选人提出。参选人若对招标文件有任何疑问，应在参选截止时间前</w:t>
      </w:r>
      <w:r>
        <w:rPr>
          <w:rFonts w:ascii="宋体" w:hAnsi="宋体" w:cs="宋体"/>
          <w:sz w:val="28"/>
          <w:szCs w:val="28"/>
        </w:rPr>
        <w:t>5</w:t>
      </w:r>
      <w:r>
        <w:rPr>
          <w:rFonts w:hint="eastAsia" w:ascii="宋体" w:hAnsi="宋体" w:cs="宋体"/>
          <w:sz w:val="28"/>
          <w:szCs w:val="28"/>
        </w:rPr>
        <w:t>日，按参选须知载明的地址以书面形式（包括</w:t>
      </w:r>
      <w:r>
        <w:rPr>
          <w:rFonts w:hint="eastAsia" w:ascii="宋体" w:hAnsi="宋体" w:cs="宋体"/>
          <w:color w:val="000000"/>
          <w:sz w:val="28"/>
          <w:szCs w:val="28"/>
        </w:rPr>
        <w:t>书面、传真、电子邮件</w:t>
      </w:r>
      <w:r>
        <w:rPr>
          <w:rFonts w:hint="eastAsia" w:ascii="宋体" w:hAnsi="宋体" w:cs="宋体"/>
          <w:sz w:val="28"/>
          <w:szCs w:val="28"/>
        </w:rPr>
        <w:t>下同）通知到比选人。比选人将视情况确定采用适当方式予以澄清或以书面形式予以答复，澄清文件作为比选文件的组成部分，具有约束作用。</w:t>
      </w:r>
    </w:p>
    <w:p>
      <w:pPr>
        <w:tabs>
          <w:tab w:val="left" w:pos="5880"/>
        </w:tabs>
        <w:jc w:val="left"/>
        <w:rPr>
          <w:rFonts w:ascii="宋体"/>
          <w:b/>
          <w:bCs/>
          <w:sz w:val="28"/>
          <w:szCs w:val="28"/>
        </w:rPr>
      </w:pPr>
      <w:r>
        <w:rPr>
          <w:rFonts w:ascii="宋体" w:hAnsi="宋体" w:cs="宋体"/>
          <w:b/>
          <w:bCs/>
          <w:sz w:val="28"/>
          <w:szCs w:val="28"/>
        </w:rPr>
        <w:t>5</w:t>
      </w:r>
      <w:r>
        <w:rPr>
          <w:rFonts w:hint="eastAsia" w:ascii="宋体" w:hAnsi="宋体" w:cs="宋体"/>
          <w:b/>
          <w:bCs/>
          <w:sz w:val="28"/>
          <w:szCs w:val="28"/>
        </w:rPr>
        <w:t>、比选文件的修改、补充</w:t>
      </w:r>
    </w:p>
    <w:p>
      <w:pPr>
        <w:tabs>
          <w:tab w:val="left" w:pos="5880"/>
        </w:tabs>
        <w:ind w:firstLine="560" w:firstLineChars="200"/>
        <w:jc w:val="left"/>
        <w:rPr>
          <w:rFonts w:ascii="宋体"/>
          <w:sz w:val="28"/>
          <w:szCs w:val="28"/>
        </w:rPr>
      </w:pPr>
      <w:r>
        <w:rPr>
          <w:rFonts w:ascii="宋体" w:hAnsi="宋体" w:cs="宋体"/>
          <w:sz w:val="28"/>
          <w:szCs w:val="28"/>
        </w:rPr>
        <w:t xml:space="preserve">5.1 </w:t>
      </w:r>
      <w:r>
        <w:rPr>
          <w:rFonts w:hint="eastAsia" w:ascii="宋体" w:hAnsi="宋体" w:cs="宋体"/>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tabs>
          <w:tab w:val="left" w:pos="5880"/>
        </w:tabs>
        <w:ind w:firstLine="560" w:firstLineChars="200"/>
        <w:jc w:val="left"/>
        <w:rPr>
          <w:rFonts w:ascii="宋体"/>
          <w:sz w:val="28"/>
          <w:szCs w:val="28"/>
        </w:rPr>
      </w:pPr>
      <w:r>
        <w:rPr>
          <w:rFonts w:ascii="宋体" w:hAnsi="宋体" w:cs="宋体"/>
          <w:sz w:val="28"/>
          <w:szCs w:val="28"/>
        </w:rPr>
        <w:t xml:space="preserve">5.2 </w:t>
      </w:r>
      <w:r>
        <w:rPr>
          <w:rFonts w:hint="eastAsia" w:ascii="宋体" w:hAnsi="宋体" w:cs="宋体"/>
          <w:sz w:val="28"/>
          <w:szCs w:val="28"/>
        </w:rPr>
        <w:t>为使参选人在准备投标文件时有合理的时间考虑比选文件的修改，比选人可酌情推迟参选截止时间和开评时间，并以书面形式通知已获得比选文件的每一参选人。</w:t>
      </w:r>
    </w:p>
    <w:p>
      <w:pPr>
        <w:tabs>
          <w:tab w:val="left" w:pos="5880"/>
        </w:tabs>
        <w:ind w:firstLine="560" w:firstLineChars="200"/>
        <w:jc w:val="left"/>
        <w:rPr>
          <w:rFonts w:ascii="宋体"/>
          <w:sz w:val="28"/>
          <w:szCs w:val="28"/>
        </w:rPr>
      </w:pPr>
      <w:r>
        <w:rPr>
          <w:rFonts w:ascii="宋体" w:hAnsi="宋体" w:cs="宋体"/>
          <w:sz w:val="28"/>
          <w:szCs w:val="28"/>
        </w:rPr>
        <w:t xml:space="preserve">5.3 </w:t>
      </w:r>
      <w:r>
        <w:rPr>
          <w:rFonts w:hint="eastAsia" w:ascii="宋体" w:hAnsi="宋体" w:cs="宋体"/>
          <w:sz w:val="28"/>
          <w:szCs w:val="28"/>
        </w:rPr>
        <w:t>比选文件的修改书将构成比选文件的一部分，对参选人具有约束作用。</w:t>
      </w:r>
    </w:p>
    <w:p>
      <w:pPr>
        <w:tabs>
          <w:tab w:val="left" w:pos="5880"/>
        </w:tabs>
        <w:jc w:val="left"/>
        <w:rPr>
          <w:rFonts w:ascii="宋体"/>
          <w:b/>
          <w:bCs/>
          <w:sz w:val="28"/>
          <w:szCs w:val="28"/>
        </w:rPr>
      </w:pPr>
      <w:r>
        <w:rPr>
          <w:rFonts w:ascii="宋体" w:hAnsi="宋体" w:cs="宋体"/>
          <w:b/>
          <w:bCs/>
          <w:sz w:val="28"/>
          <w:szCs w:val="28"/>
        </w:rPr>
        <w:t>6</w:t>
      </w:r>
      <w:r>
        <w:rPr>
          <w:rFonts w:hint="eastAsia" w:ascii="宋体" w:hAnsi="宋体" w:cs="宋体"/>
          <w:b/>
          <w:bCs/>
          <w:sz w:val="28"/>
          <w:szCs w:val="28"/>
        </w:rPr>
        <w:t>、参选人资格</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本次要求参选人具有独立法人资格，具备相关经营资质并具有独立承担民事责任的能力。</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具备履行合同所必需的能力，可按照我司需求及时提供质优价廉的商品及服务。</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3自项目发布比选公告之日的前三年内，参选人应具有至少一次外贸工业盐采购供应的业绩；</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4参加本次比选活动之前的三年内，在经营活动中无重大违法记录；未被列为失信被执行人（以“中国执行信息公开网”所列数据为准）（请提供网站截图）；</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6.5本比选项目不接受联合体参选。</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6.6其他资格要求详见比选文件。</w:t>
      </w:r>
    </w:p>
    <w:p>
      <w:pPr>
        <w:tabs>
          <w:tab w:val="left" w:pos="5880"/>
        </w:tabs>
        <w:spacing w:line="360" w:lineRule="auto"/>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7、参选保证金</w:t>
      </w:r>
    </w:p>
    <w:p>
      <w:pPr>
        <w:tabs>
          <w:tab w:val="left" w:pos="5880"/>
        </w:tabs>
        <w:spacing w:line="36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本条不适用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7.1保证金提交的时间：比选文件递交截止时间之前，即2021年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日16时前。</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7.3比选保证金提交的金额：</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7.3.1 </w:t>
      </w:r>
      <w:r>
        <w:rPr>
          <w:rFonts w:hint="eastAsia" w:ascii="宋体" w:hAnsi="宋体"/>
          <w:snapToGrid w:val="0"/>
          <w:spacing w:val="8"/>
          <w:sz w:val="28"/>
          <w:szCs w:val="28"/>
          <w:u w:val="single"/>
        </w:rPr>
        <w:t xml:space="preserve">                              项目</w:t>
      </w:r>
      <w:r>
        <w:rPr>
          <w:rFonts w:hint="eastAsia" w:asciiTheme="minorEastAsia" w:hAnsiTheme="minorEastAsia" w:eastAsiaTheme="minorEastAsia"/>
          <w:sz w:val="28"/>
          <w:szCs w:val="28"/>
        </w:rPr>
        <w:t>比选保证金人民币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w:t>
      </w:r>
    </w:p>
    <w:p>
      <w:pPr>
        <w:tabs>
          <w:tab w:val="left" w:pos="5880"/>
        </w:tabs>
        <w:autoSpaceDE w:val="0"/>
        <w:autoSpaceDN w:val="0"/>
        <w:spacing w:line="324" w:lineRule="auto"/>
        <w:rPr>
          <w:rFonts w:ascii="宋体" w:hAnsi="宋体"/>
          <w:b/>
          <w:sz w:val="28"/>
          <w:szCs w:val="28"/>
        </w:rPr>
      </w:pPr>
      <w:r>
        <w:rPr>
          <w:rFonts w:hint="eastAsia" w:ascii="宋体" w:hAnsi="宋体"/>
          <w:b/>
          <w:sz w:val="28"/>
          <w:szCs w:val="28"/>
        </w:rPr>
        <w:t>8、参选文件的递交</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1.参选文件递交的截止时间：</w:t>
      </w:r>
      <w:r>
        <w:rPr>
          <w:rFonts w:hint="eastAsia" w:ascii="宋体" w:hAnsi="宋体" w:cs="宋体"/>
          <w:b/>
          <w:sz w:val="28"/>
          <w:szCs w:val="28"/>
          <w:u w:val="single"/>
        </w:rPr>
        <w:t>2021</w:t>
      </w:r>
      <w:r>
        <w:rPr>
          <w:rFonts w:hint="eastAsia" w:ascii="宋体" w:hAnsi="宋体" w:cs="宋体"/>
          <w:b/>
          <w:sz w:val="28"/>
          <w:szCs w:val="28"/>
        </w:rPr>
        <w:t>年</w:t>
      </w:r>
      <w:r>
        <w:rPr>
          <w:rFonts w:hint="eastAsia" w:ascii="宋体" w:hAnsi="宋体" w:cs="宋体"/>
          <w:b/>
          <w:sz w:val="28"/>
          <w:szCs w:val="28"/>
          <w:u w:val="single"/>
        </w:rPr>
        <w:t>4</w:t>
      </w:r>
      <w:r>
        <w:rPr>
          <w:rFonts w:hint="eastAsia" w:ascii="宋体" w:hAnsi="宋体" w:cs="宋体"/>
          <w:b/>
          <w:sz w:val="28"/>
          <w:szCs w:val="28"/>
        </w:rPr>
        <w:t>月</w:t>
      </w:r>
      <w:r>
        <w:rPr>
          <w:rFonts w:hint="eastAsia" w:ascii="宋体" w:hAnsi="宋体" w:cs="宋体"/>
          <w:b/>
          <w:sz w:val="28"/>
          <w:szCs w:val="28"/>
          <w:u w:val="single"/>
        </w:rPr>
        <w:t>1</w:t>
      </w:r>
      <w:r>
        <w:rPr>
          <w:rFonts w:hint="eastAsia" w:ascii="宋体" w:hAnsi="宋体" w:cs="宋体"/>
          <w:b/>
          <w:sz w:val="28"/>
          <w:szCs w:val="28"/>
        </w:rPr>
        <w:t>日下午16时00分。</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参选文件邮件包装外层应用油性笔写清投标项目、联系人（参选人）及电话，若未标记致收件人员无法正常辨别、接收投标件的，按废标处理。请使用顺丰或EMS进行邮寄，其他邮寄方式可能无法到达我司。</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3.只允许参选人有一个参选方案，否则将被视为无效参选。</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4.逾期送达的或未送达指定地点或参选文件密封不符合规定要求的参选文件，比选人不予受理。参选人所提交的比选文件在评选结束后，无论中选与否都不退还。</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5.参选人收到比选文件后，如有疑问需要澄清，请以书面形式在规定时间内报比选人汇总。</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6.参选人对比选人提供的比选文件所做出的推论、解释和结论，比选人概不负责。参选人由于对比选文件的任何推论和误解以及比选对有关问题的口头解释所造成的后果，均由参选人负责。</w:t>
      </w: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jc w:val="center"/>
        <w:rPr>
          <w:rFonts w:ascii="宋体"/>
          <w:b/>
          <w:color w:val="000000"/>
          <w:sz w:val="32"/>
          <w:szCs w:val="32"/>
        </w:rPr>
      </w:pPr>
      <w:r>
        <w:rPr>
          <w:rFonts w:hint="eastAsia" w:ascii="宋体" w:hAnsi="宋体" w:cs="宋体"/>
          <w:b/>
          <w:color w:val="000000"/>
          <w:sz w:val="32"/>
          <w:szCs w:val="32"/>
        </w:rPr>
        <w:t>第三章</w:t>
      </w:r>
      <w:r>
        <w:rPr>
          <w:rFonts w:ascii="宋体" w:hAnsi="宋体" w:cs="宋体"/>
          <w:b/>
          <w:color w:val="000000"/>
          <w:sz w:val="32"/>
          <w:szCs w:val="32"/>
        </w:rPr>
        <w:t xml:space="preserve">   </w:t>
      </w:r>
      <w:r>
        <w:rPr>
          <w:rFonts w:hint="eastAsia" w:ascii="宋体" w:hAnsi="宋体" w:cs="宋体"/>
          <w:b/>
          <w:color w:val="000000"/>
          <w:sz w:val="32"/>
          <w:szCs w:val="32"/>
        </w:rPr>
        <w:t>参选文件的编制</w:t>
      </w:r>
    </w:p>
    <w:p>
      <w:pPr>
        <w:tabs>
          <w:tab w:val="left" w:pos="5880"/>
        </w:tabs>
        <w:snapToGrid w:val="0"/>
        <w:spacing w:line="360" w:lineRule="auto"/>
        <w:rPr>
          <w:rFonts w:ascii="宋体"/>
          <w:b/>
          <w:bCs/>
          <w:sz w:val="28"/>
          <w:szCs w:val="28"/>
        </w:rPr>
      </w:pPr>
      <w:r>
        <w:rPr>
          <w:rFonts w:ascii="宋体" w:hAnsi="宋体" w:cs="宋体"/>
          <w:b/>
          <w:bCs/>
          <w:sz w:val="28"/>
          <w:szCs w:val="28"/>
        </w:rPr>
        <w:t>1</w:t>
      </w:r>
      <w:r>
        <w:rPr>
          <w:rFonts w:hint="eastAsia" w:ascii="宋体" w:hAnsi="宋体" w:cs="宋体"/>
          <w:b/>
          <w:bCs/>
          <w:sz w:val="28"/>
          <w:szCs w:val="28"/>
        </w:rPr>
        <w:t>、参选文件的组成：</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提供经营业绩的证明。其中包括2017年—2020年承包业绩的合同、营业业绩证明等，其他可以证明承包单位具有良好运营业绩的相关材料；若虚假申报，比选人保留否决权。</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②参选单位企业概况（当前主要经营品种及经营状况、经营历史简介，经营能力介绍，）、营业执照</w:t>
      </w:r>
      <w:r>
        <w:rPr>
          <w:rFonts w:asciiTheme="minorEastAsia" w:hAnsiTheme="minorEastAsia" w:eastAsiaTheme="minorEastAsia"/>
          <w:sz w:val="28"/>
          <w:szCs w:val="28"/>
        </w:rPr>
        <w:t>（经年检或年审合格的）</w:t>
      </w:r>
      <w:r>
        <w:rPr>
          <w:rFonts w:hint="eastAsia" w:asciiTheme="minorEastAsia" w:hAnsiTheme="minorEastAsia" w:eastAsiaTheme="minorEastAsia"/>
          <w:sz w:val="28"/>
          <w:szCs w:val="28"/>
        </w:rPr>
        <w:t>开户许可证等。</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pStyle w:val="63"/>
        <w:ind w:firstLine="560" w:firstLineChars="200"/>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④参选单位需提供</w:t>
      </w:r>
      <w:r>
        <w:rPr>
          <w:rFonts w:hint="eastAsia" w:cs="宋体" w:asciiTheme="minorEastAsia" w:hAnsiTheme="minorEastAsia" w:eastAsiaTheme="minorEastAsia"/>
          <w:color w:val="000000"/>
          <w:sz w:val="28"/>
          <w:szCs w:val="28"/>
        </w:rPr>
        <w:t>相应工业盐来源、质量等相关说明文件。</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参选单位缴纳比选保证金的交款单据原件或银行电子回单。（本条不适用）</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⑥提供参选报价表。报价单参照附件二格式进行报价。如私自修改报价格式按废标处理。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⑦以上①至</w:t>
      </w:r>
      <w:r>
        <w:rPr>
          <w:rFonts w:asciiTheme="minorEastAsia" w:hAnsiTheme="minorEastAsia" w:eastAsiaTheme="minorEastAsia"/>
          <w:color w:val="000000"/>
          <w:sz w:val="28"/>
          <w:szCs w:val="28"/>
        </w:rPr>
        <w:t>⑤</w:t>
      </w:r>
      <w:r>
        <w:rPr>
          <w:rFonts w:hint="eastAsia" w:asciiTheme="minorEastAsia" w:hAnsiTheme="minorEastAsia" w:eastAsiaTheme="minorEastAsia"/>
          <w:sz w:val="28"/>
          <w:szCs w:val="28"/>
        </w:rPr>
        <w:t>项内容合并密封、加盖公章、在封面注明资质文件；</w:t>
      </w:r>
      <w:r>
        <w:rPr>
          <w:rFonts w:hint="eastAsia" w:asciiTheme="minorEastAsia" w:hAnsiTheme="minorEastAsia" w:eastAsiaTheme="minorEastAsia"/>
          <w:color w:val="000000"/>
          <w:sz w:val="28"/>
          <w:szCs w:val="28"/>
        </w:rPr>
        <w:t>⑥项内容单独密封、加盖公章、在封面注明报价单。</w:t>
      </w:r>
    </w:p>
    <w:p>
      <w:pPr>
        <w:tabs>
          <w:tab w:val="left" w:pos="5880"/>
        </w:tabs>
        <w:spacing w:line="360" w:lineRule="auto"/>
        <w:rPr>
          <w:rFonts w:ascii="宋体"/>
          <w:b/>
          <w:bCs/>
          <w:sz w:val="28"/>
          <w:szCs w:val="28"/>
        </w:rPr>
      </w:pPr>
      <w:r>
        <w:rPr>
          <w:rFonts w:ascii="宋体" w:hAnsi="宋体" w:cs="宋体"/>
          <w:b/>
          <w:bCs/>
          <w:sz w:val="28"/>
          <w:szCs w:val="28"/>
        </w:rPr>
        <w:t>2</w:t>
      </w:r>
      <w:r>
        <w:rPr>
          <w:rFonts w:hint="eastAsia" w:ascii="宋体" w:hAnsi="宋体" w:cs="宋体"/>
          <w:b/>
          <w:bCs/>
          <w:sz w:val="28"/>
          <w:szCs w:val="28"/>
        </w:rPr>
        <w:t>、参选书格式</w:t>
      </w:r>
    </w:p>
    <w:p>
      <w:pPr>
        <w:tabs>
          <w:tab w:val="left" w:pos="5880"/>
        </w:tabs>
        <w:spacing w:line="360" w:lineRule="auto"/>
        <w:ind w:firstLine="548" w:firstLineChars="196"/>
        <w:rPr>
          <w:rFonts w:ascii="宋体"/>
          <w:sz w:val="28"/>
          <w:szCs w:val="28"/>
        </w:rPr>
      </w:pPr>
      <w:r>
        <w:rPr>
          <w:rFonts w:hint="eastAsia" w:ascii="宋体" w:hAnsi="宋体" w:cs="宋体"/>
          <w:sz w:val="28"/>
          <w:szCs w:val="28"/>
        </w:rPr>
        <w:t>参选文件格式详见附件二。</w:t>
      </w:r>
    </w:p>
    <w:p>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hint="eastAsia" w:ascii="宋体" w:hAnsi="宋体" w:cs="宋体"/>
          <w:b/>
          <w:bCs/>
          <w:color w:val="000000"/>
          <w:sz w:val="28"/>
          <w:szCs w:val="28"/>
        </w:rPr>
        <w:t>、参选报价</w:t>
      </w:r>
    </w:p>
    <w:p>
      <w:pPr>
        <w:tabs>
          <w:tab w:val="left" w:pos="5880"/>
        </w:tabs>
        <w:snapToGrid w:val="0"/>
        <w:spacing w:line="360" w:lineRule="auto"/>
        <w:ind w:firstLine="557" w:firstLineChars="199"/>
        <w:rPr>
          <w:rFonts w:ascii="宋体" w:hAnsi="宋体" w:cs="宋体"/>
          <w:sz w:val="28"/>
          <w:szCs w:val="28"/>
        </w:rPr>
      </w:pPr>
      <w:r>
        <w:rPr>
          <w:rFonts w:hint="eastAsia" w:ascii="宋体" w:hAnsi="宋体" w:cs="宋体"/>
          <w:color w:val="000000"/>
          <w:sz w:val="28"/>
          <w:szCs w:val="28"/>
        </w:rPr>
        <w:t>3.1参选</w:t>
      </w:r>
      <w:r>
        <w:rPr>
          <w:rFonts w:hint="eastAsia" w:ascii="宋体" w:hAnsi="宋体" w:cs="宋体"/>
          <w:sz w:val="28"/>
          <w:szCs w:val="28"/>
        </w:rPr>
        <w:t>人须对参选报价负责。</w:t>
      </w:r>
      <w:r>
        <w:rPr>
          <w:rFonts w:hint="eastAsia" w:ascii="宋体" w:hAnsi="宋体" w:cs="宋体"/>
          <w:color w:val="000000"/>
          <w:sz w:val="28"/>
          <w:szCs w:val="28"/>
        </w:rPr>
        <w:t>参选报价应根据</w:t>
      </w:r>
      <w:r>
        <w:rPr>
          <w:rFonts w:hint="eastAsia" w:ascii="宋体" w:hAnsi="宋体" w:cs="宋体"/>
          <w:sz w:val="28"/>
          <w:szCs w:val="28"/>
        </w:rPr>
        <w:t>报价函填写，加盖参选人印章，字迹清晰，否则视为无效。</w:t>
      </w:r>
    </w:p>
    <w:p>
      <w:pPr>
        <w:tabs>
          <w:tab w:val="left" w:pos="5880"/>
        </w:tabs>
        <w:snapToGrid w:val="0"/>
        <w:spacing w:line="360" w:lineRule="auto"/>
        <w:ind w:firstLine="557" w:firstLineChars="199"/>
        <w:rPr>
          <w:rFonts w:ascii="宋体" w:hAnsi="宋体" w:cs="宋体"/>
          <w:sz w:val="28"/>
          <w:szCs w:val="28"/>
        </w:rPr>
      </w:pPr>
      <w:r>
        <w:rPr>
          <w:rFonts w:hint="eastAsia" w:ascii="宋体" w:hAnsi="宋体" w:cs="宋体"/>
          <w:sz w:val="28"/>
          <w:szCs w:val="28"/>
        </w:rPr>
        <w:t>3.2参选人可单独对澳盐或印度盐进行报价，也可对澳盐和印度盐同时进行分开报价，参选人需确保任意一份报价单都对项目的全部货物与服务进行参选，不得仅对项目中的部分货物或服务进行参选，否则视为无效。</w:t>
      </w:r>
      <w:r>
        <w:rPr>
          <w:rFonts w:ascii="宋体" w:hAnsi="宋体" w:cs="宋体"/>
          <w:sz w:val="28"/>
          <w:szCs w:val="28"/>
        </w:rPr>
        <w:t xml:space="preserve"> </w:t>
      </w:r>
    </w:p>
    <w:p>
      <w:pPr>
        <w:tabs>
          <w:tab w:val="left" w:pos="5880"/>
        </w:tabs>
        <w:snapToGrid w:val="0"/>
        <w:spacing w:line="360" w:lineRule="auto"/>
        <w:rPr>
          <w:rFonts w:ascii="宋体"/>
          <w:b/>
          <w:bCs/>
          <w:sz w:val="28"/>
          <w:szCs w:val="28"/>
        </w:rPr>
      </w:pPr>
      <w:r>
        <w:rPr>
          <w:rFonts w:ascii="宋体" w:hAnsi="宋体" w:cs="宋体"/>
          <w:b/>
          <w:bCs/>
          <w:sz w:val="28"/>
          <w:szCs w:val="28"/>
        </w:rPr>
        <w:t>4</w:t>
      </w:r>
      <w:r>
        <w:rPr>
          <w:rFonts w:hint="eastAsia" w:ascii="宋体" w:hAnsi="宋体" w:cs="宋体"/>
          <w:b/>
          <w:bCs/>
          <w:sz w:val="28"/>
          <w:szCs w:val="28"/>
        </w:rPr>
        <w:t>、特别说明</w:t>
      </w:r>
    </w:p>
    <w:p>
      <w:pPr>
        <w:widowControl/>
        <w:tabs>
          <w:tab w:val="left" w:pos="5880"/>
        </w:tabs>
        <w:snapToGrid w:val="0"/>
        <w:spacing w:line="360" w:lineRule="auto"/>
        <w:ind w:firstLine="560" w:firstLineChars="200"/>
        <w:rPr>
          <w:rFonts w:ascii="宋体"/>
          <w:sz w:val="28"/>
          <w:szCs w:val="28"/>
        </w:rPr>
      </w:pPr>
      <w:r>
        <w:rPr>
          <w:rFonts w:ascii="宋体" w:hAnsi="宋体" w:cs="宋体"/>
          <w:sz w:val="28"/>
          <w:szCs w:val="28"/>
        </w:rPr>
        <w:t>4.1</w:t>
      </w:r>
      <w:r>
        <w:rPr>
          <w:rFonts w:hint="eastAsia" w:ascii="宋体" w:hAnsi="宋体" w:cs="宋体"/>
          <w:sz w:val="28"/>
          <w:szCs w:val="28"/>
        </w:rPr>
        <w:t>参选人需承担所有与比选有关的费用，比选人在任何情况</w:t>
      </w:r>
    </w:p>
    <w:p>
      <w:pPr>
        <w:widowControl/>
        <w:tabs>
          <w:tab w:val="left" w:pos="5880"/>
        </w:tabs>
        <w:snapToGrid w:val="0"/>
        <w:spacing w:line="360" w:lineRule="auto"/>
        <w:rPr>
          <w:rFonts w:ascii="宋体"/>
          <w:sz w:val="28"/>
          <w:szCs w:val="28"/>
        </w:rPr>
      </w:pPr>
      <w:r>
        <w:rPr>
          <w:rFonts w:hint="eastAsia" w:ascii="宋体" w:hAnsi="宋体" w:cs="宋体"/>
          <w:sz w:val="28"/>
          <w:szCs w:val="28"/>
        </w:rPr>
        <w:t>不负担上述费用。</w:t>
      </w:r>
    </w:p>
    <w:p>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4.2</w:t>
      </w:r>
      <w:r>
        <w:rPr>
          <w:rFonts w:hint="eastAsia" w:ascii="宋体" w:hAnsi="宋体" w:cs="宋体"/>
          <w:color w:val="000000"/>
          <w:sz w:val="28"/>
          <w:szCs w:val="28"/>
        </w:rPr>
        <w:t>参选收到比选文件后，如有疑问需要澄清，请以</w:t>
      </w:r>
      <w:r>
        <w:rPr>
          <w:rFonts w:hint="eastAsia" w:ascii="宋体" w:hAnsi="宋体" w:cs="宋体"/>
          <w:sz w:val="28"/>
          <w:szCs w:val="28"/>
        </w:rPr>
        <w:t>书面形式</w:t>
      </w:r>
      <w:r>
        <w:rPr>
          <w:rFonts w:hint="eastAsia" w:ascii="宋体" w:hAnsi="宋体" w:cs="宋体"/>
          <w:color w:val="000000"/>
          <w:sz w:val="28"/>
          <w:szCs w:val="28"/>
        </w:rPr>
        <w:t>在规定时间内报比选人汇总。</w:t>
      </w:r>
    </w:p>
    <w:p>
      <w:pPr>
        <w:widowControl/>
        <w:tabs>
          <w:tab w:val="left" w:pos="3825"/>
          <w:tab w:val="left" w:pos="5880"/>
        </w:tabs>
        <w:snapToGrid w:val="0"/>
        <w:spacing w:line="360" w:lineRule="auto"/>
        <w:ind w:firstLine="560" w:firstLineChars="200"/>
        <w:jc w:val="left"/>
        <w:rPr>
          <w:rFonts w:ascii="宋体" w:hAnsi="宋体" w:cs="宋体"/>
          <w:color w:val="000000"/>
          <w:sz w:val="28"/>
          <w:szCs w:val="28"/>
        </w:rPr>
      </w:pPr>
      <w:r>
        <w:rPr>
          <w:rFonts w:ascii="宋体" w:hAnsi="宋体" w:cs="宋体"/>
          <w:sz w:val="28"/>
          <w:szCs w:val="28"/>
        </w:rPr>
        <w:t>4.3</w:t>
      </w:r>
      <w:r>
        <w:rPr>
          <w:rFonts w:hint="eastAsia" w:ascii="宋体" w:hAnsi="宋体" w:cs="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rPr>
          <w:rFonts w:ascii="宋体" w:hAnsi="宋体" w:cs="宋体"/>
          <w:color w:val="000000"/>
          <w:sz w:val="28"/>
          <w:szCs w:val="28"/>
        </w:rPr>
      </w:pPr>
      <w:r>
        <w:rPr>
          <w:rFonts w:hint="eastAsia" w:ascii="宋体" w:hAnsi="宋体" w:cs="宋体"/>
          <w:color w:val="000000"/>
          <w:sz w:val="28"/>
          <w:szCs w:val="28"/>
        </w:rPr>
        <w:br w:type="page"/>
      </w:r>
    </w:p>
    <w:p>
      <w:pPr>
        <w:widowControl/>
        <w:tabs>
          <w:tab w:val="left" w:pos="3825"/>
          <w:tab w:val="left" w:pos="5880"/>
        </w:tabs>
        <w:snapToGrid w:val="0"/>
        <w:spacing w:line="360" w:lineRule="auto"/>
        <w:ind w:firstLine="560" w:firstLineChars="200"/>
        <w:jc w:val="left"/>
        <w:rPr>
          <w:rFonts w:ascii="宋体" w:hAnsi="宋体" w:cs="宋体"/>
          <w:color w:val="000000"/>
          <w:sz w:val="28"/>
          <w:szCs w:val="28"/>
        </w:rPr>
      </w:pPr>
    </w:p>
    <w:p>
      <w:pPr>
        <w:tabs>
          <w:tab w:val="left" w:pos="5880"/>
        </w:tabs>
        <w:spacing w:line="360" w:lineRule="auto"/>
        <w:jc w:val="center"/>
        <w:rPr>
          <w:rFonts w:ascii="宋体" w:hAnsi="宋体" w:cs="宋体"/>
          <w:b/>
          <w:sz w:val="32"/>
          <w:szCs w:val="32"/>
        </w:rPr>
      </w:pPr>
      <w:r>
        <w:rPr>
          <w:rFonts w:hint="eastAsia" w:ascii="宋体" w:hAnsi="宋体" w:cs="宋体"/>
          <w:b/>
          <w:sz w:val="32"/>
          <w:szCs w:val="32"/>
        </w:rPr>
        <w:t>第四章  评比规则</w:t>
      </w:r>
    </w:p>
    <w:p>
      <w:pPr>
        <w:numPr>
          <w:ilvl w:val="0"/>
          <w:numId w:val="2"/>
        </w:numPr>
        <w:tabs>
          <w:tab w:val="left" w:pos="5880"/>
        </w:tabs>
        <w:autoSpaceDE w:val="0"/>
        <w:autoSpaceDN w:val="0"/>
        <w:spacing w:line="324" w:lineRule="auto"/>
        <w:rPr>
          <w:rFonts w:ascii="宋体" w:hAnsi="宋体"/>
          <w:b/>
          <w:sz w:val="28"/>
          <w:szCs w:val="28"/>
        </w:rPr>
      </w:pPr>
      <w:r>
        <w:rPr>
          <w:rFonts w:hint="eastAsia" w:ascii="宋体" w:hAnsi="宋体"/>
          <w:b/>
          <w:sz w:val="28"/>
          <w:szCs w:val="28"/>
        </w:rPr>
        <w:t>评选规则：</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由比选人组建的评选委员会按以下规则执行：</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（一）按照比选文件的评选程序、标准和方法对参选文件进行评审和比较；</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（二）对参选文件中含义不明确的内容，要求参选人作出澄清或者说明。澄清或者说明必须符合原参选文件的范围，并不得改变其实质性内容；</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（四）对符合比选文件实质性要求，但在个别地方存在遗漏或者技术信息和数据不全等细微偏差的参选文件，要求该参选人在评选结束前予以补正；</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（五）对评选过程中需要以表决方式决定的事项，实行一人一票，并经评选委员会成员过半数通过。</w:t>
      </w:r>
    </w:p>
    <w:p>
      <w:pPr>
        <w:tabs>
          <w:tab w:val="left" w:pos="5880"/>
        </w:tabs>
        <w:autoSpaceDE w:val="0"/>
        <w:autoSpaceDN w:val="0"/>
        <w:spacing w:line="360" w:lineRule="auto"/>
        <w:ind w:left="1" w:firstLine="700" w:firstLineChars="250"/>
        <w:rPr>
          <w:rFonts w:ascii="宋体" w:hAnsi="宋体"/>
          <w:snapToGrid w:val="0"/>
          <w:sz w:val="28"/>
          <w:szCs w:val="28"/>
        </w:rPr>
      </w:pPr>
      <w:r>
        <w:rPr>
          <w:rFonts w:hint="eastAsia" w:ascii="宋体" w:hAnsi="宋体"/>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pPr>
        <w:numPr>
          <w:ilvl w:val="0"/>
          <w:numId w:val="2"/>
        </w:numPr>
        <w:tabs>
          <w:tab w:val="left" w:pos="5880"/>
        </w:tabs>
        <w:autoSpaceDE w:val="0"/>
        <w:autoSpaceDN w:val="0"/>
        <w:spacing w:line="360" w:lineRule="auto"/>
        <w:rPr>
          <w:rFonts w:ascii="宋体" w:hAnsi="宋体"/>
          <w:b/>
          <w:sz w:val="28"/>
          <w:szCs w:val="28"/>
        </w:rPr>
      </w:pPr>
      <w:r>
        <w:rPr>
          <w:rFonts w:hint="eastAsia" w:ascii="宋体" w:hAnsi="宋体"/>
          <w:b/>
          <w:sz w:val="28"/>
          <w:szCs w:val="28"/>
        </w:rPr>
        <w:t>初步评审</w:t>
      </w:r>
    </w:p>
    <w:p>
      <w:pPr>
        <w:tabs>
          <w:tab w:val="left" w:pos="5880"/>
        </w:tabs>
        <w:autoSpaceDE w:val="0"/>
        <w:autoSpaceDN w:val="0"/>
        <w:spacing w:line="360" w:lineRule="auto"/>
        <w:ind w:firstLine="551" w:firstLineChars="196"/>
        <w:rPr>
          <w:rFonts w:ascii="宋体" w:hAnsi="宋体"/>
          <w:b/>
          <w:sz w:val="28"/>
          <w:szCs w:val="28"/>
        </w:rPr>
      </w:pPr>
      <w:r>
        <w:rPr>
          <w:rFonts w:hint="eastAsia" w:ascii="宋体" w:hAnsi="宋体"/>
          <w:b/>
          <w:sz w:val="28"/>
          <w:szCs w:val="28"/>
        </w:rPr>
        <w:t>(一)资格审查：</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tabs>
          <w:tab w:val="left" w:pos="5880"/>
        </w:tabs>
        <w:autoSpaceDE w:val="0"/>
        <w:autoSpaceDN w:val="0"/>
        <w:spacing w:line="360" w:lineRule="auto"/>
        <w:ind w:firstLine="413" w:firstLineChars="147"/>
        <w:rPr>
          <w:rFonts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凡有下列情况之一者，参选文件视为未实质性响应比选文件要求，其参选将被否决，不得进入下一步的详细评审：</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（1）参选有效期不满足参选文件要求；</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（2）参选文件无法人代表（或正式授权的参选人代表）签字或未盖法人单位公章的；或签字人未经法定代表人有效委托的；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（3）未按规定提交参选保证金的；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（4）不满足参选文件所规定的合格性标准；</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（5）同一参选人提交两个及以上不同的参选文件或者参选报价的，但比选文件要求提交备选的除外；</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（6）参选内容与比选内容及要求有重大偏离或保留的；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（7）参选人有串通参选、弄虚作假、行贿等违法行为的。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（8）参选人所报参选价高于最高限价的；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（9）合同付款方式不符合比选文件规定的；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（10）比选文件中有规定的其它否决参选条款。</w:t>
      </w:r>
    </w:p>
    <w:p>
      <w:pPr>
        <w:tabs>
          <w:tab w:val="left" w:pos="5880"/>
        </w:tabs>
        <w:autoSpaceDE w:val="0"/>
        <w:autoSpaceDN w:val="0"/>
        <w:spacing w:line="360" w:lineRule="auto"/>
        <w:ind w:left="166" w:hanging="166" w:hangingChars="59"/>
        <w:rPr>
          <w:rFonts w:ascii="宋体" w:hAnsi="宋体"/>
          <w:b/>
          <w:snapToGrid w:val="0"/>
          <w:sz w:val="28"/>
          <w:szCs w:val="28"/>
        </w:rPr>
      </w:pPr>
      <w:r>
        <w:rPr>
          <w:rFonts w:hint="eastAsia" w:ascii="宋体" w:hAnsi="宋体"/>
          <w:b/>
          <w:snapToGrid w:val="0"/>
          <w:sz w:val="28"/>
          <w:szCs w:val="28"/>
        </w:rPr>
        <w:t>三、详细评审：</w:t>
      </w:r>
    </w:p>
    <w:p>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1.评选委员会将对通过资格及实质响应性审查的各合格参选人，根据以下标准和方法进行评分。</w:t>
      </w:r>
    </w:p>
    <w:p>
      <w:pPr>
        <w:tabs>
          <w:tab w:val="left" w:pos="5880"/>
        </w:tabs>
        <w:autoSpaceDE w:val="0"/>
        <w:autoSpaceDN w:val="0"/>
        <w:spacing w:line="360" w:lineRule="auto"/>
        <w:ind w:firstLine="551" w:firstLineChars="196"/>
        <w:rPr>
          <w:rFonts w:ascii="宋体" w:hAnsi="宋体"/>
          <w:snapToGrid w:val="0"/>
          <w:sz w:val="28"/>
          <w:szCs w:val="28"/>
        </w:rPr>
      </w:pPr>
      <w:r>
        <w:rPr>
          <w:rFonts w:hint="eastAsia" w:ascii="宋体" w:hAnsi="宋体"/>
          <w:b/>
          <w:bCs/>
          <w:snapToGrid w:val="0"/>
          <w:sz w:val="28"/>
          <w:szCs w:val="28"/>
        </w:rPr>
        <w:t>本项目评选时原则以合理报价最低者定为中选单位。</w:t>
      </w:r>
      <w:r>
        <w:rPr>
          <w:rFonts w:hint="eastAsia" w:ascii="宋体" w:hAnsi="宋体"/>
          <w:snapToGrid w:val="0"/>
          <w:color w:val="000000"/>
          <w:sz w:val="28"/>
          <w:szCs w:val="28"/>
        </w:rPr>
        <w:t>参选人所填报的参选价高于本项目最高限价的其参选将被评选委员会予以否决。</w:t>
      </w:r>
      <w:r>
        <w:rPr>
          <w:rFonts w:hint="eastAsia" w:ascii="宋体" w:hAnsi="宋体"/>
          <w:snapToGrid w:val="0"/>
          <w:sz w:val="28"/>
          <w:szCs w:val="28"/>
        </w:rPr>
        <w:t>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若以上评选价格方法排序相同，则由评选委员会全体成员记名投票表决，得票超过半数的将被排序在前。</w:t>
      </w:r>
    </w:p>
    <w:p>
      <w:pPr>
        <w:tabs>
          <w:tab w:val="left" w:pos="5880"/>
        </w:tabs>
        <w:autoSpaceDE w:val="0"/>
        <w:autoSpaceDN w:val="0"/>
        <w:spacing w:line="324" w:lineRule="auto"/>
        <w:rPr>
          <w:rFonts w:ascii="宋体" w:hAnsi="宋体"/>
          <w:b/>
          <w:sz w:val="28"/>
          <w:szCs w:val="28"/>
        </w:rPr>
      </w:pPr>
      <w:r>
        <w:rPr>
          <w:rFonts w:hint="eastAsia" w:ascii="宋体" w:hAnsi="宋体"/>
          <w:b/>
          <w:sz w:val="28"/>
          <w:szCs w:val="28"/>
        </w:rPr>
        <w:t>四、评选</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tabs>
          <w:tab w:val="left" w:pos="5880"/>
        </w:tabs>
        <w:spacing w:line="324" w:lineRule="auto"/>
        <w:ind w:firstLine="478" w:firstLineChars="171"/>
        <w:rPr>
          <w:rFonts w:ascii="宋体" w:hAnsi="宋体"/>
          <w:sz w:val="28"/>
          <w:szCs w:val="28"/>
        </w:rPr>
      </w:pPr>
      <w:r>
        <w:rPr>
          <w:rFonts w:hint="eastAsia" w:ascii="宋体" w:hAnsi="宋体"/>
          <w:sz w:val="28"/>
          <w:szCs w:val="28"/>
        </w:rPr>
        <w:t>2.比选人将做比选会议记录。</w:t>
      </w:r>
    </w:p>
    <w:p>
      <w:pPr>
        <w:tabs>
          <w:tab w:val="left" w:pos="5880"/>
        </w:tabs>
        <w:spacing w:line="324" w:lineRule="auto"/>
        <w:ind w:firstLine="478" w:firstLineChars="171"/>
        <w:rPr>
          <w:rFonts w:ascii="宋体" w:hAnsi="宋体"/>
          <w:sz w:val="28"/>
          <w:szCs w:val="28"/>
        </w:rPr>
      </w:pPr>
      <w:r>
        <w:rPr>
          <w:rFonts w:hint="eastAsia" w:ascii="宋体" w:hAnsi="宋体"/>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pPr>
        <w:tabs>
          <w:tab w:val="left" w:pos="5880"/>
        </w:tabs>
        <w:spacing w:line="324" w:lineRule="auto"/>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jc w:val="center"/>
        <w:rPr>
          <w:rFonts w:ascii="宋体" w:hAnsi="宋体"/>
          <w:sz w:val="32"/>
          <w:szCs w:val="32"/>
        </w:rPr>
      </w:pPr>
      <w:r>
        <w:rPr>
          <w:rFonts w:hint="eastAsia" w:ascii="宋体" w:hAnsi="宋体" w:cs="宋体"/>
          <w:b/>
          <w:sz w:val="32"/>
          <w:szCs w:val="32"/>
        </w:rPr>
        <w:t>第五章   合同授予</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1.中选人确定后，比选结果将通知中选人，并将中选结果公示在比选人公司官网。</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如第一中选候选人无法履行合同，比选人可以按照评标委员会提出的中选候选人名单排序依次确定其他中选候选人为中选人</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4.比选文件与合同附件作为签订合同的条款，比选文件合同条款中没有规定的内容，比选人、参选人认为有必要进行补充，可另行商定解决。</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pPr>
        <w:tabs>
          <w:tab w:val="left" w:pos="5880"/>
        </w:tabs>
        <w:spacing w:line="360" w:lineRule="auto"/>
        <w:ind w:left="700" w:hanging="700" w:hangingChars="250"/>
        <w:rPr>
          <w:rFonts w:ascii="宋体" w:hAnsi="宋体"/>
          <w:sz w:val="28"/>
          <w:szCs w:val="28"/>
        </w:rPr>
      </w:pPr>
    </w:p>
    <w:p>
      <w:pPr>
        <w:tabs>
          <w:tab w:val="left" w:pos="5880"/>
        </w:tabs>
        <w:spacing w:line="360" w:lineRule="auto"/>
        <w:ind w:left="700"/>
        <w:rPr>
          <w:rFonts w:ascii="宋体" w:hAnsi="宋体"/>
          <w:sz w:val="28"/>
          <w:szCs w:val="28"/>
        </w:rPr>
      </w:pPr>
    </w:p>
    <w:p>
      <w:pPr>
        <w:tabs>
          <w:tab w:val="left" w:pos="5880"/>
        </w:tabs>
        <w:spacing w:line="324" w:lineRule="auto"/>
        <w:ind w:firstLine="643" w:firstLineChars="200"/>
        <w:jc w:val="center"/>
        <w:rPr>
          <w:rFonts w:ascii="宋体" w:hAnsi="宋体"/>
          <w:b/>
          <w:sz w:val="32"/>
          <w:szCs w:val="32"/>
        </w:rPr>
      </w:pPr>
      <w:r>
        <w:rPr>
          <w:rFonts w:hint="eastAsia" w:ascii="宋体" w:hAnsi="宋体"/>
          <w:b/>
          <w:sz w:val="32"/>
          <w:szCs w:val="32"/>
        </w:rPr>
        <w:t>第六章   中选后相关履约要求</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1.中选单位要服从比选人的管理规定，不得影响比选人的生产运行，如有违反，</w:t>
      </w:r>
      <w:r>
        <w:rPr>
          <w:rFonts w:ascii="宋体" w:hAnsi="宋体"/>
          <w:sz w:val="28"/>
          <w:szCs w:val="28"/>
        </w:rPr>
        <w:t>取消</w:t>
      </w:r>
      <w:r>
        <w:rPr>
          <w:rFonts w:hint="eastAsia" w:ascii="宋体" w:hAnsi="宋体"/>
          <w:sz w:val="28"/>
          <w:szCs w:val="28"/>
        </w:rPr>
        <w:t>中选单位的继续履行合同的</w:t>
      </w:r>
      <w:r>
        <w:rPr>
          <w:rFonts w:ascii="宋体" w:hAnsi="宋体"/>
          <w:sz w:val="28"/>
          <w:szCs w:val="28"/>
        </w:rPr>
        <w:t>资格</w:t>
      </w:r>
      <w:r>
        <w:rPr>
          <w:rFonts w:hint="eastAsia" w:ascii="宋体" w:hAnsi="宋体"/>
          <w:sz w:val="28"/>
          <w:szCs w:val="28"/>
        </w:rPr>
        <w:t>，</w:t>
      </w:r>
      <w:r>
        <w:rPr>
          <w:rFonts w:ascii="宋体" w:hAnsi="宋体"/>
          <w:sz w:val="28"/>
          <w:szCs w:val="28"/>
        </w:rPr>
        <w:t>同时</w:t>
      </w:r>
      <w:r>
        <w:rPr>
          <w:rFonts w:hint="eastAsia" w:ascii="宋体" w:hAnsi="宋体"/>
          <w:sz w:val="28"/>
          <w:szCs w:val="28"/>
        </w:rPr>
        <w:t>，由此给比选人造成的损失，比选人有权追究中选单位的全部责任。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2.中选单位必须严格执行《合同协议书》（详见附件一）、《承诺函》（详见附件二）的规定。</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3.中选单位需遵守比选人的各项管理规章制度。如违反相关条例者则按福建省东南电化股份有限公司相应条款进行处罚。</w:t>
      </w: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jc w:val="center"/>
        <w:rPr>
          <w:rFonts w:ascii="宋体" w:hAnsi="宋体"/>
          <w:b/>
          <w:sz w:val="32"/>
          <w:szCs w:val="32"/>
        </w:rPr>
      </w:pPr>
      <w:r>
        <w:rPr>
          <w:rFonts w:hint="eastAsia" w:ascii="宋体" w:hAnsi="宋体"/>
          <w:b/>
          <w:sz w:val="32"/>
          <w:szCs w:val="32"/>
        </w:rPr>
        <w:t>第七章   其它</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1.参选人的参选文件无论其是否中选，均不退回。</w:t>
      </w:r>
    </w:p>
    <w:p>
      <w:pPr>
        <w:tabs>
          <w:tab w:val="left" w:pos="5880"/>
        </w:tabs>
        <w:spacing w:line="324"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tabs>
          <w:tab w:val="left" w:pos="5880"/>
        </w:tabs>
        <w:spacing w:line="324" w:lineRule="auto"/>
        <w:ind w:firstLine="560" w:firstLineChars="200"/>
        <w:rPr>
          <w:rFonts w:ascii="宋体"/>
          <w:color w:val="000000"/>
          <w:sz w:val="28"/>
          <w:szCs w:val="28"/>
        </w:rPr>
      </w:pPr>
      <w:r>
        <w:rPr>
          <w:rFonts w:hint="eastAsia" w:ascii="宋体" w:hAnsi="宋体"/>
          <w:sz w:val="28"/>
          <w:szCs w:val="28"/>
        </w:rPr>
        <w:t>3.本比选文件的解释权归福建省东南电化股份有限公司。</w:t>
      </w: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rPr>
          <w:rFonts w:ascii="宋体"/>
          <w:color w:val="000000"/>
          <w:sz w:val="28"/>
          <w:szCs w:val="28"/>
        </w:rPr>
      </w:pPr>
      <w:r>
        <w:rPr>
          <w:rFonts w:ascii="宋体"/>
          <w:color w:val="000000"/>
          <w:sz w:val="28"/>
          <w:szCs w:val="28"/>
        </w:rPr>
        <w:br w:type="page"/>
      </w:r>
    </w:p>
    <w:p>
      <w:pPr>
        <w:rPr>
          <w:rFonts w:ascii="宋体"/>
          <w:color w:val="000000"/>
          <w:sz w:val="28"/>
          <w:szCs w:val="28"/>
        </w:rPr>
      </w:pPr>
    </w:p>
    <w:p>
      <w:pPr>
        <w:tabs>
          <w:tab w:val="left" w:pos="5880"/>
        </w:tabs>
        <w:snapToGrid w:val="0"/>
        <w:spacing w:line="360" w:lineRule="auto"/>
        <w:rPr>
          <w:rFonts w:ascii="宋体"/>
          <w:sz w:val="28"/>
          <w:szCs w:val="28"/>
        </w:rPr>
      </w:pPr>
      <w:r>
        <w:rPr>
          <w:rFonts w:hint="eastAsia" w:ascii="宋体" w:hAnsi="宋体" w:cs="宋体"/>
          <w:color w:val="000000"/>
          <w:sz w:val="32"/>
          <w:szCs w:val="32"/>
        </w:rPr>
        <w:t>附件一：</w:t>
      </w:r>
    </w:p>
    <w:p>
      <w:pPr>
        <w:spacing w:line="280" w:lineRule="exact"/>
        <w:jc w:val="center"/>
        <w:rPr>
          <w:rFonts w:ascii="宋体" w:hAnsi="宋体"/>
          <w:b/>
          <w:color w:val="000000"/>
          <w:sz w:val="24"/>
        </w:rPr>
      </w:pPr>
      <w:r>
        <w:rPr>
          <w:rFonts w:hint="eastAsia" w:ascii="宋体" w:hAnsi="宋体"/>
          <w:b/>
          <w:color w:val="000000"/>
          <w:sz w:val="24"/>
        </w:rPr>
        <w:t>产品购销合同</w:t>
      </w:r>
    </w:p>
    <w:p>
      <w:pPr>
        <w:spacing w:line="280" w:lineRule="exact"/>
        <w:rPr>
          <w:rFonts w:ascii="宋体" w:hAnsi="宋体"/>
          <w:color w:val="000000"/>
          <w:sz w:val="18"/>
          <w:szCs w:val="18"/>
        </w:rPr>
      </w:pPr>
      <w:r>
        <w:rPr>
          <w:rFonts w:hint="eastAsia" w:ascii="宋体" w:hAnsi="宋体"/>
          <w:color w:val="000000"/>
          <w:sz w:val="18"/>
          <w:szCs w:val="18"/>
        </w:rPr>
        <w:t>合同编号：</w:t>
      </w:r>
    </w:p>
    <w:p>
      <w:pPr>
        <w:spacing w:line="280" w:lineRule="exact"/>
        <w:jc w:val="center"/>
        <w:rPr>
          <w:rFonts w:ascii="宋体" w:hAnsi="宋体"/>
          <w:b/>
          <w:color w:val="000000"/>
          <w:szCs w:val="21"/>
          <w:u w:val="single"/>
        </w:rPr>
      </w:pPr>
    </w:p>
    <w:p>
      <w:pPr>
        <w:spacing w:line="280" w:lineRule="exact"/>
        <w:jc w:val="center"/>
        <w:rPr>
          <w:rFonts w:ascii="宋体" w:hAnsi="宋体"/>
          <w:b/>
          <w:color w:val="000000"/>
          <w:szCs w:val="21"/>
          <w:u w:val="single"/>
        </w:rPr>
      </w:pPr>
      <w:r>
        <w:rPr>
          <w:rFonts w:hint="eastAsia" w:ascii="宋体" w:hAnsi="宋体"/>
          <w:b/>
          <w:color w:val="000000"/>
          <w:szCs w:val="21"/>
          <w:u w:val="single"/>
        </w:rPr>
        <w:t>第一部分  协议书</w:t>
      </w:r>
    </w:p>
    <w:p>
      <w:pPr>
        <w:spacing w:line="280" w:lineRule="exact"/>
        <w:rPr>
          <w:b/>
        </w:rPr>
      </w:pPr>
      <w:r>
        <w:rPr>
          <w:rFonts w:hint="eastAsia" w:ascii="宋体" w:hAnsi="宋体"/>
          <w:b/>
          <w:color w:val="000000"/>
          <w:szCs w:val="21"/>
        </w:rPr>
        <w:t>供方：</w:t>
      </w:r>
      <w:r>
        <w:rPr>
          <w:rFonts w:hint="eastAsia"/>
          <w:b/>
          <w:u w:val="single"/>
        </w:rPr>
        <w:t xml:space="preserve">                          </w:t>
      </w:r>
    </w:p>
    <w:p>
      <w:pPr>
        <w:spacing w:line="280" w:lineRule="exact"/>
        <w:rPr>
          <w:rFonts w:ascii="宋体" w:hAnsi="宋体"/>
          <w:b/>
          <w:color w:val="000000"/>
          <w:szCs w:val="21"/>
        </w:rPr>
      </w:pPr>
      <w:r>
        <w:rPr>
          <w:rFonts w:hint="eastAsia" w:ascii="宋体" w:hAnsi="宋体"/>
          <w:b/>
          <w:color w:val="000000"/>
          <w:szCs w:val="21"/>
        </w:rPr>
        <w:t xml:space="preserve">需方：福建省东南电化股份有限公司 </w:t>
      </w:r>
    </w:p>
    <w:p>
      <w:pPr>
        <w:spacing w:line="280" w:lineRule="exact"/>
        <w:ind w:firstLine="420" w:firstLineChars="200"/>
        <w:rPr>
          <w:rFonts w:ascii="宋体" w:hAnsi="宋体"/>
          <w:color w:val="000000"/>
          <w:szCs w:val="21"/>
        </w:rPr>
      </w:pPr>
      <w:r>
        <w:rPr>
          <w:rFonts w:hint="eastAsia" w:ascii="宋体" w:hAnsi="宋体"/>
          <w:color w:val="000000"/>
          <w:szCs w:val="21"/>
        </w:rPr>
        <w:t>鉴于：供、需双方有权利及能力依法签署并履行本合同约定的事项，供、需双方现经过充分协商，根据《中华人民共和国民法典》及相关法律法规，本着平等互利、诚信合作的原则，于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日在</w:t>
      </w:r>
      <w:r>
        <w:rPr>
          <w:rFonts w:hint="eastAsia" w:ascii="宋体" w:hAnsi="宋体"/>
          <w:color w:val="000000"/>
          <w:szCs w:val="21"/>
          <w:u w:val="single"/>
        </w:rPr>
        <w:t xml:space="preserve">  福州  </w:t>
      </w:r>
      <w:r>
        <w:rPr>
          <w:rFonts w:hint="eastAsia" w:ascii="宋体" w:hAnsi="宋体"/>
          <w:color w:val="000000"/>
          <w:szCs w:val="21"/>
        </w:rPr>
        <w:t>签订本合同。供、需双方在协议上的签字人是供、需双方的法定代表人或委托代理人。</w:t>
      </w:r>
    </w:p>
    <w:p>
      <w:pPr>
        <w:spacing w:line="280" w:lineRule="exact"/>
        <w:rPr>
          <w:rFonts w:ascii="宋体" w:hAnsi="宋体"/>
          <w:b/>
          <w:color w:val="000000"/>
          <w:szCs w:val="21"/>
        </w:rPr>
      </w:pPr>
      <w:r>
        <w:rPr>
          <w:rFonts w:hint="eastAsia" w:ascii="宋体" w:hAnsi="宋体"/>
          <w:b/>
          <w:color w:val="000000"/>
          <w:szCs w:val="21"/>
        </w:rPr>
        <w:t>一、 产品名称</w:t>
      </w:r>
      <w:r>
        <w:rPr>
          <w:rFonts w:hint="eastAsia" w:ascii="宋体" w:hAnsi="宋体" w:cs="宋体"/>
          <w:b/>
          <w:color w:val="000000"/>
          <w:kern w:val="0"/>
          <w:szCs w:val="21"/>
        </w:rPr>
        <w:t>、生产厂家、型号规格、计量单位、数量（重量）、单价、金额、备注:</w:t>
      </w:r>
    </w:p>
    <w:p>
      <w:pPr>
        <w:spacing w:line="300" w:lineRule="exact"/>
        <w:ind w:firstLine="211" w:firstLineChars="100"/>
        <w:rPr>
          <w:rFonts w:ascii="宋体" w:hAnsi="宋体"/>
          <w:b/>
          <w:szCs w:val="21"/>
        </w:rPr>
      </w:pPr>
      <w:r>
        <w:rPr>
          <w:rFonts w:hint="eastAsia" w:ascii="宋体" w:hAnsi="宋体"/>
          <w:b/>
          <w:szCs w:val="21"/>
        </w:rPr>
        <w:t>1.产品名称：</w:t>
      </w:r>
      <w:r>
        <w:rPr>
          <w:rFonts w:hint="eastAsia" w:ascii="宋体" w:hAnsi="宋体"/>
          <w:bCs/>
          <w:szCs w:val="21"/>
        </w:rPr>
        <w:t>工业盐。</w:t>
      </w:r>
    </w:p>
    <w:p>
      <w:pPr>
        <w:spacing w:line="300" w:lineRule="exact"/>
        <w:ind w:firstLine="211" w:firstLineChars="100"/>
        <w:rPr>
          <w:rFonts w:ascii="宋体" w:hAnsi="宋体"/>
          <w:b/>
          <w:szCs w:val="21"/>
        </w:rPr>
      </w:pPr>
      <w:r>
        <w:rPr>
          <w:rFonts w:hint="eastAsia" w:ascii="宋体" w:hAnsi="宋体"/>
          <w:b/>
          <w:szCs w:val="21"/>
        </w:rPr>
        <w:t>2.数量：</w:t>
      </w:r>
      <w:r>
        <w:rPr>
          <w:rFonts w:hint="eastAsia" w:ascii="宋体" w:hAnsi="宋体"/>
          <w:bCs/>
          <w:szCs w:val="21"/>
        </w:rPr>
        <w:t>预计5.5万吨，</w:t>
      </w:r>
      <w:r>
        <w:rPr>
          <w:rFonts w:hint="eastAsia" w:ascii="宋体" w:hAnsi="宋体"/>
          <w:color w:val="000000"/>
          <w:szCs w:val="21"/>
        </w:rPr>
        <w:t>上述数量（重量）及单价均为暂定，可根据需要通过订单形式进行调整，双方按实际交货数量及实际交易价格结算。</w:t>
      </w:r>
    </w:p>
    <w:p>
      <w:pPr>
        <w:spacing w:line="300" w:lineRule="exact"/>
        <w:ind w:firstLine="211" w:firstLineChars="100"/>
        <w:rPr>
          <w:rFonts w:ascii="宋体" w:hAnsi="宋体"/>
          <w:b/>
          <w:color w:val="000000"/>
          <w:szCs w:val="21"/>
        </w:rPr>
      </w:pPr>
      <w:r>
        <w:rPr>
          <w:rFonts w:hint="eastAsia" w:ascii="宋体" w:hAnsi="宋体"/>
          <w:b/>
          <w:szCs w:val="21"/>
        </w:rPr>
        <w:t>3.含税合同基价：</w:t>
      </w:r>
      <w:r>
        <w:rPr>
          <w:rFonts w:hint="eastAsia" w:ascii="宋体" w:hAnsi="宋体"/>
          <w:bCs/>
          <w:szCs w:val="21"/>
        </w:rPr>
        <w:t>含税固定价：</w:t>
      </w:r>
      <w:r>
        <w:rPr>
          <w:rFonts w:hint="eastAsia" w:ascii="宋体" w:hAnsi="宋体"/>
          <w:bCs/>
          <w:szCs w:val="21"/>
          <w:u w:val="single"/>
        </w:rPr>
        <w:t xml:space="preserve">    元/吨（含   %税率），合同基价为工业盐运抵"交货地点"的含税固定价</w:t>
      </w:r>
      <w:r>
        <w:rPr>
          <w:rFonts w:hint="eastAsia" w:ascii="宋体" w:hAnsi="宋体"/>
          <w:b/>
          <w:szCs w:val="21"/>
          <w:u w:val="single"/>
        </w:rPr>
        <w:t>（含税固定价包含但不限于：工业盐成本、运费、保险费、</w:t>
      </w:r>
      <w:r>
        <w:rPr>
          <w:rFonts w:hint="eastAsia" w:ascii="宋体" w:hAnsi="宋体"/>
          <w:b/>
          <w:color w:val="000000"/>
          <w:szCs w:val="21"/>
          <w:u w:val="single"/>
        </w:rPr>
        <w:t>报关、滞期费、港建等）</w:t>
      </w:r>
    </w:p>
    <w:p>
      <w:pPr>
        <w:spacing w:line="280" w:lineRule="exact"/>
        <w:ind w:firstLine="422" w:firstLineChars="200"/>
        <w:rPr>
          <w:rFonts w:ascii="宋体" w:hAnsi="宋体"/>
          <w:b/>
          <w:color w:val="000000"/>
          <w:szCs w:val="21"/>
        </w:rPr>
      </w:pPr>
      <w:r>
        <w:rPr>
          <w:rFonts w:hint="eastAsia" w:ascii="宋体" w:hAnsi="宋体"/>
          <w:b/>
          <w:color w:val="000000"/>
          <w:szCs w:val="21"/>
        </w:rPr>
        <w:t>注：码头装卸、堆存、商检费、短驳运费用由需方自行承担。</w:t>
      </w:r>
    </w:p>
    <w:p>
      <w:pPr>
        <w:spacing w:line="300" w:lineRule="exact"/>
        <w:rPr>
          <w:rFonts w:ascii="宋体" w:hAnsi="宋体"/>
          <w:szCs w:val="21"/>
        </w:rPr>
      </w:pPr>
      <w:r>
        <w:rPr>
          <w:rFonts w:hint="eastAsia" w:ascii="宋体" w:hAnsi="宋体"/>
          <w:b/>
          <w:szCs w:val="21"/>
        </w:rPr>
        <w:t>二、产品质量要求、技术标准、价格调整及拒收范围：</w:t>
      </w:r>
    </w:p>
    <w:p>
      <w:pPr>
        <w:spacing w:line="300" w:lineRule="exact"/>
        <w:ind w:firstLine="420" w:firstLineChars="200"/>
        <w:rPr>
          <w:rFonts w:ascii="宋体" w:hAnsi="宋体" w:cs="Arial"/>
          <w:szCs w:val="21"/>
        </w:rPr>
      </w:pPr>
      <w:r>
        <w:rPr>
          <w:rFonts w:hint="eastAsia" w:ascii="宋体" w:hAnsi="宋体"/>
          <w:szCs w:val="21"/>
        </w:rPr>
        <w:t>1、按双方商定的技术条件、技术协议执行：详见下表。</w:t>
      </w:r>
      <w:r>
        <w:rPr>
          <w:rFonts w:hint="eastAsia" w:ascii="宋体" w:hAnsi="宋体" w:cs="Arial"/>
          <w:szCs w:val="21"/>
        </w:rPr>
        <w:t>如果质量指标有变化，经双方协商后再进行更改补充。</w:t>
      </w:r>
    </w:p>
    <w:p>
      <w:pPr>
        <w:spacing w:line="300" w:lineRule="exact"/>
        <w:ind w:firstLine="420" w:firstLineChars="200"/>
        <w:rPr>
          <w:rFonts w:ascii="宋体" w:hAnsi="宋体" w:cs="Arial"/>
          <w:szCs w:val="21"/>
        </w:rPr>
      </w:pPr>
      <w:r>
        <w:rPr>
          <w:rFonts w:hint="eastAsia" w:ascii="宋体" w:hAnsi="宋体" w:cs="Arial"/>
          <w:szCs w:val="21"/>
        </w:rPr>
        <w:t>工业盐指标需满足：外观：白色、微黄色或青白色晶体，无明显外来杂物；氯化钠≥96.00%；水分≤3.50%；水不溶物≤0.03%；钙离子≤0.06% ；镁离子≤0.04%；硫酸根离子≤0.15%；总铵≤10.0ppm ；其他指标参照国标。如果指标不合格买方可以直接退货或双方协商折价让步接收，退货发生的所有费用由卖方承担。</w:t>
      </w:r>
    </w:p>
    <w:p>
      <w:pPr>
        <w:spacing w:line="300" w:lineRule="exact"/>
        <w:ind w:firstLine="420" w:firstLineChars="200"/>
        <w:rPr>
          <w:rFonts w:ascii="宋体" w:hAnsi="宋体" w:cs="Arial"/>
          <w:szCs w:val="21"/>
        </w:rPr>
      </w:pPr>
      <w:r>
        <w:rPr>
          <w:rFonts w:hint="eastAsia" w:ascii="宋体" w:hAnsi="宋体" w:cs="Arial"/>
          <w:szCs w:val="21"/>
        </w:rPr>
        <w:t>2、让步接收价格调整：含税合同基价的价格将根据本合同内约定的质量验收结果进行调整。氯化钠指标低于96%的，按比例扣减单价，氯化钠指标如低于95.5%按比例的2倍扣减单价；其他指标未达标按超标部分比例的10倍扣减单价。</w:t>
      </w:r>
    </w:p>
    <w:p>
      <w:pPr>
        <w:spacing w:line="280" w:lineRule="exact"/>
        <w:rPr>
          <w:rFonts w:ascii="宋体" w:hAnsi="宋体"/>
          <w:b/>
          <w:color w:val="000000"/>
          <w:szCs w:val="21"/>
        </w:rPr>
      </w:pPr>
      <w:r>
        <w:rPr>
          <w:rFonts w:hint="eastAsia" w:ascii="宋体" w:hAnsi="宋体"/>
          <w:b/>
          <w:color w:val="000000"/>
          <w:szCs w:val="21"/>
        </w:rPr>
        <w:t>三、供货有效期：</w:t>
      </w:r>
    </w:p>
    <w:p>
      <w:pPr>
        <w:spacing w:line="280" w:lineRule="exact"/>
        <w:ind w:firstLine="420" w:firstLineChars="200"/>
        <w:rPr>
          <w:rFonts w:ascii="宋体" w:hAnsi="宋体"/>
          <w:b/>
          <w:color w:val="000000"/>
          <w:szCs w:val="21"/>
        </w:rPr>
      </w:pPr>
      <w:r>
        <w:rPr>
          <w:rFonts w:hint="eastAsia" w:ascii="宋体" w:hAnsi="宋体"/>
          <w:color w:val="000000"/>
          <w:szCs w:val="21"/>
        </w:rPr>
        <w:t>本合同供货有效期从</w:t>
      </w:r>
      <w:r>
        <w:rPr>
          <w:rFonts w:hint="eastAsia" w:ascii="宋体" w:hAnsi="宋体"/>
          <w:color w:val="000000"/>
          <w:szCs w:val="21"/>
          <w:u w:val="single"/>
        </w:rPr>
        <w:t xml:space="preserve"> 202</w:t>
      </w:r>
      <w:r>
        <w:rPr>
          <w:rFonts w:ascii="宋体" w:hAnsi="宋体"/>
          <w:color w:val="000000"/>
          <w:szCs w:val="21"/>
          <w:u w:val="single"/>
        </w:rPr>
        <w:t>1</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日至</w:t>
      </w:r>
      <w:r>
        <w:rPr>
          <w:rFonts w:hint="eastAsia" w:ascii="宋体" w:hAnsi="宋体"/>
          <w:color w:val="000000"/>
          <w:szCs w:val="21"/>
          <w:u w:val="single"/>
        </w:rPr>
        <w:t>202</w:t>
      </w:r>
      <w:r>
        <w:rPr>
          <w:rFonts w:ascii="宋体" w:hAnsi="宋体"/>
          <w:color w:val="000000"/>
          <w:szCs w:val="21"/>
          <w:u w:val="single"/>
        </w:rPr>
        <w:t>1</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月 </w:t>
      </w:r>
      <w:r>
        <w:rPr>
          <w:rFonts w:hint="eastAsia" w:ascii="宋体" w:hAnsi="宋体"/>
          <w:color w:val="000000"/>
          <w:szCs w:val="21"/>
          <w:u w:val="single"/>
        </w:rPr>
        <w:t xml:space="preserve">    </w:t>
      </w:r>
      <w:r>
        <w:rPr>
          <w:rFonts w:hint="eastAsia" w:ascii="宋体" w:hAnsi="宋体"/>
          <w:color w:val="000000"/>
          <w:szCs w:val="21"/>
        </w:rPr>
        <w:t>日。本合同供货有效期届满与否，不影响本合同其他条款和组成部分的效力。</w:t>
      </w:r>
    </w:p>
    <w:p>
      <w:pPr>
        <w:spacing w:line="280" w:lineRule="exact"/>
        <w:rPr>
          <w:rFonts w:ascii="宋体" w:hAnsi="宋体"/>
          <w:color w:val="000000"/>
          <w:szCs w:val="21"/>
        </w:rPr>
      </w:pPr>
      <w:r>
        <w:rPr>
          <w:rFonts w:hint="eastAsia" w:ascii="宋体" w:hAnsi="宋体"/>
          <w:b/>
          <w:color w:val="000000"/>
          <w:szCs w:val="21"/>
        </w:rPr>
        <w:t>四、交付方式：</w:t>
      </w:r>
      <w:r>
        <w:rPr>
          <w:rFonts w:hint="eastAsia" w:ascii="宋体" w:hAnsi="宋体"/>
          <w:color w:val="000000"/>
          <w:szCs w:val="21"/>
        </w:rPr>
        <w:t>双方商定采取下述第</w:t>
      </w:r>
      <w:r>
        <w:rPr>
          <w:rFonts w:hint="eastAsia" w:ascii="宋体" w:hAnsi="宋体"/>
          <w:color w:val="000000"/>
          <w:szCs w:val="21"/>
          <w:u w:val="single"/>
        </w:rPr>
        <w:t xml:space="preserve">   2  </w:t>
      </w:r>
      <w:r>
        <w:rPr>
          <w:rFonts w:hint="eastAsia" w:ascii="宋体" w:hAnsi="宋体"/>
          <w:color w:val="000000"/>
          <w:szCs w:val="21"/>
        </w:rPr>
        <w:t>种方式交付：</w:t>
      </w:r>
      <w:r>
        <w:rPr>
          <w:rFonts w:ascii="宋体" w:hAnsi="宋体"/>
          <w:color w:val="000000"/>
          <w:szCs w:val="21"/>
        </w:rPr>
        <w:t xml:space="preserve"> </w:t>
      </w:r>
    </w:p>
    <w:p>
      <w:pPr>
        <w:spacing w:line="280" w:lineRule="exact"/>
        <w:ind w:firstLine="420" w:firstLineChars="200"/>
        <w:rPr>
          <w:rFonts w:ascii="宋体" w:hAnsi="宋体"/>
          <w:color w:val="000000"/>
          <w:szCs w:val="21"/>
        </w:rPr>
      </w:pPr>
      <w:r>
        <w:rPr>
          <w:rFonts w:hint="eastAsia" w:ascii="宋体" w:hAnsi="宋体"/>
          <w:color w:val="000000"/>
          <w:szCs w:val="21"/>
        </w:rPr>
        <w:t>1、需方自提，自提所需的所有费用由需方自理，提货地点为_</w:t>
      </w:r>
      <w:r>
        <w:rPr>
          <w:rFonts w:hint="eastAsia" w:ascii="宋体" w:hAnsi="宋体"/>
          <w:color w:val="000000"/>
          <w:szCs w:val="21"/>
          <w:u w:val="single"/>
        </w:rPr>
        <w:t xml:space="preserve">供方指定仓库 </w:t>
      </w:r>
      <w:r>
        <w:rPr>
          <w:rFonts w:hint="eastAsia" w:ascii="宋体" w:hAnsi="宋体"/>
          <w:color w:val="000000"/>
          <w:szCs w:val="21"/>
        </w:rPr>
        <w:t xml:space="preserve">。    </w:t>
      </w:r>
    </w:p>
    <w:p>
      <w:pPr>
        <w:spacing w:line="280" w:lineRule="exact"/>
        <w:ind w:firstLine="420" w:firstLineChars="200"/>
        <w:rPr>
          <w:rFonts w:ascii="宋体" w:hAnsi="宋体"/>
          <w:color w:val="000000"/>
          <w:szCs w:val="21"/>
        </w:rPr>
      </w:pPr>
      <w:r>
        <w:rPr>
          <w:rFonts w:hint="eastAsia" w:ascii="宋体" w:hAnsi="宋体"/>
          <w:color w:val="000000"/>
          <w:szCs w:val="21"/>
        </w:rPr>
        <w:t>2、供方送货，运费、保险费由供方承担到货地点为</w:t>
      </w:r>
      <w:r>
        <w:rPr>
          <w:rFonts w:hint="eastAsia" w:ascii="宋体" w:hAnsi="宋体"/>
          <w:szCs w:val="21"/>
          <w:u w:val="single"/>
        </w:rPr>
        <w:t>福建江阴国际集装箱码头</w:t>
      </w:r>
      <w:r>
        <w:rPr>
          <w:rFonts w:hint="eastAsia" w:ascii="宋体" w:hAnsi="宋体"/>
          <w:color w:val="000000"/>
          <w:szCs w:val="21"/>
        </w:rPr>
        <w:t>。</w:t>
      </w:r>
    </w:p>
    <w:p>
      <w:pPr>
        <w:spacing w:line="280" w:lineRule="exact"/>
        <w:ind w:firstLine="420" w:firstLineChars="200"/>
        <w:rPr>
          <w:rFonts w:ascii="宋体" w:hAnsi="宋体"/>
          <w:color w:val="000000"/>
          <w:szCs w:val="21"/>
          <w:u w:val="single"/>
        </w:rPr>
      </w:pPr>
      <w:r>
        <w:rPr>
          <w:rFonts w:hint="eastAsia" w:ascii="宋体" w:hAnsi="宋体"/>
          <w:color w:val="000000"/>
          <w:szCs w:val="21"/>
        </w:rPr>
        <w:t>3、供方代办托运，运费、保险费由需方承担，由需方与承运人据实结算。</w:t>
      </w:r>
    </w:p>
    <w:p>
      <w:pPr>
        <w:spacing w:line="280" w:lineRule="exact"/>
        <w:rPr>
          <w:rFonts w:ascii="宋体" w:hAnsi="宋体"/>
          <w:color w:val="000000"/>
          <w:szCs w:val="21"/>
        </w:rPr>
      </w:pPr>
      <w:r>
        <w:rPr>
          <w:rFonts w:hint="eastAsia" w:ascii="宋体" w:hAnsi="宋体"/>
          <w:b/>
          <w:color w:val="000000"/>
          <w:szCs w:val="21"/>
        </w:rPr>
        <w:t>五、交付期限：</w:t>
      </w:r>
    </w:p>
    <w:p>
      <w:pPr>
        <w:spacing w:line="280" w:lineRule="exact"/>
        <w:ind w:firstLine="420" w:firstLineChars="200"/>
        <w:rPr>
          <w:rFonts w:ascii="宋体" w:hAnsi="宋体"/>
          <w:color w:val="000000"/>
          <w:szCs w:val="21"/>
        </w:rPr>
      </w:pPr>
      <w:r>
        <w:rPr>
          <w:rFonts w:hint="eastAsia" w:ascii="宋体" w:hAnsi="宋体"/>
          <w:color w:val="000000"/>
          <w:szCs w:val="21"/>
        </w:rPr>
        <w:t>双方协商实际交付期。</w:t>
      </w:r>
    </w:p>
    <w:p>
      <w:pPr>
        <w:spacing w:line="280" w:lineRule="exact"/>
        <w:rPr>
          <w:rFonts w:ascii="宋体" w:hAnsi="宋体"/>
          <w:color w:val="000000"/>
          <w:szCs w:val="21"/>
        </w:rPr>
      </w:pPr>
      <w:r>
        <w:rPr>
          <w:rFonts w:hint="eastAsia" w:ascii="宋体" w:hAnsi="宋体"/>
          <w:b/>
          <w:color w:val="000000"/>
          <w:szCs w:val="21"/>
        </w:rPr>
        <w:t>六</w:t>
      </w:r>
      <w:r>
        <w:rPr>
          <w:rFonts w:hint="eastAsia" w:ascii="宋体" w:hAnsi="宋体" w:cs="Tahoma"/>
          <w:b/>
          <w:color w:val="000000"/>
          <w:kern w:val="0"/>
          <w:szCs w:val="21"/>
        </w:rPr>
        <w:t>、货款结算与支付方式</w:t>
      </w:r>
      <w:r>
        <w:rPr>
          <w:rFonts w:hint="eastAsia" w:ascii="宋体" w:hAnsi="宋体"/>
          <w:b/>
          <w:color w:val="000000"/>
          <w:szCs w:val="21"/>
        </w:rPr>
        <w:t>：</w:t>
      </w:r>
    </w:p>
    <w:p>
      <w:pPr>
        <w:ind w:firstLine="420" w:firstLineChars="200"/>
        <w:rPr>
          <w:szCs w:val="21"/>
        </w:rPr>
      </w:pPr>
      <w:r>
        <w:rPr>
          <w:rFonts w:hint="eastAsia"/>
          <w:color w:val="000000"/>
        </w:rPr>
        <w:t>1、货款总额70%采用现汇支付：在每船次工业盐抵港，</w:t>
      </w:r>
      <w:r>
        <w:rPr>
          <w:rFonts w:hint="eastAsia" w:ascii="宋体" w:hAnsi="宋体"/>
          <w:szCs w:val="21"/>
        </w:rPr>
        <w:t>货物的所有权和风险于供方将货物送至需方指定地点并经需方验收合格时转移至需方</w:t>
      </w:r>
      <w:r>
        <w:rPr>
          <w:rFonts w:hint="eastAsia"/>
          <w:color w:val="000000"/>
        </w:rPr>
        <w:t>，双方签订货物交接单。</w:t>
      </w:r>
      <w:r>
        <w:rPr>
          <w:rFonts w:hint="eastAsia" w:ascii="宋体" w:hAnsi="宋体"/>
          <w:szCs w:val="21"/>
        </w:rPr>
        <w:t>供货方于十个工作日内提供相应增值税专用发票（增值税率13%），</w:t>
      </w:r>
      <w:r>
        <w:rPr>
          <w:rFonts w:hint="eastAsia"/>
          <w:szCs w:val="21"/>
        </w:rPr>
        <w:t>需方收到发票后十五个工作日内将货款汇入供方指定账户。</w:t>
      </w:r>
    </w:p>
    <w:p>
      <w:pPr>
        <w:ind w:firstLine="420" w:firstLineChars="200"/>
        <w:rPr>
          <w:szCs w:val="21"/>
        </w:rPr>
      </w:pPr>
      <w:r>
        <w:rPr>
          <w:rFonts w:hint="eastAsia"/>
          <w:szCs w:val="21"/>
        </w:rPr>
        <w:t>2、货款总额30%采用</w:t>
      </w:r>
      <w:r>
        <w:rPr>
          <w:rFonts w:hint="eastAsia" w:ascii="宋体" w:hAnsi="宋体" w:cs="Tahoma"/>
          <w:color w:val="000000"/>
          <w:kern w:val="0"/>
          <w:szCs w:val="21"/>
        </w:rPr>
        <w:t>银行</w:t>
      </w:r>
      <w:r>
        <w:rPr>
          <w:rFonts w:hint="eastAsia" w:ascii="宋体" w:hAnsi="宋体"/>
          <w:color w:val="000000"/>
          <w:szCs w:val="21"/>
        </w:rPr>
        <w:t>承兑汇票或国内信用证支付：</w:t>
      </w:r>
      <w:r>
        <w:rPr>
          <w:rFonts w:hint="eastAsia"/>
          <w:color w:val="000000"/>
        </w:rPr>
        <w:t>在每船次工业盐抵港，</w:t>
      </w:r>
      <w:r>
        <w:rPr>
          <w:rFonts w:hint="eastAsia" w:ascii="宋体" w:hAnsi="宋体"/>
          <w:szCs w:val="21"/>
        </w:rPr>
        <w:t>货物的所有权和风险于供方将货物送至需方指定地点并经需方验收合格时转移至需方</w:t>
      </w:r>
      <w:r>
        <w:rPr>
          <w:rFonts w:hint="eastAsia"/>
          <w:color w:val="000000"/>
        </w:rPr>
        <w:t>，双方签订货物交接单。</w:t>
      </w:r>
      <w:r>
        <w:rPr>
          <w:rFonts w:hint="eastAsia"/>
          <w:color w:val="000000"/>
          <w:szCs w:val="21"/>
        </w:rPr>
        <w:t>供方须先提供增值税发票，需方才开具银行承兑汇票或国内信用证支付。</w:t>
      </w:r>
      <w:r>
        <w:rPr>
          <w:rFonts w:hint="eastAsia" w:ascii="宋体" w:hAnsi="宋体"/>
          <w:color w:val="000000"/>
          <w:szCs w:val="21"/>
        </w:rPr>
        <w:t>由供方</w:t>
      </w:r>
      <w:r>
        <w:rPr>
          <w:rFonts w:hint="eastAsia" w:ascii="宋体" w:hAnsi="宋体" w:cs="Tahoma"/>
          <w:color w:val="000000"/>
          <w:kern w:val="0"/>
          <w:szCs w:val="21"/>
        </w:rPr>
        <w:t>支付根据承兑汇票金额或开证金额、支付到期期限计算的全额贴现利息。</w:t>
      </w:r>
    </w:p>
    <w:p>
      <w:pPr>
        <w:spacing w:line="280" w:lineRule="exact"/>
        <w:rPr>
          <w:rFonts w:ascii="宋体" w:hAnsi="宋体" w:cs="Tahoma"/>
          <w:color w:val="000000"/>
          <w:kern w:val="0"/>
          <w:szCs w:val="21"/>
        </w:rPr>
      </w:pPr>
      <w:r>
        <w:rPr>
          <w:rFonts w:hint="eastAsia" w:ascii="宋体" w:hAnsi="宋体" w:cs="Tahoma"/>
          <w:b/>
          <w:color w:val="000000"/>
          <w:kern w:val="0"/>
          <w:szCs w:val="21"/>
        </w:rPr>
        <w:t>七、</w:t>
      </w:r>
      <w:r>
        <w:rPr>
          <w:rFonts w:hint="eastAsia" w:ascii="宋体" w:hAnsi="宋体" w:cs="Tahoma"/>
          <w:color w:val="000000"/>
          <w:kern w:val="0"/>
          <w:szCs w:val="21"/>
        </w:rPr>
        <w:t>本合同一式__</w:t>
      </w:r>
      <w:r>
        <w:rPr>
          <w:rFonts w:hint="eastAsia" w:ascii="宋体" w:hAnsi="宋体" w:cs="Tahoma"/>
          <w:color w:val="000000"/>
          <w:kern w:val="0"/>
          <w:szCs w:val="21"/>
          <w:u w:val="single" w:color="000000"/>
        </w:rPr>
        <w:t>伍</w:t>
      </w:r>
      <w:r>
        <w:rPr>
          <w:rFonts w:hint="eastAsia" w:ascii="宋体" w:hAnsi="宋体" w:cs="Tahoma"/>
          <w:color w:val="000000"/>
          <w:kern w:val="0"/>
          <w:szCs w:val="21"/>
        </w:rPr>
        <w:t>_份， 供方执_</w:t>
      </w:r>
      <w:r>
        <w:rPr>
          <w:rFonts w:hint="eastAsia" w:ascii="宋体" w:hAnsi="宋体" w:cs="Tahoma"/>
          <w:color w:val="000000"/>
          <w:kern w:val="0"/>
          <w:szCs w:val="21"/>
          <w:u w:val="single" w:color="000000"/>
        </w:rPr>
        <w:t>贰</w:t>
      </w:r>
      <w:r>
        <w:rPr>
          <w:rFonts w:hint="eastAsia" w:ascii="宋体" w:hAnsi="宋体" w:cs="Tahoma"/>
          <w:color w:val="000000"/>
          <w:kern w:val="0"/>
          <w:szCs w:val="21"/>
        </w:rPr>
        <w:t>_份，需方执_</w:t>
      </w:r>
      <w:r>
        <w:rPr>
          <w:rFonts w:hint="eastAsia" w:ascii="宋体" w:hAnsi="宋体" w:cs="Tahoma"/>
          <w:color w:val="000000"/>
          <w:kern w:val="0"/>
          <w:szCs w:val="21"/>
          <w:u w:val="single" w:color="000000"/>
        </w:rPr>
        <w:t>_叁_</w:t>
      </w:r>
      <w:r>
        <w:rPr>
          <w:rFonts w:hint="eastAsia" w:ascii="宋体" w:hAnsi="宋体" w:cs="Tahoma"/>
          <w:color w:val="000000"/>
          <w:kern w:val="0"/>
          <w:szCs w:val="21"/>
        </w:rPr>
        <w:t>_份。</w:t>
      </w:r>
    </w:p>
    <w:tbl>
      <w:tblPr>
        <w:tblStyle w:val="8"/>
        <w:tblW w:w="0" w:type="auto"/>
        <w:jc w:val="center"/>
        <w:tblLayout w:type="fixed"/>
        <w:tblCellMar>
          <w:top w:w="0" w:type="dxa"/>
          <w:left w:w="108" w:type="dxa"/>
          <w:bottom w:w="0" w:type="dxa"/>
          <w:right w:w="108" w:type="dxa"/>
        </w:tblCellMar>
      </w:tblPr>
      <w:tblGrid>
        <w:gridCol w:w="761"/>
        <w:gridCol w:w="207"/>
        <w:gridCol w:w="213"/>
        <w:gridCol w:w="300"/>
        <w:gridCol w:w="1170"/>
        <w:gridCol w:w="1862"/>
        <w:gridCol w:w="761"/>
        <w:gridCol w:w="842"/>
        <w:gridCol w:w="210"/>
        <w:gridCol w:w="208"/>
        <w:gridCol w:w="117"/>
        <w:gridCol w:w="1355"/>
        <w:gridCol w:w="2620"/>
      </w:tblGrid>
      <w:tr>
        <w:tblPrEx>
          <w:tblCellMar>
            <w:top w:w="0" w:type="dxa"/>
            <w:left w:w="108" w:type="dxa"/>
            <w:bottom w:w="0" w:type="dxa"/>
            <w:right w:w="108" w:type="dxa"/>
          </w:tblCellMar>
        </w:tblPrEx>
        <w:trPr>
          <w:jc w:val="center"/>
        </w:trPr>
        <w:tc>
          <w:tcPr>
            <w:tcW w:w="1481" w:type="dxa"/>
            <w:gridSpan w:val="4"/>
            <w:vAlign w:val="center"/>
          </w:tcPr>
          <w:p>
            <w:pPr>
              <w:spacing w:line="280" w:lineRule="exact"/>
              <w:rPr>
                <w:rFonts w:ascii="宋体" w:hAnsi="宋体" w:cs="宋体"/>
                <w:b/>
                <w:szCs w:val="21"/>
              </w:rPr>
            </w:pPr>
            <w:r>
              <w:rPr>
                <w:rFonts w:hint="eastAsia" w:ascii="宋体" w:hAnsi="宋体" w:cs="宋体"/>
                <w:b/>
                <w:szCs w:val="21"/>
              </w:rPr>
              <w:t>供 方（章）:</w:t>
            </w:r>
          </w:p>
        </w:tc>
        <w:tc>
          <w:tcPr>
            <w:tcW w:w="3793" w:type="dxa"/>
            <w:gridSpan w:val="3"/>
            <w:vAlign w:val="center"/>
          </w:tcPr>
          <w:p>
            <w:pPr>
              <w:rPr>
                <w:rFonts w:ascii="宋体" w:hAnsi="宋体" w:cs="宋体"/>
                <w:b/>
                <w:szCs w:val="21"/>
              </w:rPr>
            </w:pPr>
          </w:p>
        </w:tc>
        <w:tc>
          <w:tcPr>
            <w:tcW w:w="1377" w:type="dxa"/>
            <w:gridSpan w:val="4"/>
            <w:vAlign w:val="center"/>
          </w:tcPr>
          <w:p>
            <w:pPr>
              <w:spacing w:line="280" w:lineRule="exact"/>
              <w:rPr>
                <w:rFonts w:ascii="宋体" w:hAnsi="宋体" w:cs="宋体"/>
                <w:b/>
                <w:szCs w:val="21"/>
              </w:rPr>
            </w:pPr>
            <w:r>
              <w:rPr>
                <w:rFonts w:hint="eastAsia" w:ascii="宋体" w:hAnsi="宋体" w:cs="宋体"/>
                <w:b/>
                <w:szCs w:val="21"/>
              </w:rPr>
              <w:t>需 方（章）:</w:t>
            </w:r>
          </w:p>
        </w:tc>
        <w:tc>
          <w:tcPr>
            <w:tcW w:w="3975" w:type="dxa"/>
            <w:gridSpan w:val="2"/>
            <w:vAlign w:val="center"/>
          </w:tcPr>
          <w:p>
            <w:pPr>
              <w:spacing w:line="280" w:lineRule="exact"/>
              <w:rPr>
                <w:rFonts w:ascii="宋体" w:hAnsi="宋体" w:cs="宋体"/>
                <w:b/>
                <w:szCs w:val="21"/>
              </w:rPr>
            </w:pPr>
            <w:r>
              <w:rPr>
                <w:rFonts w:hint="eastAsia" w:ascii="宋体" w:hAnsi="宋体" w:cs="宋体"/>
                <w:b/>
                <w:szCs w:val="21"/>
              </w:rPr>
              <w:t>福建省东南电化股份有限公司</w:t>
            </w:r>
          </w:p>
        </w:tc>
      </w:tr>
      <w:tr>
        <w:tblPrEx>
          <w:tblCellMar>
            <w:top w:w="0" w:type="dxa"/>
            <w:left w:w="108" w:type="dxa"/>
            <w:bottom w:w="0" w:type="dxa"/>
            <w:right w:w="108" w:type="dxa"/>
          </w:tblCellMar>
        </w:tblPrEx>
        <w:trPr>
          <w:jc w:val="center"/>
        </w:trPr>
        <w:tc>
          <w:tcPr>
            <w:tcW w:w="761" w:type="dxa"/>
            <w:vAlign w:val="center"/>
          </w:tcPr>
          <w:p>
            <w:pPr>
              <w:spacing w:line="280" w:lineRule="exact"/>
              <w:rPr>
                <w:rFonts w:ascii="宋体" w:hAnsi="宋体" w:cs="宋体"/>
                <w:szCs w:val="21"/>
              </w:rPr>
            </w:pPr>
            <w:r>
              <w:rPr>
                <w:rFonts w:hint="eastAsia" w:ascii="宋体" w:hAnsi="宋体" w:cs="宋体"/>
                <w:szCs w:val="21"/>
              </w:rPr>
              <w:t>地址：</w:t>
            </w:r>
          </w:p>
        </w:tc>
        <w:tc>
          <w:tcPr>
            <w:tcW w:w="3752" w:type="dxa"/>
            <w:gridSpan w:val="5"/>
            <w:vAlign w:val="center"/>
          </w:tcPr>
          <w:p>
            <w:pPr>
              <w:spacing w:line="280" w:lineRule="exact"/>
              <w:rPr>
                <w:rFonts w:ascii="宋体" w:hAnsi="宋体" w:cs="宋体"/>
                <w:szCs w:val="21"/>
              </w:rPr>
            </w:pPr>
          </w:p>
        </w:tc>
        <w:tc>
          <w:tcPr>
            <w:tcW w:w="761" w:type="dxa"/>
            <w:vAlign w:val="center"/>
          </w:tcPr>
          <w:p>
            <w:pPr>
              <w:spacing w:line="280" w:lineRule="exact"/>
            </w:pPr>
          </w:p>
        </w:tc>
        <w:tc>
          <w:tcPr>
            <w:tcW w:w="842" w:type="dxa"/>
            <w:vAlign w:val="center"/>
          </w:tcPr>
          <w:p>
            <w:pPr>
              <w:spacing w:line="280" w:lineRule="exact"/>
              <w:rPr>
                <w:rFonts w:ascii="宋体" w:hAnsi="宋体" w:cs="宋体"/>
                <w:szCs w:val="21"/>
              </w:rPr>
            </w:pPr>
            <w:r>
              <w:rPr>
                <w:rFonts w:hint="eastAsia" w:ascii="宋体" w:hAnsi="宋体" w:cs="宋体"/>
                <w:szCs w:val="21"/>
              </w:rPr>
              <w:t>地址：</w:t>
            </w:r>
          </w:p>
        </w:tc>
        <w:tc>
          <w:tcPr>
            <w:tcW w:w="4510" w:type="dxa"/>
            <w:gridSpan w:val="5"/>
            <w:vAlign w:val="center"/>
          </w:tcPr>
          <w:p>
            <w:pPr>
              <w:spacing w:line="280" w:lineRule="exact"/>
              <w:rPr>
                <w:rFonts w:ascii="宋体" w:hAnsi="宋体" w:cs="宋体"/>
                <w:szCs w:val="21"/>
              </w:rPr>
            </w:pPr>
            <w:r>
              <w:rPr>
                <w:rFonts w:hint="eastAsia" w:ascii="宋体" w:hAnsi="宋体" w:cs="宋体"/>
                <w:szCs w:val="21"/>
              </w:rPr>
              <w:t>福建省福州市福清市江阴镇江阴工业集中区国盛大道3号</w:t>
            </w:r>
          </w:p>
        </w:tc>
      </w:tr>
      <w:tr>
        <w:tblPrEx>
          <w:tblCellMar>
            <w:top w:w="0" w:type="dxa"/>
            <w:left w:w="108" w:type="dxa"/>
            <w:bottom w:w="0" w:type="dxa"/>
            <w:right w:w="108" w:type="dxa"/>
          </w:tblCellMar>
        </w:tblPrEx>
        <w:trPr>
          <w:jc w:val="center"/>
        </w:trPr>
        <w:tc>
          <w:tcPr>
            <w:tcW w:w="1181" w:type="dxa"/>
            <w:gridSpan w:val="3"/>
            <w:vAlign w:val="center"/>
          </w:tcPr>
          <w:p>
            <w:pPr>
              <w:spacing w:line="280" w:lineRule="exact"/>
              <w:rPr>
                <w:rFonts w:ascii="宋体" w:hAnsi="宋体" w:cs="宋体"/>
                <w:szCs w:val="21"/>
              </w:rPr>
            </w:pPr>
            <w:r>
              <w:rPr>
                <w:rFonts w:hint="eastAsia" w:ascii="宋体" w:hAnsi="宋体" w:cs="宋体"/>
                <w:szCs w:val="21"/>
              </w:rPr>
              <w:t>邮政编码：</w:t>
            </w:r>
          </w:p>
        </w:tc>
        <w:tc>
          <w:tcPr>
            <w:tcW w:w="4093" w:type="dxa"/>
            <w:gridSpan w:val="4"/>
            <w:vAlign w:val="center"/>
          </w:tcPr>
          <w:p>
            <w:pPr>
              <w:spacing w:line="280" w:lineRule="exact"/>
              <w:rPr>
                <w:rFonts w:ascii="宋体" w:hAnsi="宋体" w:cs="宋体"/>
                <w:szCs w:val="21"/>
              </w:rPr>
            </w:pPr>
          </w:p>
        </w:tc>
        <w:tc>
          <w:tcPr>
            <w:tcW w:w="1260" w:type="dxa"/>
            <w:gridSpan w:val="3"/>
            <w:vAlign w:val="center"/>
          </w:tcPr>
          <w:p>
            <w:pPr>
              <w:spacing w:line="280" w:lineRule="exact"/>
              <w:rPr>
                <w:rFonts w:ascii="宋体" w:hAnsi="宋体" w:cs="宋体"/>
                <w:szCs w:val="21"/>
              </w:rPr>
            </w:pPr>
            <w:r>
              <w:rPr>
                <w:rFonts w:hint="eastAsia" w:ascii="宋体" w:hAnsi="宋体" w:cs="宋体"/>
                <w:szCs w:val="21"/>
              </w:rPr>
              <w:t>邮政编码：</w:t>
            </w:r>
          </w:p>
        </w:tc>
        <w:tc>
          <w:tcPr>
            <w:tcW w:w="4092" w:type="dxa"/>
            <w:gridSpan w:val="3"/>
            <w:vAlign w:val="center"/>
          </w:tcPr>
          <w:p>
            <w:pPr>
              <w:spacing w:line="280" w:lineRule="exact"/>
              <w:rPr>
                <w:rFonts w:ascii="宋体" w:hAnsi="宋体" w:cs="宋体"/>
                <w:szCs w:val="21"/>
              </w:rPr>
            </w:pPr>
          </w:p>
        </w:tc>
      </w:tr>
      <w:tr>
        <w:tblPrEx>
          <w:tblCellMar>
            <w:top w:w="0" w:type="dxa"/>
            <w:left w:w="108" w:type="dxa"/>
            <w:bottom w:w="0" w:type="dxa"/>
            <w:right w:w="108" w:type="dxa"/>
          </w:tblCellMar>
        </w:tblPrEx>
        <w:trPr>
          <w:jc w:val="center"/>
        </w:trPr>
        <w:tc>
          <w:tcPr>
            <w:tcW w:w="2651" w:type="dxa"/>
            <w:gridSpan w:val="5"/>
            <w:vAlign w:val="center"/>
          </w:tcPr>
          <w:p>
            <w:pPr>
              <w:spacing w:line="280" w:lineRule="exact"/>
              <w:rPr>
                <w:rFonts w:ascii="宋体" w:hAnsi="宋体" w:cs="宋体"/>
                <w:szCs w:val="21"/>
              </w:rPr>
            </w:pPr>
            <w:r>
              <w:rPr>
                <w:rFonts w:hint="eastAsia" w:ascii="宋体" w:hAnsi="宋体" w:cs="宋体"/>
                <w:szCs w:val="21"/>
              </w:rPr>
              <w:t>法定代表人或委托代理人：</w:t>
            </w:r>
          </w:p>
        </w:tc>
        <w:tc>
          <w:tcPr>
            <w:tcW w:w="2623" w:type="dxa"/>
            <w:gridSpan w:val="2"/>
            <w:vAlign w:val="center"/>
          </w:tcPr>
          <w:p>
            <w:pPr>
              <w:spacing w:line="280" w:lineRule="exact"/>
              <w:rPr>
                <w:rFonts w:ascii="宋体" w:hAnsi="宋体" w:cs="宋体"/>
                <w:szCs w:val="21"/>
              </w:rPr>
            </w:pPr>
          </w:p>
        </w:tc>
        <w:tc>
          <w:tcPr>
            <w:tcW w:w="2732" w:type="dxa"/>
            <w:gridSpan w:val="5"/>
            <w:vAlign w:val="center"/>
          </w:tcPr>
          <w:p>
            <w:pPr>
              <w:spacing w:line="280" w:lineRule="exact"/>
              <w:rPr>
                <w:rFonts w:ascii="宋体" w:hAnsi="宋体" w:cs="宋体"/>
                <w:szCs w:val="21"/>
              </w:rPr>
            </w:pPr>
            <w:r>
              <w:rPr>
                <w:rFonts w:hint="eastAsia" w:ascii="宋体" w:hAnsi="宋体" w:cs="宋体"/>
                <w:szCs w:val="21"/>
              </w:rPr>
              <w:t>法定代表人或委托代理人：</w:t>
            </w:r>
          </w:p>
        </w:tc>
        <w:tc>
          <w:tcPr>
            <w:tcW w:w="2620" w:type="dxa"/>
            <w:vAlign w:val="center"/>
          </w:tcPr>
          <w:p>
            <w:pPr>
              <w:spacing w:line="280" w:lineRule="exact"/>
              <w:rPr>
                <w:rFonts w:ascii="宋体" w:hAnsi="宋体" w:cs="宋体"/>
                <w:szCs w:val="21"/>
              </w:rPr>
            </w:pPr>
          </w:p>
        </w:tc>
      </w:tr>
      <w:tr>
        <w:tblPrEx>
          <w:tblCellMar>
            <w:top w:w="0" w:type="dxa"/>
            <w:left w:w="108" w:type="dxa"/>
            <w:bottom w:w="0" w:type="dxa"/>
            <w:right w:w="108" w:type="dxa"/>
          </w:tblCellMar>
        </w:tblPrEx>
        <w:trPr>
          <w:jc w:val="center"/>
        </w:trPr>
        <w:tc>
          <w:tcPr>
            <w:tcW w:w="968" w:type="dxa"/>
            <w:gridSpan w:val="2"/>
            <w:vAlign w:val="center"/>
          </w:tcPr>
          <w:p>
            <w:pPr>
              <w:spacing w:line="280" w:lineRule="exact"/>
              <w:rPr>
                <w:rFonts w:ascii="宋体" w:hAnsi="宋体" w:cs="宋体"/>
                <w:szCs w:val="21"/>
              </w:rPr>
            </w:pPr>
            <w:r>
              <w:rPr>
                <w:rFonts w:hint="eastAsia" w:ascii="宋体" w:hAnsi="宋体" w:cs="宋体"/>
                <w:szCs w:val="21"/>
              </w:rPr>
              <w:t>经办人：</w:t>
            </w:r>
          </w:p>
        </w:tc>
        <w:tc>
          <w:tcPr>
            <w:tcW w:w="4306" w:type="dxa"/>
            <w:gridSpan w:val="5"/>
            <w:vAlign w:val="center"/>
          </w:tcPr>
          <w:p>
            <w:pPr>
              <w:spacing w:line="280" w:lineRule="exact"/>
              <w:rPr>
                <w:rFonts w:ascii="宋体" w:hAnsi="宋体" w:cs="宋体"/>
                <w:szCs w:val="21"/>
              </w:rPr>
            </w:pPr>
          </w:p>
        </w:tc>
        <w:tc>
          <w:tcPr>
            <w:tcW w:w="1052" w:type="dxa"/>
            <w:gridSpan w:val="2"/>
            <w:vAlign w:val="center"/>
          </w:tcPr>
          <w:p>
            <w:pPr>
              <w:spacing w:line="280" w:lineRule="exact"/>
              <w:rPr>
                <w:rFonts w:ascii="宋体" w:hAnsi="宋体" w:cs="宋体"/>
                <w:szCs w:val="21"/>
              </w:rPr>
            </w:pPr>
            <w:r>
              <w:rPr>
                <w:rFonts w:hint="eastAsia" w:ascii="宋体" w:hAnsi="宋体" w:cs="宋体"/>
                <w:szCs w:val="21"/>
              </w:rPr>
              <w:t>经办人：</w:t>
            </w:r>
          </w:p>
        </w:tc>
        <w:tc>
          <w:tcPr>
            <w:tcW w:w="4300" w:type="dxa"/>
            <w:gridSpan w:val="4"/>
            <w:vAlign w:val="center"/>
          </w:tcPr>
          <w:p>
            <w:pPr>
              <w:spacing w:line="300" w:lineRule="exact"/>
              <w:rPr>
                <w:rFonts w:ascii="宋体" w:hAnsi="宋体" w:cs="宋体"/>
                <w:szCs w:val="21"/>
              </w:rPr>
            </w:pPr>
          </w:p>
        </w:tc>
      </w:tr>
      <w:tr>
        <w:tblPrEx>
          <w:tblCellMar>
            <w:top w:w="0" w:type="dxa"/>
            <w:left w:w="108" w:type="dxa"/>
            <w:bottom w:w="0" w:type="dxa"/>
            <w:right w:w="108" w:type="dxa"/>
          </w:tblCellMar>
        </w:tblPrEx>
        <w:trPr>
          <w:trHeight w:val="111" w:hRule="atLeast"/>
          <w:jc w:val="center"/>
        </w:trPr>
        <w:tc>
          <w:tcPr>
            <w:tcW w:w="761" w:type="dxa"/>
            <w:vAlign w:val="center"/>
          </w:tcPr>
          <w:p>
            <w:pPr>
              <w:spacing w:line="280" w:lineRule="exact"/>
              <w:rPr>
                <w:rFonts w:ascii="宋体" w:hAnsi="宋体" w:cs="宋体"/>
                <w:szCs w:val="21"/>
              </w:rPr>
            </w:pPr>
            <w:r>
              <w:rPr>
                <w:rFonts w:hint="eastAsia" w:ascii="宋体" w:hAnsi="宋体" w:cs="宋体"/>
                <w:szCs w:val="21"/>
              </w:rPr>
              <w:t>电话：</w:t>
            </w:r>
          </w:p>
        </w:tc>
        <w:tc>
          <w:tcPr>
            <w:tcW w:w="3752" w:type="dxa"/>
            <w:gridSpan w:val="5"/>
            <w:vAlign w:val="center"/>
          </w:tcPr>
          <w:p>
            <w:pPr>
              <w:spacing w:line="280" w:lineRule="exact"/>
              <w:rPr>
                <w:rFonts w:ascii="宋体" w:hAnsi="宋体" w:cs="宋体"/>
                <w:szCs w:val="21"/>
              </w:rPr>
            </w:pPr>
            <w:r>
              <w:rPr>
                <w:rFonts w:hint="eastAsia" w:ascii="宋体" w:hAnsi="宋体" w:cs="宋体"/>
                <w:szCs w:val="21"/>
              </w:rPr>
              <w:t> </w:t>
            </w:r>
          </w:p>
        </w:tc>
        <w:tc>
          <w:tcPr>
            <w:tcW w:w="761" w:type="dxa"/>
            <w:vAlign w:val="center"/>
          </w:tcPr>
          <w:p>
            <w:pPr>
              <w:spacing w:line="280" w:lineRule="exact"/>
            </w:pPr>
          </w:p>
        </w:tc>
        <w:tc>
          <w:tcPr>
            <w:tcW w:w="842" w:type="dxa"/>
            <w:vAlign w:val="center"/>
          </w:tcPr>
          <w:p>
            <w:pPr>
              <w:spacing w:line="280" w:lineRule="exact"/>
              <w:rPr>
                <w:rFonts w:ascii="宋体" w:hAnsi="宋体" w:cs="宋体"/>
                <w:szCs w:val="21"/>
              </w:rPr>
            </w:pPr>
            <w:r>
              <w:rPr>
                <w:rFonts w:hint="eastAsia" w:ascii="宋体" w:hAnsi="宋体" w:cs="宋体"/>
                <w:szCs w:val="21"/>
              </w:rPr>
              <w:t>电话：</w:t>
            </w:r>
          </w:p>
        </w:tc>
        <w:tc>
          <w:tcPr>
            <w:tcW w:w="4510" w:type="dxa"/>
            <w:gridSpan w:val="5"/>
            <w:vAlign w:val="center"/>
          </w:tcPr>
          <w:p>
            <w:pPr>
              <w:spacing w:line="280" w:lineRule="exact"/>
              <w:rPr>
                <w:rFonts w:ascii="宋体" w:hAnsi="宋体" w:cs="宋体"/>
                <w:szCs w:val="21"/>
              </w:rPr>
            </w:pPr>
          </w:p>
        </w:tc>
      </w:tr>
      <w:tr>
        <w:tblPrEx>
          <w:tblCellMar>
            <w:top w:w="0" w:type="dxa"/>
            <w:left w:w="108" w:type="dxa"/>
            <w:bottom w:w="0" w:type="dxa"/>
            <w:right w:w="108" w:type="dxa"/>
          </w:tblCellMar>
        </w:tblPrEx>
        <w:trPr>
          <w:jc w:val="center"/>
        </w:trPr>
        <w:tc>
          <w:tcPr>
            <w:tcW w:w="1181" w:type="dxa"/>
            <w:gridSpan w:val="3"/>
            <w:vAlign w:val="center"/>
          </w:tcPr>
          <w:p>
            <w:pPr>
              <w:spacing w:line="280" w:lineRule="exact"/>
              <w:rPr>
                <w:rFonts w:ascii="宋体" w:hAnsi="宋体" w:cs="宋体"/>
                <w:szCs w:val="21"/>
              </w:rPr>
            </w:pPr>
            <w:r>
              <w:rPr>
                <w:rFonts w:hint="eastAsia" w:ascii="宋体" w:hAnsi="宋体" w:cs="宋体"/>
                <w:szCs w:val="21"/>
              </w:rPr>
              <w:t>电子邮箱：</w:t>
            </w:r>
          </w:p>
        </w:tc>
        <w:tc>
          <w:tcPr>
            <w:tcW w:w="4093" w:type="dxa"/>
            <w:gridSpan w:val="4"/>
            <w:vAlign w:val="center"/>
          </w:tcPr>
          <w:p>
            <w:pPr>
              <w:spacing w:line="280" w:lineRule="exact"/>
              <w:rPr>
                <w:rFonts w:ascii="宋体" w:hAnsi="宋体" w:cs="宋体"/>
                <w:szCs w:val="21"/>
              </w:rPr>
            </w:pPr>
          </w:p>
        </w:tc>
        <w:tc>
          <w:tcPr>
            <w:tcW w:w="1260" w:type="dxa"/>
            <w:gridSpan w:val="3"/>
            <w:vAlign w:val="center"/>
          </w:tcPr>
          <w:p>
            <w:pPr>
              <w:spacing w:line="280" w:lineRule="exact"/>
              <w:rPr>
                <w:rFonts w:ascii="宋体" w:hAnsi="宋体" w:cs="宋体"/>
                <w:szCs w:val="21"/>
              </w:rPr>
            </w:pPr>
            <w:r>
              <w:rPr>
                <w:rFonts w:hint="eastAsia" w:ascii="宋体" w:hAnsi="宋体" w:cs="宋体"/>
                <w:szCs w:val="21"/>
              </w:rPr>
              <w:t>电子邮箱：</w:t>
            </w:r>
          </w:p>
        </w:tc>
        <w:tc>
          <w:tcPr>
            <w:tcW w:w="4092" w:type="dxa"/>
            <w:gridSpan w:val="3"/>
            <w:vAlign w:val="center"/>
          </w:tcPr>
          <w:p>
            <w:pPr>
              <w:spacing w:line="280" w:lineRule="exact"/>
              <w:rPr>
                <w:rFonts w:ascii="宋体" w:hAnsi="宋体" w:cs="宋体"/>
                <w:szCs w:val="21"/>
              </w:rPr>
            </w:pPr>
          </w:p>
        </w:tc>
      </w:tr>
      <w:tr>
        <w:tblPrEx>
          <w:tblCellMar>
            <w:top w:w="0" w:type="dxa"/>
            <w:left w:w="108" w:type="dxa"/>
            <w:bottom w:w="0" w:type="dxa"/>
            <w:right w:w="108" w:type="dxa"/>
          </w:tblCellMar>
        </w:tblPrEx>
        <w:trPr>
          <w:jc w:val="center"/>
        </w:trPr>
        <w:tc>
          <w:tcPr>
            <w:tcW w:w="1181" w:type="dxa"/>
            <w:gridSpan w:val="3"/>
            <w:vAlign w:val="center"/>
          </w:tcPr>
          <w:p>
            <w:pPr>
              <w:spacing w:line="280" w:lineRule="exact"/>
              <w:rPr>
                <w:rFonts w:ascii="宋体" w:hAnsi="宋体" w:cs="宋体"/>
                <w:szCs w:val="21"/>
              </w:rPr>
            </w:pPr>
            <w:r>
              <w:rPr>
                <w:rFonts w:hint="eastAsia" w:ascii="宋体" w:hAnsi="宋体" w:cs="宋体"/>
                <w:szCs w:val="21"/>
              </w:rPr>
              <w:t>开户银行：</w:t>
            </w:r>
          </w:p>
        </w:tc>
        <w:tc>
          <w:tcPr>
            <w:tcW w:w="4093" w:type="dxa"/>
            <w:gridSpan w:val="4"/>
            <w:vAlign w:val="center"/>
          </w:tcPr>
          <w:p>
            <w:pPr>
              <w:spacing w:line="280" w:lineRule="exact"/>
              <w:rPr>
                <w:rFonts w:ascii="宋体" w:hAnsi="宋体" w:cs="宋体"/>
                <w:szCs w:val="21"/>
              </w:rPr>
            </w:pPr>
          </w:p>
        </w:tc>
        <w:tc>
          <w:tcPr>
            <w:tcW w:w="1260" w:type="dxa"/>
            <w:gridSpan w:val="3"/>
            <w:vAlign w:val="center"/>
          </w:tcPr>
          <w:p>
            <w:pPr>
              <w:spacing w:line="280" w:lineRule="exact"/>
              <w:rPr>
                <w:rFonts w:ascii="宋体" w:hAnsi="宋体" w:cs="宋体"/>
                <w:szCs w:val="21"/>
              </w:rPr>
            </w:pPr>
            <w:r>
              <w:rPr>
                <w:rFonts w:hint="eastAsia" w:ascii="宋体" w:hAnsi="宋体" w:cs="宋体"/>
                <w:szCs w:val="21"/>
              </w:rPr>
              <w:t>开户银行：</w:t>
            </w:r>
          </w:p>
        </w:tc>
        <w:tc>
          <w:tcPr>
            <w:tcW w:w="4092" w:type="dxa"/>
            <w:gridSpan w:val="3"/>
            <w:vAlign w:val="center"/>
          </w:tcPr>
          <w:p>
            <w:pPr>
              <w:spacing w:line="280" w:lineRule="exact"/>
              <w:rPr>
                <w:rFonts w:ascii="宋体" w:hAnsi="宋体" w:cs="宋体"/>
                <w:szCs w:val="21"/>
              </w:rPr>
            </w:pPr>
            <w:r>
              <w:rPr>
                <w:rFonts w:hint="eastAsia" w:ascii="宋体" w:hAnsi="宋体" w:cs="宋体"/>
                <w:szCs w:val="21"/>
              </w:rPr>
              <w:t>中国建设银行福建省分行营业部</w:t>
            </w:r>
          </w:p>
        </w:tc>
      </w:tr>
      <w:tr>
        <w:tblPrEx>
          <w:tblCellMar>
            <w:top w:w="0" w:type="dxa"/>
            <w:left w:w="108" w:type="dxa"/>
            <w:bottom w:w="0" w:type="dxa"/>
            <w:right w:w="108" w:type="dxa"/>
          </w:tblCellMar>
        </w:tblPrEx>
        <w:trPr>
          <w:jc w:val="center"/>
        </w:trPr>
        <w:tc>
          <w:tcPr>
            <w:tcW w:w="761" w:type="dxa"/>
            <w:vAlign w:val="center"/>
          </w:tcPr>
          <w:p>
            <w:pPr>
              <w:spacing w:line="280" w:lineRule="exact"/>
              <w:rPr>
                <w:rFonts w:ascii="宋体" w:hAnsi="宋体" w:cs="宋体"/>
                <w:szCs w:val="21"/>
              </w:rPr>
            </w:pPr>
            <w:r>
              <w:rPr>
                <w:rFonts w:hint="eastAsia" w:ascii="宋体" w:hAnsi="宋体" w:cs="宋体"/>
                <w:szCs w:val="21"/>
              </w:rPr>
              <w:t>帐号：</w:t>
            </w:r>
          </w:p>
        </w:tc>
        <w:tc>
          <w:tcPr>
            <w:tcW w:w="3752" w:type="dxa"/>
            <w:gridSpan w:val="5"/>
            <w:vAlign w:val="center"/>
          </w:tcPr>
          <w:p>
            <w:pPr>
              <w:spacing w:line="280" w:lineRule="exact"/>
              <w:rPr>
                <w:rFonts w:ascii="宋体" w:hAnsi="宋体" w:cs="宋体"/>
                <w:szCs w:val="21"/>
              </w:rPr>
            </w:pPr>
            <w:r>
              <w:rPr>
                <w:rFonts w:hint="eastAsia" w:ascii="宋体" w:hAnsi="宋体" w:cs="宋体"/>
                <w:szCs w:val="21"/>
              </w:rPr>
              <w:t xml:space="preserve"> </w:t>
            </w:r>
          </w:p>
        </w:tc>
        <w:tc>
          <w:tcPr>
            <w:tcW w:w="761" w:type="dxa"/>
            <w:vAlign w:val="center"/>
          </w:tcPr>
          <w:p>
            <w:pPr>
              <w:spacing w:line="280" w:lineRule="exact"/>
            </w:pPr>
          </w:p>
        </w:tc>
        <w:tc>
          <w:tcPr>
            <w:tcW w:w="842" w:type="dxa"/>
            <w:vAlign w:val="center"/>
          </w:tcPr>
          <w:p>
            <w:pPr>
              <w:spacing w:line="280" w:lineRule="exact"/>
              <w:rPr>
                <w:rFonts w:ascii="宋体" w:hAnsi="宋体" w:cs="宋体"/>
                <w:szCs w:val="21"/>
              </w:rPr>
            </w:pPr>
            <w:r>
              <w:rPr>
                <w:rFonts w:hint="eastAsia" w:ascii="宋体" w:hAnsi="宋体" w:cs="宋体"/>
                <w:szCs w:val="21"/>
              </w:rPr>
              <w:t>帐号：</w:t>
            </w:r>
          </w:p>
        </w:tc>
        <w:tc>
          <w:tcPr>
            <w:tcW w:w="4510" w:type="dxa"/>
            <w:gridSpan w:val="5"/>
            <w:vAlign w:val="center"/>
          </w:tcPr>
          <w:p>
            <w:pPr>
              <w:spacing w:line="300" w:lineRule="exact"/>
              <w:rPr>
                <w:rFonts w:ascii="宋体" w:hAnsi="宋体" w:cs="宋体"/>
                <w:szCs w:val="21"/>
              </w:rPr>
            </w:pPr>
            <w:r>
              <w:rPr>
                <w:rFonts w:hint="eastAsia" w:ascii="宋体" w:hAnsi="宋体" w:cs="宋体"/>
                <w:szCs w:val="21"/>
              </w:rPr>
              <w:t>35001002406050008558</w:t>
            </w:r>
          </w:p>
        </w:tc>
      </w:tr>
      <w:tr>
        <w:tblPrEx>
          <w:tblCellMar>
            <w:top w:w="0" w:type="dxa"/>
            <w:left w:w="108" w:type="dxa"/>
            <w:bottom w:w="0" w:type="dxa"/>
            <w:right w:w="108" w:type="dxa"/>
          </w:tblCellMar>
        </w:tblPrEx>
        <w:trPr>
          <w:jc w:val="center"/>
        </w:trPr>
        <w:tc>
          <w:tcPr>
            <w:tcW w:w="761" w:type="dxa"/>
            <w:vAlign w:val="center"/>
          </w:tcPr>
          <w:p>
            <w:pPr>
              <w:spacing w:line="280" w:lineRule="exact"/>
              <w:rPr>
                <w:rFonts w:ascii="宋体" w:hAnsi="宋体" w:cs="宋体"/>
                <w:szCs w:val="21"/>
              </w:rPr>
            </w:pPr>
            <w:r>
              <w:rPr>
                <w:rFonts w:hint="eastAsia" w:ascii="宋体" w:hAnsi="宋体" w:cs="宋体"/>
                <w:szCs w:val="21"/>
              </w:rPr>
              <w:t>税号：</w:t>
            </w:r>
          </w:p>
        </w:tc>
        <w:tc>
          <w:tcPr>
            <w:tcW w:w="3752" w:type="dxa"/>
            <w:gridSpan w:val="5"/>
            <w:vAlign w:val="center"/>
          </w:tcPr>
          <w:p>
            <w:pPr>
              <w:spacing w:line="280" w:lineRule="exact"/>
              <w:rPr>
                <w:rFonts w:ascii="宋体" w:hAnsi="宋体" w:cs="宋体"/>
                <w:szCs w:val="21"/>
              </w:rPr>
            </w:pPr>
          </w:p>
        </w:tc>
        <w:tc>
          <w:tcPr>
            <w:tcW w:w="761" w:type="dxa"/>
            <w:vAlign w:val="center"/>
          </w:tcPr>
          <w:p>
            <w:pPr>
              <w:spacing w:line="280" w:lineRule="exact"/>
            </w:pPr>
          </w:p>
        </w:tc>
        <w:tc>
          <w:tcPr>
            <w:tcW w:w="842" w:type="dxa"/>
            <w:vAlign w:val="center"/>
          </w:tcPr>
          <w:p>
            <w:pPr>
              <w:spacing w:line="280" w:lineRule="exact"/>
              <w:rPr>
                <w:rFonts w:ascii="宋体" w:hAnsi="宋体" w:cs="宋体"/>
                <w:szCs w:val="21"/>
              </w:rPr>
            </w:pPr>
            <w:r>
              <w:rPr>
                <w:rFonts w:hint="eastAsia" w:ascii="宋体" w:hAnsi="宋体" w:cs="宋体"/>
                <w:szCs w:val="21"/>
              </w:rPr>
              <w:t>税号：</w:t>
            </w:r>
          </w:p>
        </w:tc>
        <w:tc>
          <w:tcPr>
            <w:tcW w:w="4510" w:type="dxa"/>
            <w:gridSpan w:val="5"/>
            <w:vAlign w:val="center"/>
          </w:tcPr>
          <w:p>
            <w:pPr>
              <w:spacing w:line="280" w:lineRule="exact"/>
              <w:rPr>
                <w:rFonts w:ascii="宋体" w:hAnsi="宋体" w:cs="宋体"/>
                <w:szCs w:val="21"/>
              </w:rPr>
            </w:pPr>
            <w:r>
              <w:rPr>
                <w:rFonts w:hint="eastAsia" w:ascii="宋体" w:hAnsi="宋体" w:cs="宋体"/>
                <w:szCs w:val="21"/>
              </w:rPr>
              <w:t>913500007051010634</w:t>
            </w:r>
          </w:p>
        </w:tc>
      </w:tr>
    </w:tbl>
    <w:p>
      <w:pPr>
        <w:spacing w:line="280" w:lineRule="exact"/>
        <w:rPr>
          <w:rFonts w:ascii="宋体" w:hAnsi="宋体"/>
          <w:b/>
          <w:color w:val="000000"/>
          <w:szCs w:val="21"/>
          <w:u w:val="single"/>
        </w:rPr>
      </w:pPr>
    </w:p>
    <w:p>
      <w:pPr>
        <w:spacing w:line="280" w:lineRule="exact"/>
        <w:jc w:val="center"/>
        <w:rPr>
          <w:rFonts w:ascii="宋体" w:hAnsi="宋体"/>
          <w:b/>
          <w:color w:val="000000"/>
          <w:szCs w:val="21"/>
          <w:u w:val="single"/>
        </w:rPr>
      </w:pPr>
      <w:r>
        <w:rPr>
          <w:rFonts w:hint="eastAsia" w:ascii="宋体" w:hAnsi="宋体"/>
          <w:b/>
          <w:color w:val="000000"/>
          <w:szCs w:val="21"/>
          <w:u w:val="single"/>
        </w:rPr>
        <w:t>第二部分  合同条款及规则</w:t>
      </w:r>
    </w:p>
    <w:p>
      <w:pPr>
        <w:spacing w:line="300" w:lineRule="exact"/>
        <w:rPr>
          <w:rFonts w:ascii="宋体" w:hAnsi="宋体"/>
          <w:b/>
          <w:szCs w:val="21"/>
        </w:rPr>
      </w:pPr>
      <w:r>
        <w:rPr>
          <w:rFonts w:hint="eastAsia" w:ascii="宋体" w:hAnsi="宋体"/>
          <w:b/>
          <w:szCs w:val="21"/>
        </w:rPr>
        <w:t>第一条、数量交接、误差标准及处理方式：</w:t>
      </w:r>
    </w:p>
    <w:p>
      <w:pPr>
        <w:spacing w:line="300" w:lineRule="exact"/>
        <w:ind w:firstLine="420" w:firstLineChars="200"/>
        <w:rPr>
          <w:rFonts w:ascii="宋体" w:hAnsi="宋体"/>
          <w:szCs w:val="21"/>
        </w:rPr>
      </w:pPr>
      <w:r>
        <w:rPr>
          <w:rFonts w:hint="eastAsia" w:ascii="宋体" w:hAnsi="宋体"/>
          <w:szCs w:val="21"/>
        </w:rPr>
        <w:t>数量验收：以卸货港第三方商检单位（CCIC中检）检验出具的重量检验报告作为数量结算标准。如双方对第三方检验结果存有异议，可以再行委托第四方复检或协商解决。</w:t>
      </w:r>
    </w:p>
    <w:p>
      <w:pPr>
        <w:spacing w:line="300" w:lineRule="exact"/>
        <w:ind w:firstLine="420" w:firstLineChars="200"/>
        <w:rPr>
          <w:rFonts w:ascii="宋体" w:hAnsi="宋体"/>
          <w:szCs w:val="21"/>
        </w:rPr>
      </w:pPr>
      <w:r>
        <w:rPr>
          <w:rFonts w:hint="eastAsia" w:ascii="宋体" w:hAnsi="宋体"/>
          <w:szCs w:val="21"/>
        </w:rPr>
        <w:t>质量验收：以卸货港第三方商检单位（CCIC中检）检验出具的质量检验报告作为质量结算标准。如双方对第三方检验结果存有异议，可以再行委托第四方复检或协商解决。</w:t>
      </w:r>
    </w:p>
    <w:p>
      <w:pPr>
        <w:spacing w:line="300" w:lineRule="exact"/>
        <w:rPr>
          <w:rFonts w:ascii="宋体" w:hAnsi="宋体"/>
          <w:b/>
          <w:szCs w:val="21"/>
        </w:rPr>
      </w:pPr>
      <w:r>
        <w:rPr>
          <w:rFonts w:hint="eastAsia" w:ascii="宋体" w:hAnsi="宋体"/>
          <w:b/>
          <w:szCs w:val="21"/>
        </w:rPr>
        <w:t>第二条、产品包装标准</w:t>
      </w:r>
    </w:p>
    <w:p>
      <w:pPr>
        <w:spacing w:line="300" w:lineRule="exact"/>
        <w:ind w:firstLine="420" w:firstLineChars="200"/>
        <w:rPr>
          <w:rFonts w:ascii="宋体" w:hAnsi="宋体"/>
          <w:szCs w:val="21"/>
        </w:rPr>
      </w:pPr>
      <w:r>
        <w:rPr>
          <w:rFonts w:hint="eastAsia" w:ascii="宋体" w:hAnsi="宋体"/>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pPr>
        <w:spacing w:line="300" w:lineRule="exact"/>
        <w:rPr>
          <w:rFonts w:ascii="宋体" w:hAnsi="宋体"/>
          <w:b/>
          <w:szCs w:val="21"/>
        </w:rPr>
      </w:pPr>
      <w:r>
        <w:rPr>
          <w:rFonts w:hint="eastAsia" w:ascii="宋体" w:hAnsi="宋体"/>
          <w:b/>
          <w:szCs w:val="21"/>
        </w:rPr>
        <w:t>第三条、对产品质量负责的条件及期限</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在交货之日起 1 个月的质量保证期内，供方按协议书第二条约定的产品质量要求及技术标准规定的质量标准对交付的产品负责。</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如果供方知道或者应当知道所出卖产品存在质量缺陷，所承担的质量保证期限不受本条第一款质量保证期限的约束,供方应依法承担相应责任，引起的装卸费用由供方承担。</w:t>
      </w:r>
    </w:p>
    <w:p>
      <w:pPr>
        <w:spacing w:line="300" w:lineRule="exact"/>
        <w:rPr>
          <w:rFonts w:ascii="宋体" w:hAnsi="宋体"/>
          <w:b/>
          <w:szCs w:val="21"/>
        </w:rPr>
      </w:pPr>
      <w:r>
        <w:rPr>
          <w:rFonts w:hint="eastAsia" w:ascii="宋体" w:hAnsi="宋体"/>
          <w:b/>
          <w:szCs w:val="21"/>
        </w:rPr>
        <w:t>第四条、货物所有权、风险的转移</w:t>
      </w:r>
    </w:p>
    <w:p>
      <w:pPr>
        <w:spacing w:line="300" w:lineRule="exact"/>
        <w:ind w:firstLine="420" w:firstLineChars="200"/>
        <w:rPr>
          <w:rFonts w:ascii="宋体" w:hAnsi="宋体"/>
          <w:szCs w:val="21"/>
        </w:rPr>
      </w:pPr>
      <w:r>
        <w:rPr>
          <w:rFonts w:hint="eastAsia" w:ascii="宋体" w:hAnsi="宋体"/>
          <w:szCs w:val="21"/>
        </w:rPr>
        <w:t>供方送回或代办托运方式下，货物的所有权和风险于供方将货物送至需方指定地点并经需方验收合格时转移至需方。</w:t>
      </w:r>
    </w:p>
    <w:p>
      <w:pPr>
        <w:spacing w:line="300" w:lineRule="exact"/>
        <w:rPr>
          <w:rFonts w:ascii="宋体" w:hAnsi="宋体"/>
          <w:b/>
          <w:szCs w:val="21"/>
        </w:rPr>
      </w:pPr>
      <w:r>
        <w:rPr>
          <w:rFonts w:hint="eastAsia" w:ascii="宋体" w:hAnsi="宋体"/>
          <w:b/>
          <w:szCs w:val="21"/>
        </w:rPr>
        <w:t>第五条、运输方式、费用负担、交货地点：</w:t>
      </w:r>
    </w:p>
    <w:p>
      <w:pPr>
        <w:numPr>
          <w:ilvl w:val="0"/>
          <w:numId w:val="3"/>
        </w:numPr>
        <w:spacing w:line="300" w:lineRule="exact"/>
        <w:ind w:firstLine="420" w:firstLineChars="200"/>
        <w:rPr>
          <w:rFonts w:ascii="宋体" w:hAnsi="宋体"/>
          <w:szCs w:val="21"/>
        </w:rPr>
      </w:pPr>
      <w:r>
        <w:rPr>
          <w:rFonts w:hint="eastAsia" w:ascii="宋体" w:hAnsi="宋体"/>
          <w:szCs w:val="21"/>
        </w:rPr>
        <w:t>供方送货或代办托运方式下，供、需双方商定按下列第</w:t>
      </w:r>
      <w:r>
        <w:rPr>
          <w:rFonts w:hint="eastAsia" w:ascii="宋体" w:hAnsi="宋体"/>
          <w:szCs w:val="21"/>
          <w:u w:val="single"/>
        </w:rPr>
        <w:t xml:space="preserve"> 3 </w:t>
      </w:r>
      <w:r>
        <w:rPr>
          <w:rFonts w:hint="eastAsia" w:ascii="宋体" w:hAnsi="宋体"/>
          <w:szCs w:val="21"/>
        </w:rPr>
        <w:t>款执行。</w:t>
      </w:r>
    </w:p>
    <w:p>
      <w:pPr>
        <w:numPr>
          <w:ilvl w:val="0"/>
          <w:numId w:val="4"/>
        </w:numPr>
        <w:spacing w:line="300" w:lineRule="exact"/>
        <w:ind w:firstLine="420" w:firstLineChars="200"/>
        <w:rPr>
          <w:rFonts w:ascii="宋体" w:hAnsi="宋体"/>
          <w:szCs w:val="21"/>
        </w:rPr>
      </w:pPr>
      <w:r>
        <w:rPr>
          <w:rFonts w:hint="eastAsia" w:ascii="宋体" w:hAnsi="宋体"/>
          <w:szCs w:val="21"/>
        </w:rPr>
        <w:t>火车运输，供方负责运输及负担运费，运至需方指定的单位或仓库。</w:t>
      </w:r>
    </w:p>
    <w:p>
      <w:pPr>
        <w:numPr>
          <w:ilvl w:val="0"/>
          <w:numId w:val="4"/>
        </w:numPr>
        <w:spacing w:line="300" w:lineRule="exact"/>
        <w:ind w:firstLine="420" w:firstLineChars="200"/>
        <w:rPr>
          <w:rFonts w:ascii="宋体" w:hAnsi="宋体"/>
          <w:szCs w:val="21"/>
        </w:rPr>
      </w:pPr>
      <w:r>
        <w:rPr>
          <w:rFonts w:hint="eastAsia" w:ascii="宋体" w:hAnsi="宋体"/>
          <w:szCs w:val="21"/>
        </w:rPr>
        <w:t>汽车运输，供方负责运输及负担运费，运至需方指定的单位或仓库。</w:t>
      </w:r>
    </w:p>
    <w:p>
      <w:pPr>
        <w:numPr>
          <w:ilvl w:val="0"/>
          <w:numId w:val="4"/>
        </w:numPr>
        <w:spacing w:line="300" w:lineRule="exact"/>
        <w:ind w:firstLine="420" w:firstLineChars="200"/>
        <w:rPr>
          <w:rFonts w:ascii="宋体" w:hAnsi="宋体"/>
          <w:szCs w:val="21"/>
        </w:rPr>
      </w:pPr>
      <w:r>
        <w:rPr>
          <w:rFonts w:hint="eastAsia" w:ascii="宋体" w:hAnsi="宋体"/>
          <w:szCs w:val="21"/>
        </w:rPr>
        <w:t>船舶运输，供方负责运输及负担运费，船运至</w:t>
      </w:r>
      <w:r>
        <w:rPr>
          <w:rFonts w:hint="eastAsia" w:ascii="宋体" w:hAnsi="宋体"/>
          <w:szCs w:val="21"/>
          <w:u w:val="single"/>
        </w:rPr>
        <w:t xml:space="preserve"> 江阴国际集装箱码头 </w:t>
      </w:r>
      <w:r>
        <w:rPr>
          <w:rFonts w:hint="eastAsia" w:ascii="宋体" w:hAnsi="宋体"/>
          <w:szCs w:val="21"/>
        </w:rPr>
        <w:t xml:space="preserve">。         </w:t>
      </w:r>
    </w:p>
    <w:p>
      <w:pPr>
        <w:spacing w:line="300" w:lineRule="exact"/>
        <w:rPr>
          <w:rFonts w:ascii="宋体" w:hAnsi="宋体"/>
          <w:b/>
          <w:szCs w:val="21"/>
        </w:rPr>
      </w:pPr>
      <w:r>
        <w:rPr>
          <w:rFonts w:hint="eastAsia" w:ascii="宋体" w:hAnsi="宋体"/>
          <w:b/>
          <w:szCs w:val="21"/>
        </w:rPr>
        <w:t>第六条、质量验收标准、方法及提出异议的期限</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检验标准：按本合同产品质量要求及技术标准规定的质量标准进行检验。货物交付时，供方与需方共同提取货物样品</w:t>
      </w:r>
      <w:r>
        <w:rPr>
          <w:rFonts w:hint="eastAsia" w:ascii="宋体" w:hAnsi="宋体"/>
          <w:szCs w:val="21"/>
          <w:u w:val="single"/>
        </w:rPr>
        <w:t xml:space="preserve"> 1 </w:t>
      </w:r>
      <w:r>
        <w:rPr>
          <w:rFonts w:hint="eastAsia" w:ascii="宋体" w:hAnsi="宋体"/>
          <w:szCs w:val="21"/>
        </w:rPr>
        <w:t>件并进行封存，以备检验，如供方不参与取样，视同默认需方的取样。封样应作为供、需双方发生质量争议时裁决的依据，封样保留时间为</w:t>
      </w:r>
      <w:r>
        <w:rPr>
          <w:rFonts w:hint="eastAsia" w:ascii="宋体" w:hAnsi="宋体"/>
          <w:szCs w:val="21"/>
          <w:u w:val="single"/>
        </w:rPr>
        <w:t xml:space="preserve"> 30 </w:t>
      </w:r>
      <w:r>
        <w:rPr>
          <w:rFonts w:hint="eastAsia" w:ascii="宋体" w:hAnsi="宋体"/>
          <w:szCs w:val="21"/>
        </w:rPr>
        <w:t>天。</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需方在接收供方货物后，如发现与合同约定质量不符，在</w:t>
      </w:r>
      <w:r>
        <w:rPr>
          <w:rFonts w:hint="eastAsia" w:ascii="宋体" w:hAnsi="宋体"/>
          <w:szCs w:val="21"/>
          <w:u w:val="single"/>
        </w:rPr>
        <w:t xml:space="preserve"> 15 </w:t>
      </w:r>
      <w:r>
        <w:rPr>
          <w:rFonts w:hint="eastAsia" w:ascii="宋体" w:hAnsi="宋体"/>
          <w:szCs w:val="21"/>
        </w:rPr>
        <w:t>天内向供方提出异议。</w:t>
      </w:r>
    </w:p>
    <w:p>
      <w:pPr>
        <w:spacing w:line="3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如供、需双方对货物的质量有争议的，由供、需双方共同指定具有国家认可资质的检验机构对封存的样品进行检验，并以该检验机构的检验结果作为确认货物质量的依据。如在争议发生后 </w:t>
      </w:r>
      <w:r>
        <w:rPr>
          <w:rFonts w:hint="eastAsia" w:ascii="宋体" w:hAnsi="宋体"/>
          <w:szCs w:val="21"/>
          <w:u w:val="single"/>
        </w:rPr>
        <w:t xml:space="preserve">15 </w:t>
      </w:r>
      <w:r>
        <w:rPr>
          <w:rFonts w:hint="eastAsia" w:ascii="宋体" w:hAnsi="宋体"/>
          <w:szCs w:val="21"/>
        </w:rPr>
        <w:t>日，供、需双方仍不能共同确认检验机构，则需方有权单方委托有资质的检验机构进行检验。检验结果不符合合同约定的质量标准，供方承担检验费以及因此给需方造成的经济损失；符合约定质量标准的，检验费由需方承担。</w:t>
      </w:r>
    </w:p>
    <w:p>
      <w:pPr>
        <w:spacing w:line="300" w:lineRule="exact"/>
        <w:rPr>
          <w:rFonts w:ascii="宋体" w:hAnsi="宋体"/>
          <w:b/>
          <w:szCs w:val="21"/>
        </w:rPr>
      </w:pPr>
      <w:r>
        <w:rPr>
          <w:rFonts w:hint="eastAsia" w:ascii="宋体" w:hAnsi="宋体"/>
          <w:b/>
          <w:szCs w:val="21"/>
        </w:rPr>
        <w:t>第七条、保密条款</w:t>
      </w:r>
    </w:p>
    <w:p>
      <w:pPr>
        <w:spacing w:line="300" w:lineRule="exact"/>
        <w:ind w:firstLine="420" w:firstLineChars="200"/>
        <w:rPr>
          <w:rFonts w:ascii="宋体" w:hAnsi="宋体"/>
          <w:szCs w:val="21"/>
        </w:rPr>
      </w:pPr>
      <w:r>
        <w:rPr>
          <w:rFonts w:hint="eastAsia" w:ascii="宋体" w:hAnsi="宋体"/>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300" w:lineRule="exact"/>
        <w:rPr>
          <w:rFonts w:ascii="宋体" w:hAnsi="宋体"/>
          <w:b/>
          <w:szCs w:val="21"/>
        </w:rPr>
      </w:pPr>
      <w:r>
        <w:rPr>
          <w:rFonts w:hint="eastAsia" w:ascii="宋体" w:hAnsi="宋体"/>
          <w:b/>
          <w:szCs w:val="21"/>
        </w:rPr>
        <w:t>第八条、健康、安全和环境保护及现场HSE要求</w:t>
      </w:r>
      <w:r>
        <w:rPr>
          <w:rFonts w:ascii="宋体" w:hAnsi="宋体"/>
          <w:b/>
          <w:szCs w:val="21"/>
        </w:rPr>
        <w:tab/>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供、需双方须确保在购销、运输、存储、加工、使用产品等过程中，对各自负责的环节，遵守质量、安全、环境与健康等法律法规的有关要求，并承担质量、安全、环境与健康责任。</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需方自备或雇佣的承运车辆需遵从供方的现场管理，严禁可能产生危险、危害环境等行为、情形的发生。需方自备或雇佣的承运车辆可能产生危险、危害环境等行为、情形时，供方有权采取必要的措施避免、改善此等危险及危害的行为、情形的发生，需方应就此承担必须的费用。</w:t>
      </w:r>
    </w:p>
    <w:p>
      <w:pPr>
        <w:spacing w:line="300" w:lineRule="exact"/>
        <w:rPr>
          <w:rFonts w:ascii="宋体" w:hAnsi="宋体"/>
          <w:b/>
          <w:szCs w:val="21"/>
        </w:rPr>
      </w:pPr>
      <w:r>
        <w:rPr>
          <w:rFonts w:hint="eastAsia" w:ascii="宋体" w:hAnsi="宋体"/>
          <w:b/>
          <w:szCs w:val="21"/>
        </w:rPr>
        <w:t>第九条、不可抗力</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按不可抗力对履行本合同影响的程度，在符合本合同条款情况下免除受不可抗力影响的一方对履行本合同受影响部分的责任。供、需双方并应尽快协商决定是否修改或解除本合同或将延误的履行期限顺延。因不可抗力致使无法实现合同目的，任何一方可书面通知对方解除本合同。</w:t>
      </w:r>
    </w:p>
    <w:p>
      <w:pPr>
        <w:spacing w:line="300" w:lineRule="exact"/>
        <w:rPr>
          <w:rFonts w:ascii="宋体" w:hAnsi="宋体"/>
          <w:b/>
          <w:szCs w:val="21"/>
        </w:rPr>
      </w:pPr>
      <w:r>
        <w:rPr>
          <w:rFonts w:hint="eastAsia" w:ascii="宋体" w:hAnsi="宋体"/>
          <w:b/>
          <w:szCs w:val="21"/>
        </w:rPr>
        <w:t xml:space="preserve">第十条、合同变更与解除： </w:t>
      </w:r>
    </w:p>
    <w:p>
      <w:pPr>
        <w:spacing w:line="300" w:lineRule="exact"/>
        <w:ind w:firstLine="420" w:firstLineChars="200"/>
        <w:rPr>
          <w:rFonts w:ascii="宋体" w:hAnsi="宋体"/>
          <w:szCs w:val="21"/>
        </w:rPr>
      </w:pPr>
      <w:r>
        <w:rPr>
          <w:rFonts w:hint="eastAsia" w:ascii="宋体" w:hAnsi="宋体"/>
          <w:szCs w:val="21"/>
        </w:rPr>
        <w:t>除本合同另有约定或法律规定外，非经供、需双方协商一致，任何一方均不得擅自变更或解除合同。合同变更或解除须采取书面形式。</w:t>
      </w:r>
    </w:p>
    <w:p>
      <w:pPr>
        <w:spacing w:line="300" w:lineRule="exact"/>
        <w:rPr>
          <w:rFonts w:ascii="宋体" w:hAnsi="宋体"/>
          <w:b/>
          <w:szCs w:val="21"/>
        </w:rPr>
      </w:pPr>
      <w:r>
        <w:rPr>
          <w:rFonts w:hint="eastAsia" w:ascii="宋体" w:hAnsi="宋体"/>
          <w:b/>
          <w:szCs w:val="21"/>
        </w:rPr>
        <w:t>第十一条、违约责任</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供方未按期如数交付符合合同约定质量的货物，每逾期</w:t>
      </w:r>
      <w:r>
        <w:rPr>
          <w:rFonts w:hint="eastAsia" w:ascii="宋体" w:hAnsi="宋体"/>
          <w:szCs w:val="21"/>
          <w:u w:val="single"/>
        </w:rPr>
        <w:t xml:space="preserve"> 壹 </w:t>
      </w:r>
      <w:r>
        <w:rPr>
          <w:rFonts w:hint="eastAsia" w:ascii="宋体" w:hAnsi="宋体"/>
          <w:szCs w:val="21"/>
        </w:rPr>
        <w:t xml:space="preserve">日，应向需方支付延迟交付货物货款金额    </w:t>
      </w:r>
      <w:r>
        <w:rPr>
          <w:rFonts w:hint="eastAsia" w:ascii="宋体" w:hAnsi="宋体"/>
          <w:szCs w:val="21"/>
          <w:u w:val="single"/>
        </w:rPr>
        <w:t xml:space="preserve">0.1 </w:t>
      </w:r>
      <w:r>
        <w:rPr>
          <w:rFonts w:hint="eastAsia" w:ascii="宋体" w:hAnsi="宋体"/>
          <w:szCs w:val="21"/>
        </w:rPr>
        <w:t>％的违约金；如供方逾期交货超过</w:t>
      </w:r>
      <w:r>
        <w:rPr>
          <w:rFonts w:hint="eastAsia" w:ascii="宋体" w:hAnsi="宋体"/>
          <w:szCs w:val="21"/>
          <w:u w:val="single"/>
        </w:rPr>
        <w:t xml:space="preserve"> 三十 </w:t>
      </w:r>
      <w:r>
        <w:rPr>
          <w:rFonts w:hint="eastAsia" w:ascii="宋体" w:hAnsi="宋体"/>
          <w:szCs w:val="21"/>
        </w:rPr>
        <w:t xml:space="preserve"> 日的，除应向需方支付违约金外，需方还有权解除合同，并要求供方赔偿因逾期交货而造成的损失。</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w:t>
      </w:r>
    </w:p>
    <w:p>
      <w:pPr>
        <w:spacing w:line="3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发生其他违约情形，违约方应赔偿由此给对方造成的损失。如属供、需双方过错，应各自承担相应责任。</w:t>
      </w:r>
    </w:p>
    <w:p>
      <w:pPr>
        <w:spacing w:line="300" w:lineRule="exact"/>
        <w:rPr>
          <w:rFonts w:ascii="宋体" w:hAnsi="宋体"/>
          <w:b/>
          <w:szCs w:val="21"/>
        </w:rPr>
      </w:pPr>
      <w:r>
        <w:rPr>
          <w:rFonts w:hint="eastAsia" w:ascii="宋体" w:hAnsi="宋体"/>
          <w:b/>
          <w:szCs w:val="21"/>
        </w:rPr>
        <w:t>第十二条、法律的适用及争议解决方式</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本合同的效力、解释及履行均适用中华人民共和国法律。</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因本合同履行过程中引起的任何争议，供、需双方应及时友好协商解决。协商不成的，向需方所在地的人民法院提起诉讼。</w:t>
      </w:r>
    </w:p>
    <w:p>
      <w:pPr>
        <w:spacing w:line="300" w:lineRule="exact"/>
        <w:rPr>
          <w:rFonts w:ascii="宋体" w:hAnsi="宋体"/>
          <w:b/>
          <w:szCs w:val="21"/>
        </w:rPr>
      </w:pPr>
      <w:r>
        <w:rPr>
          <w:rFonts w:hint="eastAsia" w:ascii="宋体" w:hAnsi="宋体"/>
          <w:b/>
          <w:szCs w:val="21"/>
        </w:rPr>
        <w:t>第十三条、合同的效力及其他</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本合同自签订之日起生效。</w:t>
      </w:r>
    </w:p>
    <w:p>
      <w:pPr>
        <w:spacing w:line="3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本合同未尽事宜，供、需双方协商签订补充协议。</w:t>
      </w:r>
    </w:p>
    <w:p>
      <w:pPr>
        <w:spacing w:line="3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本合同的组成部分：协议书、《合同条款及规则》、相关标准及附件、订单、补充协议。</w:t>
      </w:r>
    </w:p>
    <w:p>
      <w:pPr>
        <w:spacing w:line="300" w:lineRule="exact"/>
        <w:ind w:firstLine="420" w:firstLineChars="200"/>
        <w:rPr>
          <w:rFonts w:ascii="宋体" w:hAnsi="宋体"/>
          <w:color w:val="000000"/>
          <w:szCs w:val="21"/>
        </w:rPr>
      </w:pPr>
      <w:r>
        <w:rPr>
          <w:rFonts w:hint="eastAsia" w:ascii="宋体" w:hAnsi="宋体"/>
          <w:szCs w:val="21"/>
        </w:rPr>
        <w:t>4</w:t>
      </w:r>
      <w:r>
        <w:rPr>
          <w:rFonts w:ascii="宋体" w:hAnsi="宋体"/>
          <w:szCs w:val="21"/>
        </w:rPr>
        <w:t>.</w:t>
      </w:r>
      <w:r>
        <w:rPr>
          <w:rFonts w:hint="eastAsia" w:ascii="宋体" w:hAnsi="宋体"/>
          <w:szCs w:val="21"/>
        </w:rPr>
        <w:t>供、需双方重要文件往来应当以书面形式进行。如以特快专递方式送达至本合同所列地址，则：供、需双方地址在同一个地市级行政区域内的，自特快专递寄出之日起算第3日即视为已有效送达（有证据证明对方已经提前签收除外）；供、需双方地址不在同一个地市级行政区域内的，自特快专递寄出之日起算第6日即视为已有效送达（有证据证明对方已经提前签收除外）；供、需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280" w:lineRule="exact"/>
        <w:ind w:firstLine="420" w:firstLineChars="200"/>
        <w:rPr>
          <w:rFonts w:ascii="宋体" w:hAnsi="宋体"/>
          <w:color w:val="000000"/>
          <w:szCs w:val="21"/>
        </w:rPr>
      </w:pPr>
      <w:r>
        <w:rPr>
          <w:rFonts w:hint="eastAsia" w:ascii="宋体" w:hAnsi="宋体"/>
          <w:color w:val="000000"/>
          <w:szCs w:val="21"/>
        </w:rPr>
        <w:t>5、其他约定事项：货权交接单据如附件</w:t>
      </w:r>
    </w:p>
    <w:p>
      <w:pPr>
        <w:spacing w:before="240" w:after="240"/>
        <w:rPr>
          <w:rFonts w:ascii="宋体" w:hAnsi="宋体"/>
          <w:color w:val="000000"/>
          <w:szCs w:val="21"/>
        </w:rPr>
      </w:pPr>
      <w:bookmarkStart w:id="0" w:name="OLE_LINK2"/>
      <w:bookmarkStart w:id="1" w:name="OLE_LINK1"/>
      <w:r>
        <w:rPr>
          <w:rFonts w:hint="eastAsia" w:ascii="宋体" w:hAnsi="宋体"/>
          <w:color w:val="000000"/>
          <w:szCs w:val="21"/>
        </w:rPr>
        <w:t>附件：</w:t>
      </w:r>
    </w:p>
    <w:p>
      <w:pPr>
        <w:spacing w:before="240" w:after="240"/>
        <w:jc w:val="center"/>
        <w:rPr>
          <w:b/>
          <w:sz w:val="32"/>
          <w:szCs w:val="32"/>
        </w:rPr>
      </w:pPr>
      <w:r>
        <w:rPr>
          <w:rFonts w:hint="eastAsia"/>
          <w:b/>
          <w:sz w:val="32"/>
          <w:szCs w:val="32"/>
        </w:rPr>
        <w:t>货物交接单</w:t>
      </w:r>
    </w:p>
    <w:p>
      <w:pPr>
        <w:jc w:val="center"/>
        <w:rPr>
          <w:b/>
          <w:sz w:val="32"/>
          <w:szCs w:val="32"/>
        </w:rPr>
      </w:pPr>
      <w:r>
        <w:rPr>
          <w:b/>
          <w:sz w:val="32"/>
          <w:szCs w:val="32"/>
        </w:rPr>
        <w:t xml:space="preserve">                             NO</w:t>
      </w:r>
      <w:r>
        <w:rPr>
          <w:rFonts w:hint="eastAsia"/>
          <w:b/>
          <w:sz w:val="32"/>
          <w:szCs w:val="32"/>
        </w:rPr>
        <w:t>：</w:t>
      </w:r>
    </w:p>
    <w:tbl>
      <w:tblPr>
        <w:tblStyle w:val="8"/>
        <w:tblW w:w="0" w:type="auto"/>
        <w:jc w:val="center"/>
        <w:tblLayout w:type="fixed"/>
        <w:tblCellMar>
          <w:top w:w="0" w:type="dxa"/>
          <w:left w:w="108" w:type="dxa"/>
          <w:bottom w:w="0" w:type="dxa"/>
          <w:right w:w="108" w:type="dxa"/>
        </w:tblCellMar>
      </w:tblPr>
      <w:tblGrid>
        <w:gridCol w:w="1890"/>
        <w:gridCol w:w="3049"/>
        <w:gridCol w:w="756"/>
        <w:gridCol w:w="1630"/>
        <w:gridCol w:w="3580"/>
      </w:tblGrid>
      <w:tr>
        <w:tblPrEx>
          <w:tblCellMar>
            <w:top w:w="0" w:type="dxa"/>
            <w:left w:w="108" w:type="dxa"/>
            <w:bottom w:w="0" w:type="dxa"/>
            <w:right w:w="108" w:type="dxa"/>
          </w:tblCellMar>
        </w:tblPrEx>
        <w:trPr>
          <w:trHeight w:val="538" w:hRule="atLeast"/>
          <w:jc w:val="center"/>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供方：</w:t>
            </w:r>
          </w:p>
        </w:tc>
        <w:tc>
          <w:tcPr>
            <w:tcW w:w="9015"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5" w:hRule="atLeast"/>
          <w:jc w:val="center"/>
        </w:trPr>
        <w:tc>
          <w:tcPr>
            <w:tcW w:w="189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需方：</w:t>
            </w:r>
          </w:p>
        </w:tc>
        <w:tc>
          <w:tcPr>
            <w:tcW w:w="9015"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r>
      <w:tr>
        <w:tblPrEx>
          <w:tblCellMar>
            <w:top w:w="0" w:type="dxa"/>
            <w:left w:w="108" w:type="dxa"/>
            <w:bottom w:w="0" w:type="dxa"/>
            <w:right w:w="108" w:type="dxa"/>
          </w:tblCellMar>
        </w:tblPrEx>
        <w:trPr>
          <w:trHeight w:val="549" w:hRule="atLeast"/>
          <w:jc w:val="center"/>
        </w:trPr>
        <w:tc>
          <w:tcPr>
            <w:tcW w:w="1890"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24"/>
              </w:rPr>
            </w:pPr>
            <w:r>
              <w:rPr>
                <w:rFonts w:hint="eastAsia" w:ascii="宋体" w:hAnsi="宋体" w:cs="宋体"/>
                <w:color w:val="000000"/>
                <w:kern w:val="0"/>
                <w:sz w:val="24"/>
              </w:rPr>
              <w:t>供方合同编号</w:t>
            </w:r>
          </w:p>
        </w:tc>
        <w:tc>
          <w:tcPr>
            <w:tcW w:w="9015" w:type="dxa"/>
            <w:gridSpan w:val="4"/>
            <w:tcBorders>
              <w:top w:val="single" w:color="auto" w:sz="4" w:space="0"/>
              <w:left w:val="nil"/>
              <w:bottom w:val="single" w:color="auto" w:sz="4" w:space="0"/>
              <w:right w:val="single" w:color="auto" w:sz="4" w:space="0"/>
            </w:tcBorders>
            <w:vAlign w:val="center"/>
          </w:tcPr>
          <w:p>
            <w:pPr>
              <w:jc w:val="center"/>
              <w:rPr>
                <w:rFonts w:cs="宋体"/>
                <w:color w:val="000000"/>
                <w:kern w:val="0"/>
                <w:sz w:val="24"/>
              </w:rPr>
            </w:pPr>
          </w:p>
        </w:tc>
      </w:tr>
      <w:tr>
        <w:tblPrEx>
          <w:tblCellMar>
            <w:top w:w="0" w:type="dxa"/>
            <w:left w:w="108" w:type="dxa"/>
            <w:bottom w:w="0" w:type="dxa"/>
            <w:right w:w="108" w:type="dxa"/>
          </w:tblCellMar>
        </w:tblPrEx>
        <w:trPr>
          <w:trHeight w:val="549" w:hRule="atLeast"/>
          <w:jc w:val="center"/>
        </w:trPr>
        <w:tc>
          <w:tcPr>
            <w:tcW w:w="189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4"/>
              </w:rPr>
            </w:pPr>
            <w:r>
              <w:rPr>
                <w:rFonts w:hint="eastAsia" w:ascii="宋体" w:hAnsi="宋体" w:cs="宋体"/>
                <w:color w:val="000000"/>
                <w:kern w:val="0"/>
                <w:sz w:val="24"/>
              </w:rPr>
              <w:t>需方合同编号</w:t>
            </w:r>
          </w:p>
        </w:tc>
        <w:tc>
          <w:tcPr>
            <w:tcW w:w="9015" w:type="dxa"/>
            <w:gridSpan w:val="4"/>
            <w:tcBorders>
              <w:top w:val="single" w:color="auto" w:sz="4" w:space="0"/>
              <w:left w:val="nil"/>
              <w:bottom w:val="single" w:color="auto" w:sz="4" w:space="0"/>
              <w:right w:val="single" w:color="auto" w:sz="4" w:space="0"/>
            </w:tcBorders>
            <w:vAlign w:val="center"/>
          </w:tcPr>
          <w:p>
            <w:pPr>
              <w:jc w:val="center"/>
              <w:rPr>
                <w:rFonts w:cs="宋体"/>
                <w:color w:val="000000"/>
                <w:kern w:val="0"/>
                <w:sz w:val="24"/>
              </w:rPr>
            </w:pPr>
          </w:p>
        </w:tc>
      </w:tr>
      <w:tr>
        <w:tblPrEx>
          <w:tblCellMar>
            <w:top w:w="0" w:type="dxa"/>
            <w:left w:w="108" w:type="dxa"/>
            <w:bottom w:w="0" w:type="dxa"/>
            <w:right w:w="108" w:type="dxa"/>
          </w:tblCellMar>
        </w:tblPrEx>
        <w:trPr>
          <w:trHeight w:val="571" w:hRule="atLeast"/>
          <w:jc w:val="center"/>
        </w:trPr>
        <w:tc>
          <w:tcPr>
            <w:tcW w:w="189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货物名称</w:t>
            </w:r>
          </w:p>
        </w:tc>
        <w:tc>
          <w:tcPr>
            <w:tcW w:w="304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c>
          <w:tcPr>
            <w:tcW w:w="238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货物型号</w:t>
            </w:r>
          </w:p>
        </w:tc>
        <w:tc>
          <w:tcPr>
            <w:tcW w:w="358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r>
      <w:tr>
        <w:tblPrEx>
          <w:tblCellMar>
            <w:top w:w="0" w:type="dxa"/>
            <w:left w:w="108" w:type="dxa"/>
            <w:bottom w:w="0" w:type="dxa"/>
            <w:right w:w="108" w:type="dxa"/>
          </w:tblCellMar>
        </w:tblPrEx>
        <w:trPr>
          <w:trHeight w:val="550" w:hRule="atLeast"/>
          <w:jc w:val="center"/>
        </w:trPr>
        <w:tc>
          <w:tcPr>
            <w:tcW w:w="189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船名：</w:t>
            </w:r>
          </w:p>
        </w:tc>
        <w:tc>
          <w:tcPr>
            <w:tcW w:w="9015"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r>
      <w:tr>
        <w:tblPrEx>
          <w:tblCellMar>
            <w:top w:w="0" w:type="dxa"/>
            <w:left w:w="108" w:type="dxa"/>
            <w:bottom w:w="0" w:type="dxa"/>
            <w:right w:w="108" w:type="dxa"/>
          </w:tblCellMar>
        </w:tblPrEx>
        <w:trPr>
          <w:trHeight w:val="558" w:hRule="atLeast"/>
          <w:jc w:val="center"/>
        </w:trPr>
        <w:tc>
          <w:tcPr>
            <w:tcW w:w="189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交接数量（吨）</w:t>
            </w:r>
          </w:p>
        </w:tc>
        <w:tc>
          <w:tcPr>
            <w:tcW w:w="304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c>
          <w:tcPr>
            <w:tcW w:w="238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货物交接起始日期</w:t>
            </w:r>
          </w:p>
        </w:tc>
        <w:tc>
          <w:tcPr>
            <w:tcW w:w="358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p>
        </w:tc>
      </w:tr>
      <w:tr>
        <w:tblPrEx>
          <w:tblCellMar>
            <w:top w:w="0" w:type="dxa"/>
            <w:left w:w="108" w:type="dxa"/>
            <w:bottom w:w="0" w:type="dxa"/>
            <w:right w:w="108" w:type="dxa"/>
          </w:tblCellMar>
        </w:tblPrEx>
        <w:trPr>
          <w:trHeight w:val="1081" w:hRule="atLeast"/>
          <w:jc w:val="center"/>
        </w:trPr>
        <w:tc>
          <w:tcPr>
            <w:tcW w:w="189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cs="宋体"/>
                <w:color w:val="000000"/>
                <w:kern w:val="0"/>
                <w:sz w:val="24"/>
              </w:rPr>
              <w:t>备注</w:t>
            </w:r>
          </w:p>
        </w:tc>
        <w:tc>
          <w:tcPr>
            <w:tcW w:w="9015" w:type="dxa"/>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cs="宋体"/>
                <w:color w:val="000000"/>
                <w:kern w:val="0"/>
                <w:sz w:val="24"/>
              </w:rPr>
            </w:pPr>
            <w:r>
              <w:rPr>
                <w:rFonts w:hint="eastAsia" w:ascii="宋体" w:hAnsi="宋体" w:cs="宋体"/>
                <w:color w:val="000000"/>
                <w:kern w:val="0"/>
                <w:sz w:val="24"/>
              </w:rPr>
              <w:t>1、货物需方盖章即确认已收到上述货物，且货物的质量数量符合合同约定，</w:t>
            </w:r>
            <w:r>
              <w:rPr>
                <w:rFonts w:hint="eastAsia" w:ascii="宋体" w:cs="宋体"/>
                <w:color w:val="000000"/>
                <w:kern w:val="0"/>
                <w:sz w:val="24"/>
              </w:rPr>
              <w:t>需方已接收确认无误。</w:t>
            </w:r>
          </w:p>
          <w:p>
            <w:pPr>
              <w:widowControl/>
              <w:spacing w:line="400" w:lineRule="exact"/>
              <w:jc w:val="left"/>
              <w:rPr>
                <w:rFonts w:asci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、供方送回或代办托运方式下，货物的所有权和风险于供方将货物送至需方指定地点并经需方验收合格时转移至需方。</w:t>
            </w:r>
          </w:p>
        </w:tc>
      </w:tr>
      <w:tr>
        <w:tblPrEx>
          <w:tblCellMar>
            <w:top w:w="0" w:type="dxa"/>
            <w:left w:w="108" w:type="dxa"/>
            <w:bottom w:w="0" w:type="dxa"/>
            <w:right w:w="108" w:type="dxa"/>
          </w:tblCellMar>
        </w:tblPrEx>
        <w:trPr>
          <w:trHeight w:val="708" w:hRule="atLeast"/>
          <w:jc w:val="center"/>
        </w:trPr>
        <w:tc>
          <w:tcPr>
            <w:tcW w:w="5695" w:type="dxa"/>
            <w:gridSpan w:val="3"/>
            <w:tcBorders>
              <w:top w:val="single" w:color="auto" w:sz="4" w:space="0"/>
              <w:left w:val="single" w:color="auto" w:sz="4" w:space="0"/>
              <w:bottom w:val="nil"/>
              <w:right w:val="nil"/>
            </w:tcBorders>
            <w:vAlign w:val="center"/>
          </w:tcPr>
          <w:p>
            <w:pPr>
              <w:widowControl/>
              <w:spacing w:before="100" w:beforeAutospacing="1" w:after="100" w:afterAutospacing="1"/>
              <w:jc w:val="center"/>
              <w:rPr>
                <w:rFonts w:ascii="宋体" w:cs="宋体"/>
                <w:color w:val="000000"/>
                <w:kern w:val="0"/>
                <w:sz w:val="28"/>
                <w:szCs w:val="28"/>
              </w:rPr>
            </w:pPr>
            <w:r>
              <w:rPr>
                <w:rFonts w:hint="eastAsia" w:ascii="宋体" w:hAnsi="宋体" w:cs="宋体"/>
                <w:color w:val="000000"/>
                <w:kern w:val="0"/>
                <w:sz w:val="28"/>
                <w:szCs w:val="28"/>
              </w:rPr>
              <w:t>货物供方</w:t>
            </w:r>
          </w:p>
        </w:tc>
        <w:tc>
          <w:tcPr>
            <w:tcW w:w="5210" w:type="dxa"/>
            <w:gridSpan w:val="2"/>
            <w:tcBorders>
              <w:top w:val="single" w:color="auto" w:sz="4" w:space="0"/>
              <w:left w:val="single" w:color="auto" w:sz="4" w:space="0"/>
              <w:bottom w:val="nil"/>
              <w:right w:val="single" w:color="000000" w:sz="4" w:space="0"/>
            </w:tcBorders>
            <w:vAlign w:val="center"/>
          </w:tcPr>
          <w:p>
            <w:pPr>
              <w:widowControl/>
              <w:spacing w:before="100" w:beforeAutospacing="1" w:after="100" w:afterAutospacing="1"/>
              <w:jc w:val="center"/>
              <w:rPr>
                <w:rFonts w:ascii="宋体" w:cs="宋体"/>
                <w:color w:val="000000"/>
                <w:kern w:val="0"/>
                <w:sz w:val="28"/>
                <w:szCs w:val="28"/>
              </w:rPr>
            </w:pPr>
            <w:r>
              <w:rPr>
                <w:rFonts w:hint="eastAsia" w:ascii="宋体" w:hAnsi="宋体" w:cs="宋体"/>
                <w:color w:val="000000"/>
                <w:kern w:val="0"/>
                <w:sz w:val="28"/>
                <w:szCs w:val="28"/>
              </w:rPr>
              <w:t>货物需方</w:t>
            </w:r>
          </w:p>
        </w:tc>
      </w:tr>
      <w:tr>
        <w:tblPrEx>
          <w:tblCellMar>
            <w:top w:w="0" w:type="dxa"/>
            <w:left w:w="108" w:type="dxa"/>
            <w:bottom w:w="0" w:type="dxa"/>
            <w:right w:w="108" w:type="dxa"/>
          </w:tblCellMar>
        </w:tblPrEx>
        <w:trPr>
          <w:trHeight w:val="708" w:hRule="atLeast"/>
          <w:jc w:val="center"/>
        </w:trPr>
        <w:tc>
          <w:tcPr>
            <w:tcW w:w="5695" w:type="dxa"/>
            <w:gridSpan w:val="3"/>
            <w:tcBorders>
              <w:top w:val="nil"/>
              <w:left w:val="single" w:color="auto" w:sz="4" w:space="0"/>
              <w:bottom w:val="nil"/>
              <w:right w:val="nil"/>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供方（章）：</w:t>
            </w:r>
          </w:p>
        </w:tc>
        <w:tc>
          <w:tcPr>
            <w:tcW w:w="5210" w:type="dxa"/>
            <w:gridSpan w:val="2"/>
            <w:tcBorders>
              <w:top w:val="nil"/>
              <w:left w:val="single" w:color="auto" w:sz="4" w:space="0"/>
              <w:bottom w:val="nil"/>
              <w:right w:val="single" w:color="000000" w:sz="4" w:space="0"/>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需方（章）：</w:t>
            </w:r>
          </w:p>
        </w:tc>
      </w:tr>
      <w:tr>
        <w:tblPrEx>
          <w:tblCellMar>
            <w:top w:w="0" w:type="dxa"/>
            <w:left w:w="108" w:type="dxa"/>
            <w:bottom w:w="0" w:type="dxa"/>
            <w:right w:w="108" w:type="dxa"/>
          </w:tblCellMar>
        </w:tblPrEx>
        <w:trPr>
          <w:trHeight w:val="708" w:hRule="atLeast"/>
          <w:jc w:val="center"/>
        </w:trPr>
        <w:tc>
          <w:tcPr>
            <w:tcW w:w="5695" w:type="dxa"/>
            <w:gridSpan w:val="3"/>
            <w:tcBorders>
              <w:top w:val="nil"/>
              <w:left w:val="single" w:color="auto" w:sz="4" w:space="0"/>
              <w:bottom w:val="nil"/>
              <w:right w:val="nil"/>
            </w:tcBorders>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法定代表人或代表人：</w:t>
            </w:r>
          </w:p>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经办人</w:t>
            </w:r>
          </w:p>
        </w:tc>
        <w:tc>
          <w:tcPr>
            <w:tcW w:w="5210" w:type="dxa"/>
            <w:gridSpan w:val="2"/>
            <w:tcBorders>
              <w:top w:val="nil"/>
              <w:left w:val="single" w:color="auto" w:sz="4" w:space="0"/>
              <w:bottom w:val="nil"/>
              <w:right w:val="single" w:color="000000" w:sz="4" w:space="0"/>
            </w:tcBorders>
            <w:vAlign w:val="center"/>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法定代表人或代表人：</w:t>
            </w:r>
          </w:p>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经办人</w:t>
            </w:r>
          </w:p>
        </w:tc>
      </w:tr>
      <w:tr>
        <w:tblPrEx>
          <w:tblCellMar>
            <w:top w:w="0" w:type="dxa"/>
            <w:left w:w="108" w:type="dxa"/>
            <w:bottom w:w="0" w:type="dxa"/>
            <w:right w:w="108" w:type="dxa"/>
          </w:tblCellMar>
        </w:tblPrEx>
        <w:trPr>
          <w:trHeight w:val="708" w:hRule="atLeast"/>
          <w:jc w:val="center"/>
        </w:trPr>
        <w:tc>
          <w:tcPr>
            <w:tcW w:w="5695" w:type="dxa"/>
            <w:gridSpan w:val="3"/>
            <w:tcBorders>
              <w:top w:val="nil"/>
              <w:left w:val="single" w:color="auto" w:sz="4" w:space="0"/>
              <w:bottom w:val="nil"/>
              <w:right w:val="nil"/>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联系电话：</w:t>
            </w:r>
          </w:p>
        </w:tc>
        <w:tc>
          <w:tcPr>
            <w:tcW w:w="5210" w:type="dxa"/>
            <w:gridSpan w:val="2"/>
            <w:tcBorders>
              <w:top w:val="nil"/>
              <w:left w:val="single" w:color="auto" w:sz="4" w:space="0"/>
              <w:bottom w:val="nil"/>
              <w:right w:val="single" w:color="000000" w:sz="4" w:space="0"/>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联系电话：</w:t>
            </w:r>
          </w:p>
        </w:tc>
      </w:tr>
      <w:tr>
        <w:tblPrEx>
          <w:tblCellMar>
            <w:top w:w="0" w:type="dxa"/>
            <w:left w:w="108" w:type="dxa"/>
            <w:bottom w:w="0" w:type="dxa"/>
            <w:right w:w="108" w:type="dxa"/>
          </w:tblCellMar>
        </w:tblPrEx>
        <w:trPr>
          <w:trHeight w:val="708" w:hRule="atLeast"/>
          <w:jc w:val="center"/>
        </w:trPr>
        <w:tc>
          <w:tcPr>
            <w:tcW w:w="5695" w:type="dxa"/>
            <w:gridSpan w:val="3"/>
            <w:tcBorders>
              <w:top w:val="nil"/>
              <w:left w:val="single" w:color="auto" w:sz="4" w:space="0"/>
              <w:bottom w:val="single" w:color="auto" w:sz="4" w:space="0"/>
              <w:right w:val="nil"/>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日期：</w:t>
            </w:r>
          </w:p>
        </w:tc>
        <w:tc>
          <w:tcPr>
            <w:tcW w:w="5210" w:type="dxa"/>
            <w:gridSpan w:val="2"/>
            <w:tcBorders>
              <w:top w:val="nil"/>
              <w:left w:val="single" w:color="auto" w:sz="4" w:space="0"/>
              <w:bottom w:val="single" w:color="auto" w:sz="4" w:space="0"/>
              <w:right w:val="single" w:color="000000" w:sz="4" w:space="0"/>
            </w:tcBorders>
            <w:vAlign w:val="center"/>
          </w:tcPr>
          <w:p>
            <w:pPr>
              <w:widowControl/>
              <w:spacing w:before="100" w:beforeAutospacing="1" w:after="100" w:afterAutospacing="1"/>
              <w:jc w:val="left"/>
              <w:rPr>
                <w:rFonts w:ascii="宋体" w:cs="宋体"/>
                <w:color w:val="000000"/>
                <w:kern w:val="0"/>
                <w:sz w:val="24"/>
              </w:rPr>
            </w:pPr>
            <w:r>
              <w:rPr>
                <w:rFonts w:hint="eastAsia" w:ascii="宋体" w:hAnsi="宋体" w:cs="宋体"/>
                <w:color w:val="000000"/>
                <w:kern w:val="0"/>
                <w:sz w:val="24"/>
              </w:rPr>
              <w:t>日期：</w:t>
            </w:r>
          </w:p>
        </w:tc>
      </w:tr>
      <w:bookmarkEnd w:id="0"/>
      <w:bookmarkEnd w:id="1"/>
    </w:tbl>
    <w:p/>
    <w:p>
      <w:pPr>
        <w:spacing w:line="280" w:lineRule="exact"/>
        <w:rPr>
          <w:rFonts w:ascii="宋体" w:hAnsi="宋体"/>
          <w:color w:val="000000"/>
          <w:szCs w:val="21"/>
        </w:rPr>
      </w:pPr>
    </w:p>
    <w:p/>
    <w:p>
      <w:pPr>
        <w:rPr>
          <w:rFonts w:ascii="宋体" w:hAnsi="宋体" w:cs="宋体"/>
          <w:sz w:val="32"/>
          <w:szCs w:val="32"/>
        </w:rPr>
      </w:pPr>
      <w:r>
        <w:rPr>
          <w:rFonts w:ascii="宋体" w:hAnsi="宋体" w:cs="宋体"/>
          <w:sz w:val="32"/>
          <w:szCs w:val="32"/>
        </w:rPr>
        <w:br w:type="page"/>
      </w:r>
    </w:p>
    <w:p>
      <w:pPr>
        <w:tabs>
          <w:tab w:val="left" w:pos="5880"/>
        </w:tabs>
        <w:spacing w:line="520" w:lineRule="exact"/>
        <w:rPr>
          <w:rFonts w:ascii="宋体" w:hAnsi="宋体" w:cs="宋体"/>
          <w:sz w:val="32"/>
          <w:szCs w:val="32"/>
        </w:rPr>
      </w:pPr>
    </w:p>
    <w:p>
      <w:pPr>
        <w:tabs>
          <w:tab w:val="left" w:pos="5880"/>
        </w:tabs>
        <w:spacing w:line="520" w:lineRule="exact"/>
        <w:rPr>
          <w:rFonts w:ascii="宋体" w:hAnsi="宋体" w:cs="宋体"/>
          <w:sz w:val="32"/>
          <w:szCs w:val="32"/>
        </w:rPr>
      </w:pPr>
    </w:p>
    <w:p>
      <w:pPr>
        <w:tabs>
          <w:tab w:val="left" w:pos="5880"/>
        </w:tabs>
        <w:spacing w:line="520" w:lineRule="exact"/>
        <w:rPr>
          <w:rFonts w:ascii="宋体" w:hAnsi="宋体" w:cs="宋体"/>
          <w:sz w:val="32"/>
          <w:szCs w:val="32"/>
        </w:rPr>
      </w:pPr>
      <w:r>
        <w:rPr>
          <w:rFonts w:hint="eastAsia" w:ascii="宋体" w:hAnsi="宋体" w:cs="宋体"/>
          <w:sz w:val="32"/>
          <w:szCs w:val="32"/>
        </w:rPr>
        <w:t>附件二</w:t>
      </w:r>
    </w:p>
    <w:p>
      <w:pPr>
        <w:jc w:val="center"/>
        <w:rPr>
          <w:b/>
          <w:sz w:val="44"/>
          <w:szCs w:val="44"/>
        </w:rPr>
      </w:pPr>
      <w:r>
        <w:rPr>
          <w:rFonts w:hint="eastAsia"/>
          <w:b/>
          <w:sz w:val="44"/>
          <w:szCs w:val="44"/>
        </w:rPr>
        <w:t>参选文件格式</w:t>
      </w:r>
    </w:p>
    <w:p>
      <w:pPr>
        <w:rPr>
          <w:sz w:val="28"/>
          <w:szCs w:val="28"/>
        </w:rPr>
      </w:pPr>
    </w:p>
    <w:p>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rPr>
          <w:sz w:val="28"/>
          <w:szCs w:val="28"/>
        </w:rPr>
      </w:pPr>
      <w:r>
        <w:rPr>
          <w:rFonts w:hint="eastAsia"/>
          <w:sz w:val="28"/>
          <w:szCs w:val="28"/>
        </w:rPr>
        <w:t>第一册商务和技术文件格式</w:t>
      </w:r>
    </w:p>
    <w:p>
      <w:pPr>
        <w:ind w:firstLine="552"/>
        <w:rPr>
          <w:sz w:val="28"/>
          <w:szCs w:val="28"/>
        </w:rPr>
      </w:pPr>
    </w:p>
    <w:p>
      <w:pPr>
        <w:ind w:firstLine="552"/>
        <w:rPr>
          <w:sz w:val="28"/>
          <w:szCs w:val="28"/>
        </w:rPr>
      </w:pPr>
    </w:p>
    <w:p>
      <w:pPr>
        <w:ind w:firstLine="552"/>
        <w:jc w:val="center"/>
        <w:rPr>
          <w:sz w:val="28"/>
          <w:szCs w:val="28"/>
        </w:rPr>
      </w:pP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14:textFill>
            <w14:solidFill>
              <w14:schemeClr w14:val="tx1"/>
            </w14:solidFill>
          </w14:textFill>
        </w:rPr>
        <w:t>福建省东南电化股份有限公司</w:t>
      </w: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u w:val="single"/>
          <w14:textFill>
            <w14:solidFill>
              <w14:schemeClr w14:val="tx1"/>
            </w14:solidFill>
          </w14:textFill>
        </w:rPr>
        <w:t xml:space="preserve">                      </w:t>
      </w:r>
      <w:r>
        <w:rPr>
          <w:rFonts w:hint="eastAsia" w:ascii="黑体" w:hAnsi="黑体" w:eastAsia="黑体"/>
          <w:b/>
          <w:color w:val="000000" w:themeColor="text1"/>
          <w:spacing w:val="-2"/>
          <w:sz w:val="44"/>
          <w:szCs w:val="44"/>
          <w14:textFill>
            <w14:solidFill>
              <w14:schemeClr w14:val="tx1"/>
            </w14:solidFill>
          </w14:textFill>
        </w:rPr>
        <w:t>项目</w:t>
      </w: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r>
        <w:rPr>
          <w:rFonts w:hint="eastAsia" w:ascii="黑体" w:hAnsi="黑体" w:eastAsia="黑体"/>
          <w:b/>
          <w:color w:val="000000" w:themeColor="text1"/>
          <w:spacing w:val="-2"/>
          <w:sz w:val="52"/>
          <w:szCs w:val="52"/>
          <w14:textFill>
            <w14:solidFill>
              <w14:schemeClr w14:val="tx1"/>
            </w14:solidFill>
          </w14:textFill>
        </w:rPr>
        <w:t>参选文件</w:t>
      </w: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p>
    <w:p>
      <w:pPr>
        <w:spacing w:line="600" w:lineRule="exact"/>
        <w:ind w:firstLine="550"/>
        <w:jc w:val="center"/>
        <w:rPr>
          <w:rFonts w:ascii="黑体" w:hAnsi="黑体" w:eastAsia="黑体"/>
          <w:b/>
          <w:color w:val="000000" w:themeColor="text1"/>
          <w:spacing w:val="-2"/>
          <w:sz w:val="36"/>
          <w:szCs w:val="36"/>
          <w14:textFill>
            <w14:solidFill>
              <w14:schemeClr w14:val="tx1"/>
            </w14:solidFill>
          </w14:textFill>
        </w:rPr>
      </w:pPr>
      <w:r>
        <w:rPr>
          <w:rFonts w:hint="eastAsia" w:ascii="黑体" w:hAnsi="黑体" w:eastAsia="黑体"/>
          <w:b/>
          <w:color w:val="000000" w:themeColor="text1"/>
          <w:spacing w:val="-2"/>
          <w:sz w:val="36"/>
          <w:szCs w:val="36"/>
          <w14:textFill>
            <w14:solidFill>
              <w14:schemeClr w14:val="tx1"/>
            </w14:solidFill>
          </w14:textFill>
        </w:rPr>
        <w:t>(第一册  商务和技术文件)</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pStyle w:val="4"/>
        <w:spacing w:before="240" w:after="240"/>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参选人</w:t>
      </w:r>
      <w:r>
        <w:rPr>
          <w:rFonts w:hAnsi="宋体"/>
          <w:color w:val="000000" w:themeColor="text1"/>
          <w:sz w:val="30"/>
          <w14:textFill>
            <w14:solidFill>
              <w14:schemeClr w14:val="tx1"/>
            </w14:solidFill>
          </w14:textFill>
        </w:rPr>
        <w:t>:</w:t>
      </w:r>
      <w:r>
        <w:rPr>
          <w:rFonts w:hint="eastAsia" w:hAnsi="宋体"/>
          <w:color w:val="000000" w:themeColor="text1"/>
          <w:sz w:val="30"/>
          <w:u w:val="single"/>
          <w14:textFill>
            <w14:solidFill>
              <w14:schemeClr w14:val="tx1"/>
            </w14:solidFill>
          </w14:textFill>
        </w:rPr>
        <w:t xml:space="preserve">              （盖参选单位公章）                                                </w:t>
      </w:r>
    </w:p>
    <w:p>
      <w:pPr>
        <w:pStyle w:val="4"/>
        <w:spacing w:before="240" w:after="240"/>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法定代表人或其委托代理人：</w:t>
      </w:r>
      <w:r>
        <w:rPr>
          <w:rFonts w:hint="eastAsia" w:hAnsi="宋体"/>
          <w:color w:val="000000" w:themeColor="text1"/>
          <w:sz w:val="30"/>
          <w:u w:val="single"/>
          <w14:textFill>
            <w14:solidFill>
              <w14:schemeClr w14:val="tx1"/>
            </w14:solidFill>
          </w14:textFill>
        </w:rPr>
        <w:t xml:space="preserve">      （签字或盖章）</w:t>
      </w:r>
    </w:p>
    <w:p>
      <w:pPr>
        <w:pStyle w:val="4"/>
        <w:spacing w:before="240" w:after="240"/>
        <w:ind w:firstLine="56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日期：</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年</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月</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日</w:t>
      </w:r>
    </w:p>
    <w:p>
      <w:pPr>
        <w:ind w:firstLine="552"/>
        <w:rPr>
          <w:sz w:val="28"/>
          <w:szCs w:val="28"/>
        </w:rPr>
      </w:pPr>
    </w:p>
    <w:p>
      <w:pPr>
        <w:ind w:firstLine="552"/>
        <w:rPr>
          <w:sz w:val="28"/>
          <w:szCs w:val="28"/>
        </w:rPr>
      </w:pP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第一章 商务和资格文件</w:t>
      </w:r>
    </w:p>
    <w:p>
      <w:pPr>
        <w:ind w:firstLine="552"/>
        <w:jc w:val="center"/>
        <w:rPr>
          <w:rFonts w:asciiTheme="minorEastAsia" w:hAnsiTheme="minorEastAsia"/>
          <w:b/>
          <w:sz w:val="28"/>
          <w:szCs w:val="28"/>
        </w:rPr>
      </w:pPr>
    </w:p>
    <w:p>
      <w:pPr>
        <w:ind w:firstLine="552"/>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1.1承诺函</w:t>
      </w:r>
    </w:p>
    <w:p>
      <w:pPr>
        <w:jc w:val="left"/>
        <w:rPr>
          <w:rFonts w:asciiTheme="minorEastAsia" w:hAnsiTheme="minorEastAsia"/>
          <w:b/>
          <w:sz w:val="28"/>
          <w:szCs w:val="28"/>
        </w:rPr>
      </w:pPr>
      <w:r>
        <w:rPr>
          <w:rFonts w:hint="eastAsia" w:asciiTheme="minorEastAsia" w:hAnsiTheme="minorEastAsia"/>
          <w:b/>
          <w:sz w:val="28"/>
          <w:szCs w:val="28"/>
        </w:rPr>
        <w:t>1.2 商务偏离表</w:t>
      </w:r>
    </w:p>
    <w:p>
      <w:pPr>
        <w:jc w:val="left"/>
        <w:rPr>
          <w:rFonts w:asciiTheme="minorEastAsia" w:hAnsiTheme="minorEastAsia"/>
          <w:b/>
          <w:sz w:val="28"/>
          <w:szCs w:val="28"/>
        </w:rPr>
      </w:pPr>
      <w:r>
        <w:rPr>
          <w:rFonts w:hint="eastAsia" w:asciiTheme="minorEastAsia" w:hAnsiTheme="minorEastAsia"/>
          <w:b/>
          <w:sz w:val="28"/>
          <w:szCs w:val="28"/>
        </w:rPr>
        <w:t>1.3资格证明文件</w:t>
      </w:r>
    </w:p>
    <w:p>
      <w:pPr>
        <w:jc w:val="left"/>
        <w:rPr>
          <w:rFonts w:asciiTheme="minorEastAsia" w:hAnsiTheme="minorEastAsia"/>
          <w:b/>
          <w:sz w:val="28"/>
          <w:szCs w:val="28"/>
        </w:rPr>
      </w:pPr>
      <w:r>
        <w:rPr>
          <w:rFonts w:hint="eastAsia" w:asciiTheme="minorEastAsia" w:hAnsiTheme="minorEastAsia"/>
          <w:b/>
          <w:sz w:val="28"/>
          <w:szCs w:val="28"/>
        </w:rPr>
        <w:t>1.3.1法人营业执照或事业单位法人证书</w:t>
      </w:r>
    </w:p>
    <w:p>
      <w:pPr>
        <w:jc w:val="left"/>
        <w:rPr>
          <w:rFonts w:asciiTheme="minorEastAsia" w:hAnsiTheme="minorEastAsia"/>
          <w:b/>
          <w:sz w:val="28"/>
          <w:szCs w:val="28"/>
        </w:rPr>
      </w:pPr>
      <w:r>
        <w:rPr>
          <w:rFonts w:hint="eastAsia" w:asciiTheme="minorEastAsia" w:hAnsiTheme="minorEastAsia"/>
          <w:b/>
          <w:sz w:val="28"/>
          <w:szCs w:val="28"/>
        </w:rPr>
        <w:t>1.3.2法定代表人授权委托书</w:t>
      </w:r>
    </w:p>
    <w:p>
      <w:pPr>
        <w:jc w:val="left"/>
        <w:rPr>
          <w:rFonts w:asciiTheme="minorEastAsia" w:hAnsiTheme="minorEastAsia"/>
          <w:b/>
          <w:sz w:val="28"/>
          <w:szCs w:val="28"/>
        </w:rPr>
      </w:pPr>
      <w:r>
        <w:rPr>
          <w:rFonts w:hint="eastAsia" w:asciiTheme="minorEastAsia" w:hAnsiTheme="minorEastAsia"/>
          <w:b/>
          <w:sz w:val="28"/>
          <w:szCs w:val="28"/>
        </w:rPr>
        <w:t>1.3.3参选人满足资格要求的业绩情况表</w:t>
      </w:r>
    </w:p>
    <w:p>
      <w:pPr>
        <w:jc w:val="left"/>
        <w:rPr>
          <w:rFonts w:asciiTheme="minorEastAsia" w:hAnsiTheme="minorEastAsia"/>
          <w:b/>
          <w:sz w:val="28"/>
          <w:szCs w:val="28"/>
        </w:rPr>
      </w:pPr>
      <w:r>
        <w:rPr>
          <w:rFonts w:hint="eastAsia" w:asciiTheme="minorEastAsia" w:hAnsiTheme="minorEastAsia"/>
          <w:b/>
          <w:sz w:val="28"/>
          <w:szCs w:val="28"/>
        </w:rPr>
        <w:t>1.3.4比选文件要求提供的其他商务和资格方面的文件</w:t>
      </w:r>
    </w:p>
    <w:p>
      <w:pPr>
        <w:jc w:val="left"/>
        <w:rPr>
          <w:rFonts w:asciiTheme="minorEastAsia" w:hAnsiTheme="minorEastAsia"/>
          <w:b/>
          <w:sz w:val="28"/>
          <w:szCs w:val="28"/>
        </w:rPr>
      </w:pPr>
      <w:r>
        <w:rPr>
          <w:rFonts w:hint="eastAsia" w:asciiTheme="minorEastAsia" w:hAnsiTheme="minorEastAsia"/>
          <w:b/>
          <w:sz w:val="28"/>
          <w:szCs w:val="28"/>
        </w:rPr>
        <w:t>1.3.5参选保证金</w:t>
      </w:r>
    </w:p>
    <w:p>
      <w:pPr>
        <w:ind w:firstLine="552"/>
        <w:jc w:val="center"/>
        <w:rPr>
          <w:b/>
          <w:sz w:val="44"/>
          <w:szCs w:val="44"/>
        </w:rPr>
      </w:pPr>
    </w:p>
    <w:p>
      <w:pPr>
        <w:rPr>
          <w:b/>
          <w:sz w:val="44"/>
          <w:szCs w:val="44"/>
        </w:rPr>
      </w:pPr>
      <w:r>
        <w:rPr>
          <w:b/>
          <w:sz w:val="44"/>
          <w:szCs w:val="44"/>
        </w:rPr>
        <w:br w:type="page"/>
      </w:r>
    </w:p>
    <w:p>
      <w:pPr>
        <w:rPr>
          <w:b/>
          <w:sz w:val="44"/>
          <w:szCs w:val="44"/>
        </w:rPr>
      </w:pPr>
    </w:p>
    <w:p>
      <w:pPr>
        <w:rPr>
          <w:rFonts w:asciiTheme="minorEastAsia" w:hAnsiTheme="minorEastAsia"/>
          <w:sz w:val="28"/>
          <w:szCs w:val="28"/>
        </w:rPr>
      </w:pPr>
      <w:r>
        <w:rPr>
          <w:rFonts w:hint="eastAsia" w:asciiTheme="minorEastAsia" w:hAnsiTheme="minorEastAsia"/>
          <w:sz w:val="28"/>
          <w:szCs w:val="28"/>
        </w:rPr>
        <w:t>1.1承诺函</w:t>
      </w:r>
    </w:p>
    <w:p>
      <w:pPr>
        <w:snapToGrid w:val="0"/>
        <w:spacing w:line="360" w:lineRule="auto"/>
        <w:jc w:val="center"/>
        <w:rPr>
          <w:rFonts w:ascii="宋体" w:hAnsi="宋体"/>
          <w:b/>
          <w:sz w:val="32"/>
          <w:szCs w:val="32"/>
        </w:rPr>
      </w:pPr>
      <w:r>
        <w:rPr>
          <w:rFonts w:hint="eastAsia" w:ascii="宋体" w:hAnsi="宋体"/>
          <w:b/>
          <w:sz w:val="32"/>
          <w:szCs w:val="32"/>
        </w:rPr>
        <w:t>承诺函</w:t>
      </w:r>
    </w:p>
    <w:p>
      <w:pPr>
        <w:snapToGrid w:val="0"/>
        <w:spacing w:line="360" w:lineRule="auto"/>
        <w:rPr>
          <w:rFonts w:ascii="宋体" w:hAns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hAnsi="宋体"/>
          <w:sz w:val="28"/>
          <w:szCs w:val="28"/>
        </w:rPr>
      </w:pPr>
      <w:r>
        <w:rPr>
          <w:rFonts w:hint="eastAsia" w:ascii="宋体" w:hAnsi="宋体"/>
          <w:sz w:val="28"/>
          <w:szCs w:val="28"/>
        </w:rPr>
        <w:t>我方为对福建省东南电化股份有限公司</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sz w:val="28"/>
          <w:szCs w:val="28"/>
        </w:rPr>
        <w:t>比选文件表示完全响应，遵照公告的要求，特此确认并承诺：</w:t>
      </w:r>
    </w:p>
    <w:p>
      <w:pPr>
        <w:snapToGrid w:val="0"/>
        <w:spacing w:line="360" w:lineRule="auto"/>
        <w:ind w:firstLine="560" w:firstLineChars="2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宋体" w:hAnsi="宋体"/>
          <w:sz w:val="28"/>
          <w:szCs w:val="28"/>
        </w:rPr>
      </w:pPr>
      <w:r>
        <w:rPr>
          <w:rFonts w:hint="eastAsia" w:ascii="宋体" w:hAnsi="宋体"/>
          <w:sz w:val="28"/>
          <w:szCs w:val="28"/>
        </w:rPr>
        <w:t>2、我方确认：我方完全同意比选文件制定的交易规则。接受比选文件中所制定的评分标准。</w:t>
      </w:r>
    </w:p>
    <w:p>
      <w:pPr>
        <w:snapToGrid w:val="0"/>
        <w:spacing w:line="360" w:lineRule="auto"/>
        <w:ind w:firstLine="560" w:firstLineChars="200"/>
        <w:rPr>
          <w:rFonts w:ascii="宋体" w:hAnsi="宋体"/>
          <w:sz w:val="28"/>
          <w:szCs w:val="28"/>
        </w:rPr>
      </w:pPr>
      <w:r>
        <w:rPr>
          <w:rFonts w:hint="eastAsia" w:ascii="宋体" w:hAnsi="宋体"/>
          <w:sz w:val="28"/>
          <w:szCs w:val="28"/>
        </w:rPr>
        <w:t>3、我方承诺：我方为参选方所提供的材料均为真实、合法、完整。</w:t>
      </w:r>
    </w:p>
    <w:p>
      <w:pPr>
        <w:snapToGrid w:val="0"/>
        <w:spacing w:line="360" w:lineRule="auto"/>
        <w:ind w:firstLine="560" w:firstLineChars="200"/>
        <w:rPr>
          <w:rFonts w:ascii="宋体" w:hAnsi="宋体"/>
          <w:sz w:val="28"/>
          <w:szCs w:val="28"/>
        </w:rPr>
      </w:pPr>
      <w:r>
        <w:rPr>
          <w:rFonts w:hint="eastAsia" w:ascii="宋体" w:hAnsi="宋体"/>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pPr>
        <w:snapToGrid w:val="0"/>
        <w:spacing w:line="360" w:lineRule="auto"/>
        <w:ind w:firstLine="700" w:firstLineChars="250"/>
        <w:rPr>
          <w:rFonts w:ascii="宋体" w:hAnsi="宋体"/>
          <w:sz w:val="28"/>
          <w:szCs w:val="28"/>
        </w:rPr>
      </w:pPr>
      <w:r>
        <w:rPr>
          <w:rFonts w:hint="eastAsia" w:ascii="宋体" w:hAnsi="宋体"/>
          <w:sz w:val="28"/>
          <w:szCs w:val="28"/>
        </w:rPr>
        <w:t>特此承诺。</w:t>
      </w:r>
    </w:p>
    <w:p>
      <w:pPr>
        <w:snapToGrid w:val="0"/>
        <w:spacing w:line="360" w:lineRule="auto"/>
        <w:rPr>
          <w:rFonts w:ascii="宋体" w:hAnsi="宋体"/>
          <w:sz w:val="28"/>
          <w:szCs w:val="28"/>
        </w:rPr>
      </w:pPr>
      <w:r>
        <w:rPr>
          <w:rFonts w:hint="eastAsia" w:ascii="宋体" w:hAnsi="宋体"/>
          <w:sz w:val="28"/>
          <w:szCs w:val="28"/>
        </w:rPr>
        <w:t>参选方（盖章）：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法定代表人或委托代理人（签字或盖章）：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b/>
          <w:sz w:val="44"/>
          <w:szCs w:val="44"/>
        </w:rPr>
      </w:pPr>
    </w:p>
    <w:p>
      <w:pPr>
        <w:rPr>
          <w:b/>
          <w:sz w:val="44"/>
          <w:szCs w:val="44"/>
        </w:rPr>
      </w:pPr>
      <w:r>
        <w:rPr>
          <w:b/>
          <w:sz w:val="44"/>
          <w:szCs w:val="44"/>
        </w:rPr>
        <w:br w:type="page"/>
      </w:r>
    </w:p>
    <w:p>
      <w:pPr>
        <w:rPr>
          <w:b/>
          <w:sz w:val="44"/>
          <w:szCs w:val="44"/>
        </w:rPr>
      </w:pPr>
    </w:p>
    <w:p>
      <w:pPr>
        <w:snapToGrid w:val="0"/>
        <w:spacing w:line="360" w:lineRule="auto"/>
        <w:rPr>
          <w:rFonts w:ascii="宋体" w:hAnsi="宋体"/>
          <w:sz w:val="28"/>
          <w:szCs w:val="28"/>
        </w:rPr>
      </w:pPr>
      <w:r>
        <w:rPr>
          <w:rFonts w:hint="eastAsia" w:ascii="宋体" w:hAnsi="宋体"/>
          <w:sz w:val="28"/>
          <w:szCs w:val="28"/>
        </w:rPr>
        <w:t>1.2</w:t>
      </w:r>
      <w:r>
        <w:rPr>
          <w:rFonts w:hint="eastAsia"/>
        </w:rPr>
        <w:t xml:space="preserve"> </w:t>
      </w:r>
      <w:r>
        <w:rPr>
          <w:rFonts w:hint="eastAsia" w:ascii="宋体" w:hAnsi="宋体"/>
          <w:sz w:val="28"/>
          <w:szCs w:val="28"/>
        </w:rPr>
        <w:t>商务偏离表</w:t>
      </w:r>
    </w:p>
    <w:p>
      <w:pPr>
        <w:snapToGrid w:val="0"/>
        <w:spacing w:line="360" w:lineRule="auto"/>
        <w:rPr>
          <w:rFonts w:ascii="宋体" w:hAnsi="宋体"/>
          <w:sz w:val="28"/>
          <w:szCs w:val="28"/>
        </w:rPr>
      </w:pPr>
    </w:p>
    <w:p>
      <w:pPr>
        <w:snapToGrid w:val="0"/>
        <w:spacing w:line="360" w:lineRule="auto"/>
        <w:jc w:val="center"/>
        <w:rPr>
          <w:rFonts w:ascii="宋体" w:hAnsi="宋体"/>
          <w:b/>
          <w:sz w:val="44"/>
          <w:szCs w:val="44"/>
        </w:rPr>
      </w:pPr>
      <w:r>
        <w:rPr>
          <w:rFonts w:hint="eastAsia" w:ascii="宋体" w:hAnsi="宋体"/>
          <w:b/>
          <w:sz w:val="44"/>
          <w:szCs w:val="44"/>
        </w:rPr>
        <w:t>商务偏离表</w:t>
      </w:r>
    </w:p>
    <w:tbl>
      <w:tblPr>
        <w:tblStyle w:val="8"/>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序号</w:t>
            </w:r>
          </w:p>
        </w:tc>
        <w:tc>
          <w:tcPr>
            <w:tcW w:w="198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比选文件的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商务条款</w:t>
            </w:r>
          </w:p>
        </w:tc>
        <w:tc>
          <w:tcPr>
            <w:tcW w:w="225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参选文件的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商务条款</w:t>
            </w:r>
          </w:p>
        </w:tc>
        <w:tc>
          <w:tcPr>
            <w:tcW w:w="2172"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bl>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r>
        <w:rPr>
          <w:sz w:val="28"/>
          <w:szCs w:val="28"/>
        </w:rPr>
        <w:br w:type="page"/>
      </w:r>
    </w:p>
    <w:p>
      <w:pPr>
        <w:rPr>
          <w:sz w:val="28"/>
          <w:szCs w:val="28"/>
        </w:rPr>
      </w:pPr>
    </w:p>
    <w:p>
      <w:pPr>
        <w:rPr>
          <w:rFonts w:asciiTheme="minorEastAsia" w:hAnsiTheme="minorEastAsia"/>
          <w:sz w:val="28"/>
          <w:szCs w:val="28"/>
        </w:rPr>
      </w:pPr>
      <w:r>
        <w:rPr>
          <w:rFonts w:hint="eastAsia" w:asciiTheme="minorEastAsia" w:hAnsiTheme="minorEastAsia"/>
          <w:sz w:val="28"/>
          <w:szCs w:val="28"/>
        </w:rPr>
        <w:t>1.3资格证明文件</w:t>
      </w:r>
    </w:p>
    <w:p>
      <w:pPr>
        <w:rPr>
          <w:rFonts w:asciiTheme="minorEastAsia" w:hAnsiTheme="minorEastAsia"/>
          <w:sz w:val="28"/>
          <w:szCs w:val="28"/>
        </w:rPr>
      </w:pPr>
      <w:r>
        <w:rPr>
          <w:rFonts w:hint="eastAsia" w:asciiTheme="minorEastAsia" w:hAnsiTheme="minorEastAsia"/>
          <w:sz w:val="28"/>
          <w:szCs w:val="28"/>
        </w:rPr>
        <w:t>1.3.1法人营业执照或事业单位法人证书</w:t>
      </w:r>
    </w:p>
    <w:p>
      <w:pPr>
        <w:rPr>
          <w:sz w:val="28"/>
          <w:szCs w:val="28"/>
        </w:rPr>
      </w:pPr>
    </w:p>
    <w:p>
      <w:pPr>
        <w:jc w:val="center"/>
        <w:rPr>
          <w:b/>
          <w:sz w:val="32"/>
          <w:szCs w:val="32"/>
        </w:rPr>
      </w:pPr>
      <w:r>
        <w:rPr>
          <w:rFonts w:hint="eastAsia"/>
          <w:b/>
          <w:sz w:val="32"/>
          <w:szCs w:val="32"/>
        </w:rPr>
        <w:t>法人营业执照或事业单位法人证书</w:t>
      </w:r>
    </w:p>
    <w:p>
      <w:pPr>
        <w:rPr>
          <w:sz w:val="28"/>
          <w:szCs w:val="28"/>
        </w:rPr>
      </w:pPr>
    </w:p>
    <w:p>
      <w:pPr>
        <w:rPr>
          <w:sz w:val="28"/>
          <w:szCs w:val="28"/>
        </w:rPr>
      </w:pPr>
      <w:r>
        <w:rPr>
          <w:rFonts w:hint="eastAsia"/>
          <w:sz w:val="28"/>
          <w:szCs w:val="28"/>
        </w:rPr>
        <w:t>致：福建省东南电化股份有限公司</w:t>
      </w:r>
    </w:p>
    <w:p>
      <w:pPr>
        <w:ind w:firstLine="552"/>
        <w:rPr>
          <w:sz w:val="28"/>
          <w:szCs w:val="28"/>
        </w:rPr>
      </w:pPr>
      <w:r>
        <w:rPr>
          <w:rFonts w:hint="eastAsia"/>
          <w:sz w:val="28"/>
          <w:szCs w:val="28"/>
        </w:rPr>
        <w:t xml:space="preserve">现附上我方法人营业执照（事业单位法人证书）复印件，该执照复印件与原件一致，真实有效。 </w:t>
      </w:r>
    </w:p>
    <w:p>
      <w:pPr>
        <w:ind w:firstLine="552"/>
        <w:rPr>
          <w:sz w:val="28"/>
          <w:szCs w:val="28"/>
        </w:rPr>
      </w:pPr>
      <w:r>
        <w:rPr>
          <w:rFonts w:hint="eastAsia"/>
          <w:sz w:val="28"/>
          <w:szCs w:val="28"/>
        </w:rPr>
        <w:t>详见附件。</w:t>
      </w:r>
    </w:p>
    <w:p>
      <w:pPr>
        <w:ind w:firstLine="552"/>
        <w:rPr>
          <w:sz w:val="28"/>
          <w:szCs w:val="28"/>
        </w:rPr>
      </w:pPr>
    </w:p>
    <w:p>
      <w:pPr>
        <w:ind w:firstLine="552"/>
        <w:rPr>
          <w:sz w:val="28"/>
          <w:szCs w:val="28"/>
        </w:rPr>
      </w:pPr>
    </w:p>
    <w:p>
      <w:pPr>
        <w:ind w:firstLine="552"/>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p>
    <w:p>
      <w:pPr>
        <w:rPr>
          <w:rFonts w:asciiTheme="minorEastAsia" w:hAnsiTheme="minorEastAsia"/>
          <w:b/>
          <w:sz w:val="28"/>
          <w:szCs w:val="28"/>
        </w:rPr>
      </w:pPr>
      <w:r>
        <w:rPr>
          <w:rFonts w:hint="eastAsia" w:asciiTheme="minorEastAsia" w:hAnsiTheme="minorEastAsia"/>
          <w:b/>
          <w:sz w:val="28"/>
          <w:szCs w:val="28"/>
        </w:rPr>
        <w:t>附件：法人营业执照（事业单位法人证书）复印件(盖章)</w:t>
      </w: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r>
        <w:rPr>
          <w:rFonts w:hint="eastAsia" w:ascii="宋体" w:hAnsi="宋体"/>
          <w:sz w:val="28"/>
          <w:szCs w:val="28"/>
        </w:rPr>
        <w:t>1.3.2法定代表人授权委托书</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法定代表人授权委托书</w:t>
      </w:r>
    </w:p>
    <w:p>
      <w:pPr>
        <w:snapToGrid w:val="0"/>
        <w:spacing w:line="360" w:lineRule="auto"/>
        <w:jc w:val="center"/>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hAnsi="宋体"/>
          <w:sz w:val="28"/>
          <w:szCs w:val="28"/>
          <w:u w:val="single"/>
        </w:rPr>
      </w:pPr>
      <w:r>
        <w:rPr>
          <w:rFonts w:hint="eastAsia" w:ascii="宋体" w:hAnsi="宋体"/>
          <w:sz w:val="28"/>
          <w:szCs w:val="28"/>
        </w:rPr>
        <w:t>本授权书声明:注册于</w:t>
      </w:r>
      <w:r>
        <w:rPr>
          <w:rFonts w:hint="eastAsia" w:ascii="宋体" w:hAnsi="宋体"/>
          <w:sz w:val="28"/>
          <w:szCs w:val="28"/>
          <w:u w:val="single"/>
        </w:rPr>
        <w:t xml:space="preserve">      (公司住所)</w:t>
      </w:r>
      <w:r>
        <w:rPr>
          <w:rFonts w:hint="eastAsia" w:ascii="宋体" w:hAnsi="宋体"/>
          <w:sz w:val="28"/>
          <w:szCs w:val="28"/>
        </w:rPr>
        <w:t xml:space="preserve">的 </w:t>
      </w:r>
      <w:r>
        <w:rPr>
          <w:rFonts w:hint="eastAsia" w:ascii="宋体" w:hAnsi="宋体"/>
          <w:sz w:val="28"/>
          <w:szCs w:val="28"/>
          <w:u w:val="single"/>
        </w:rPr>
        <w:t xml:space="preserve">     （公司名称)</w:t>
      </w:r>
      <w:r>
        <w:rPr>
          <w:rFonts w:hint="eastAsia" w:ascii="宋体" w:hAnsi="宋体"/>
          <w:sz w:val="28"/>
          <w:szCs w:val="28"/>
        </w:rPr>
        <w:t>的法定代表人</w:t>
      </w:r>
      <w:r>
        <w:rPr>
          <w:rFonts w:hint="eastAsia" w:ascii="宋体" w:hAnsi="宋体"/>
          <w:sz w:val="28"/>
          <w:szCs w:val="28"/>
          <w:u w:val="single"/>
        </w:rPr>
        <w:t xml:space="preserve">        (法定代表人姓名</w:t>
      </w:r>
      <w:r>
        <w:rPr>
          <w:rFonts w:hint="eastAsia" w:ascii="宋体" w:hAnsi="宋体"/>
          <w:sz w:val="28"/>
          <w:szCs w:val="28"/>
        </w:rPr>
        <w:t>)代表本公司授权</w:t>
      </w:r>
      <w:r>
        <w:rPr>
          <w:rFonts w:hint="eastAsia" w:ascii="宋体" w:hAnsi="宋体"/>
          <w:sz w:val="28"/>
          <w:szCs w:val="28"/>
          <w:u w:val="single"/>
        </w:rPr>
        <w:t xml:space="preserve">   （代理人的姓名）</w:t>
      </w:r>
      <w:r>
        <w:rPr>
          <w:rFonts w:hint="eastAsia" w:ascii="宋体" w:hAnsi="宋体"/>
          <w:sz w:val="28"/>
          <w:szCs w:val="28"/>
        </w:rPr>
        <w:t>为公司的合法代理人，就福建省东南电化股份有限公司</w:t>
      </w:r>
      <w:r>
        <w:rPr>
          <w:rFonts w:hint="eastAsia" w:ascii="宋体" w:hAnsi="宋体"/>
          <w:sz w:val="28"/>
          <w:szCs w:val="28"/>
          <w:u w:val="single"/>
        </w:rPr>
        <w:t xml:space="preserve">                  </w:t>
      </w:r>
    </w:p>
    <w:p>
      <w:pPr>
        <w:snapToGrid w:val="0"/>
        <w:spacing w:line="360" w:lineRule="auto"/>
        <w:rPr>
          <w:rFonts w:ascii="宋体" w:hAnsi="宋体"/>
          <w:sz w:val="28"/>
          <w:szCs w:val="28"/>
        </w:rPr>
      </w:pPr>
      <w:r>
        <w:rPr>
          <w:rFonts w:hint="eastAsia" w:ascii="宋体" w:hAnsi="宋体" w:cs="宋体"/>
          <w:sz w:val="28"/>
          <w:szCs w:val="28"/>
          <w:u w:val="single"/>
        </w:rPr>
        <w:t xml:space="preserve">                        项目</w:t>
      </w:r>
      <w:r>
        <w:rPr>
          <w:rFonts w:hint="eastAsia" w:ascii="宋体" w:hAnsi="宋体"/>
          <w:sz w:val="28"/>
          <w:szCs w:val="28"/>
        </w:rPr>
        <w:t>的意向参选方申请登记、比选竞价、</w:t>
      </w:r>
      <w:r>
        <w:rPr>
          <w:rFonts w:hint="eastAsia" w:ascii="宋体" w:hAnsi="宋体" w:cs="黑体"/>
          <w:bCs/>
          <w:sz w:val="28"/>
          <w:szCs w:val="28"/>
        </w:rPr>
        <w:t>合</w:t>
      </w:r>
      <w:r>
        <w:rPr>
          <w:rFonts w:hint="eastAsia" w:ascii="宋体" w:hAnsi="宋体"/>
          <w:sz w:val="28"/>
          <w:szCs w:val="28"/>
        </w:rPr>
        <w:t>同的签订，以本公司名义处理一切与之有关的事务，我均予以承认。</w:t>
      </w:r>
    </w:p>
    <w:p>
      <w:pPr>
        <w:snapToGrid w:val="0"/>
        <w:spacing w:line="360" w:lineRule="auto"/>
        <w:ind w:firstLine="560" w:firstLineChars="200"/>
        <w:rPr>
          <w:rFonts w:ascii="宋体" w:hAnsi="宋体"/>
          <w:sz w:val="28"/>
          <w:szCs w:val="28"/>
        </w:rPr>
      </w:pPr>
      <w:r>
        <w:rPr>
          <w:rFonts w:hint="eastAsia" w:ascii="宋体" w:hAnsi="宋体"/>
          <w:sz w:val="28"/>
          <w:szCs w:val="28"/>
        </w:rPr>
        <w:t>代理人无转委托权。</w:t>
      </w:r>
    </w:p>
    <w:p>
      <w:pPr>
        <w:snapToGrid w:val="0"/>
        <w:spacing w:line="360" w:lineRule="auto"/>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参选人（参选单位公章）：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代理人姓名：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p>
    <w:p>
      <w:pPr>
        <w:spacing w:line="500" w:lineRule="exact"/>
        <w:jc w:val="left"/>
        <w:rPr>
          <w:rFonts w:ascii="宋体" w:hAnsi="宋体"/>
          <w:b/>
          <w:kern w:val="0"/>
          <w:sz w:val="28"/>
          <w:szCs w:val="28"/>
        </w:rPr>
      </w:pPr>
    </w:p>
    <w:p>
      <w:pPr>
        <w:spacing w:line="500" w:lineRule="exact"/>
        <w:jc w:val="left"/>
        <w:rPr>
          <w:rFonts w:ascii="宋体" w:hAnsi="宋体"/>
          <w:b/>
          <w:kern w:val="0"/>
          <w:sz w:val="28"/>
          <w:szCs w:val="28"/>
        </w:rPr>
      </w:pPr>
      <w:r>
        <w:rPr>
          <w:rFonts w:hint="eastAsia" w:ascii="宋体" w:hAnsi="宋体"/>
          <w:b/>
          <w:kern w:val="0"/>
          <w:sz w:val="28"/>
          <w:szCs w:val="28"/>
        </w:rPr>
        <w:t>附件：法定代表人及委托代理人身份证复印件(盖章)</w:t>
      </w:r>
    </w:p>
    <w:p>
      <w:pPr>
        <w:rPr>
          <w:rFonts w:asciiTheme="minorEastAsia" w:hAnsiTheme="minorEastAsia"/>
          <w:sz w:val="28"/>
          <w:szCs w:val="28"/>
        </w:rPr>
      </w:pPr>
      <w:r>
        <w:rPr>
          <w:rFonts w:asciiTheme="minorEastAsia" w:hAnsiTheme="minorEastAsia"/>
          <w:sz w:val="28"/>
          <w:szCs w:val="28"/>
        </w:rPr>
        <w:br w:type="page"/>
      </w:r>
    </w:p>
    <w:p>
      <w:pPr>
        <w:rPr>
          <w:rFonts w:asciiTheme="minorEastAsia" w:hAnsiTheme="minorEastAsia"/>
          <w:sz w:val="28"/>
          <w:szCs w:val="28"/>
        </w:rPr>
      </w:pPr>
      <w:r>
        <w:rPr>
          <w:rFonts w:hint="eastAsia" w:asciiTheme="minorEastAsia" w:hAnsiTheme="minorEastAsia"/>
          <w:sz w:val="28"/>
          <w:szCs w:val="28"/>
        </w:rPr>
        <w:t>1.3.3参选人满足资格要求的业绩情况表</w:t>
      </w:r>
    </w:p>
    <w:p>
      <w:pPr>
        <w:jc w:val="center"/>
        <w:rPr>
          <w:b/>
          <w:sz w:val="32"/>
          <w:szCs w:val="32"/>
        </w:rPr>
      </w:pPr>
      <w:r>
        <w:rPr>
          <w:rFonts w:hint="eastAsia"/>
          <w:b/>
          <w:sz w:val="32"/>
          <w:szCs w:val="32"/>
        </w:rPr>
        <w:t>参选人满足资格要求的业绩情况表</w:t>
      </w:r>
    </w:p>
    <w:p>
      <w:pPr>
        <w:rPr>
          <w:sz w:val="28"/>
          <w:szCs w:val="28"/>
        </w:rPr>
      </w:pPr>
      <w:r>
        <w:rPr>
          <w:rFonts w:hint="eastAsia"/>
          <w:sz w:val="28"/>
          <w:szCs w:val="28"/>
        </w:rPr>
        <w:t>致：福建省东南电化股份有限公司</w:t>
      </w:r>
    </w:p>
    <w:p>
      <w:pPr>
        <w:ind w:firstLine="560" w:firstLineChars="200"/>
        <w:rPr>
          <w:sz w:val="28"/>
          <w:szCs w:val="28"/>
        </w:rPr>
      </w:pPr>
      <w:r>
        <w:rPr>
          <w:rFonts w:hint="eastAsia"/>
          <w:sz w:val="28"/>
          <w:szCs w:val="28"/>
        </w:rPr>
        <w:t>根据本比选项目的业绩要求，本单位符合比选文件要求的业绩证明见下表及随表附上的相关证明文件。</w:t>
      </w:r>
    </w:p>
    <w:tbl>
      <w:tblPr>
        <w:tblStyle w:val="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sz w:val="28"/>
                <w:szCs w:val="28"/>
              </w:rPr>
            </w:pPr>
            <w:r>
              <w:rPr>
                <w:rFonts w:hint="eastAsia"/>
                <w:sz w:val="28"/>
                <w:szCs w:val="28"/>
              </w:rPr>
              <w:t>序号</w:t>
            </w:r>
          </w:p>
        </w:tc>
        <w:tc>
          <w:tcPr>
            <w:tcW w:w="3118" w:type="dxa"/>
          </w:tcPr>
          <w:p>
            <w:pPr>
              <w:jc w:val="center"/>
              <w:rPr>
                <w:sz w:val="28"/>
                <w:szCs w:val="28"/>
              </w:rPr>
            </w:pPr>
            <w:r>
              <w:rPr>
                <w:rFonts w:hint="eastAsia"/>
                <w:sz w:val="28"/>
                <w:szCs w:val="28"/>
              </w:rPr>
              <w:t>项目名称</w:t>
            </w:r>
          </w:p>
        </w:tc>
        <w:tc>
          <w:tcPr>
            <w:tcW w:w="2888" w:type="dxa"/>
          </w:tcPr>
          <w:p>
            <w:pPr>
              <w:jc w:val="center"/>
              <w:rPr>
                <w:sz w:val="28"/>
                <w:szCs w:val="28"/>
              </w:rPr>
            </w:pPr>
            <w:r>
              <w:rPr>
                <w:rFonts w:hint="eastAsia"/>
                <w:sz w:val="28"/>
                <w:szCs w:val="28"/>
              </w:rPr>
              <w:t>使用单位</w:t>
            </w:r>
          </w:p>
        </w:tc>
        <w:tc>
          <w:tcPr>
            <w:tcW w:w="2322" w:type="dxa"/>
          </w:tcPr>
          <w:p>
            <w:pPr>
              <w:jc w:val="center"/>
              <w:rPr>
                <w:sz w:val="28"/>
                <w:szCs w:val="28"/>
              </w:rPr>
            </w:pPr>
            <w:r>
              <w:rPr>
                <w:rFonts w:hint="eastAsia"/>
                <w:sz w:val="28"/>
                <w:szCs w:val="28"/>
              </w:rPr>
              <w:t>成功运行时间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bl>
    <w:p>
      <w:pPr>
        <w:rPr>
          <w:sz w:val="28"/>
          <w:szCs w:val="28"/>
        </w:rPr>
      </w:pPr>
      <w:r>
        <w:rPr>
          <w:rFonts w:hint="eastAsia"/>
          <w:sz w:val="28"/>
          <w:szCs w:val="28"/>
        </w:rPr>
        <w:t>注：</w:t>
      </w:r>
    </w:p>
    <w:p>
      <w:pPr>
        <w:rPr>
          <w:rFonts w:asciiTheme="minorEastAsia" w:hAnsiTheme="minorEastAsia"/>
          <w:sz w:val="28"/>
          <w:szCs w:val="28"/>
        </w:rPr>
      </w:pPr>
      <w:r>
        <w:rPr>
          <w:rFonts w:hint="eastAsia" w:asciiTheme="minorEastAsia" w:hAnsiTheme="minorEastAsia"/>
          <w:sz w:val="28"/>
          <w:szCs w:val="28"/>
        </w:rPr>
        <w:t>1.参选人应按照参选文件要求附上相关证明资料，否则，业绩不计。</w:t>
      </w:r>
    </w:p>
    <w:p>
      <w:pPr>
        <w:rPr>
          <w:rFonts w:asciiTheme="minorEastAsia" w:hAnsiTheme="minorEastAsia"/>
          <w:sz w:val="28"/>
          <w:szCs w:val="28"/>
        </w:rPr>
      </w:pPr>
      <w:r>
        <w:rPr>
          <w:rFonts w:hint="eastAsia" w:asciiTheme="minorEastAsia" w:hAnsiTheme="minorEastAsia"/>
          <w:sz w:val="28"/>
          <w:szCs w:val="28"/>
        </w:rPr>
        <w:t>2.本单位保证上表所述内容及随表附上的相关证明材料均真实、准确的。</w:t>
      </w: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500" w:lineRule="exact"/>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1.3.4比选文件要求提供的其他商务和资格方面的文件</w:t>
      </w:r>
    </w:p>
    <w:p>
      <w:pPr>
        <w:rPr>
          <w:rFonts w:asciiTheme="minorEastAsia" w:hAnsiTheme="minorEastAsia"/>
          <w:sz w:val="28"/>
          <w:szCs w:val="28"/>
        </w:rPr>
      </w:pPr>
      <w:r>
        <w:rPr>
          <w:rFonts w:hint="eastAsia" w:asciiTheme="minorEastAsia" w:hAnsiTheme="minorEastAsia"/>
          <w:sz w:val="28"/>
          <w:szCs w:val="28"/>
        </w:rPr>
        <w:br w:type="page"/>
      </w:r>
    </w:p>
    <w:p>
      <w:pPr>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比选文件要求提供的其他商务和资格方面的文件</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（1）参选人根据比选文件中关于参选人资格合格条件的其它证明材料（需加盖参选人单位公章）。</w:t>
      </w:r>
    </w:p>
    <w:p>
      <w:pPr>
        <w:rPr>
          <w:rFonts w:asciiTheme="minorEastAsia" w:hAnsiTheme="minorEastAsia"/>
          <w:sz w:val="28"/>
          <w:szCs w:val="28"/>
        </w:rPr>
      </w:pPr>
      <w:r>
        <w:rPr>
          <w:rFonts w:hint="eastAsia" w:asciiTheme="minorEastAsia" w:hAnsiTheme="minorEastAsia"/>
          <w:sz w:val="28"/>
          <w:szCs w:val="28"/>
        </w:rPr>
        <w:t>（2）参选人根据比选文件规定（特别是商务技术评分部分要求）提供的与本项目相关的其它资料（相关材料均需加盖参选人单位公章）。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br w:type="page"/>
      </w:r>
    </w:p>
    <w:p>
      <w:pPr>
        <w:rPr>
          <w:rFonts w:asciiTheme="minorEastAsia" w:hAnsiTheme="minorEastAsia"/>
          <w:sz w:val="28"/>
          <w:szCs w:val="28"/>
        </w:rPr>
      </w:pPr>
      <w:r>
        <w:rPr>
          <w:rFonts w:hint="eastAsia" w:asciiTheme="minorEastAsia" w:hAnsiTheme="minorEastAsia"/>
          <w:sz w:val="28"/>
          <w:szCs w:val="28"/>
        </w:rPr>
        <w:t>1.3.5参选保证金</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参选人应按比选文件要求提交参选保证金，否则其参选资格将被拒绝。</w:t>
      </w:r>
    </w:p>
    <w:p>
      <w:pPr>
        <w:rPr>
          <w:rFonts w:asciiTheme="minorEastAsia" w:hAnsiTheme="minorEastAsia"/>
          <w:b/>
          <w:sz w:val="28"/>
          <w:szCs w:val="28"/>
        </w:rPr>
      </w:pPr>
      <w:r>
        <w:rPr>
          <w:rFonts w:hint="eastAsia" w:asciiTheme="minorEastAsia" w:hAnsiTheme="minorEastAsia"/>
          <w:b/>
          <w:sz w:val="28"/>
          <w:szCs w:val="28"/>
        </w:rPr>
        <w:t>（应附上参选保证金汇入指定帐户的有关银行汇款单据复印件及本企业经人民银行批准的基本存款帐户开户许可证复印件并加盖参选人单位公章。）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b/>
          <w:sz w:val="44"/>
          <w:szCs w:val="44"/>
        </w:rPr>
      </w:pPr>
      <w:r>
        <w:rPr>
          <w:rFonts w:asciiTheme="minorEastAsia" w:hAnsiTheme="minorEastAsia"/>
          <w:sz w:val="28"/>
          <w:szCs w:val="28"/>
        </w:rPr>
        <w:br w:type="page"/>
      </w: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第二章 技术文件</w:t>
      </w: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center"/>
        <w:rPr>
          <w:rFonts w:asciiTheme="minorEastAsia" w:hAnsiTheme="minorEastAsia"/>
          <w:b/>
          <w:sz w:val="28"/>
          <w:szCs w:val="28"/>
        </w:rPr>
      </w:pPr>
    </w:p>
    <w:p>
      <w:pPr>
        <w:jc w:val="center"/>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2.1技术偏离表</w:t>
      </w:r>
    </w:p>
    <w:p>
      <w:pPr>
        <w:jc w:val="left"/>
        <w:rPr>
          <w:rFonts w:asciiTheme="minorEastAsia" w:hAnsiTheme="minorEastAsia"/>
          <w:b/>
          <w:sz w:val="28"/>
          <w:szCs w:val="28"/>
        </w:rPr>
      </w:pPr>
      <w:r>
        <w:rPr>
          <w:rFonts w:hint="eastAsia" w:asciiTheme="minorEastAsia" w:hAnsiTheme="minorEastAsia"/>
          <w:b/>
          <w:sz w:val="28"/>
          <w:szCs w:val="28"/>
        </w:rPr>
        <w:t>2.2供货范围清单</w:t>
      </w:r>
    </w:p>
    <w:p>
      <w:pPr>
        <w:rPr>
          <w:rFonts w:asciiTheme="minorEastAsia" w:hAnsiTheme="minorEastAsia"/>
          <w:b/>
          <w:sz w:val="28"/>
          <w:szCs w:val="28"/>
        </w:rPr>
      </w:pPr>
      <w:r>
        <w:rPr>
          <w:rFonts w:hint="eastAsia" w:asciiTheme="minorEastAsia" w:hAnsiTheme="minorEastAsia"/>
          <w:b/>
          <w:sz w:val="28"/>
          <w:szCs w:val="28"/>
        </w:rPr>
        <w:t>2.4比选文件要求提供的其他技术方面的文件</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br w:type="page"/>
      </w:r>
    </w:p>
    <w:p>
      <w:pPr>
        <w:rPr>
          <w:rFonts w:asciiTheme="minorEastAsia" w:hAnsiTheme="minorEastAsia"/>
          <w:sz w:val="28"/>
          <w:szCs w:val="28"/>
          <w:u w:val="single"/>
        </w:rPr>
      </w:pPr>
      <w:r>
        <w:rPr>
          <w:rFonts w:hint="eastAsia" w:asciiTheme="minorEastAsia" w:hAnsiTheme="minorEastAsia"/>
          <w:sz w:val="28"/>
          <w:szCs w:val="28"/>
        </w:rPr>
        <w:t>2.1技术偏离表</w:t>
      </w:r>
    </w:p>
    <w:p>
      <w:pPr>
        <w:rPr>
          <w:sz w:val="28"/>
          <w:szCs w:val="28"/>
        </w:rPr>
      </w:pPr>
    </w:p>
    <w:p>
      <w:pPr>
        <w:jc w:val="center"/>
        <w:rPr>
          <w:b/>
          <w:sz w:val="32"/>
          <w:szCs w:val="32"/>
        </w:rPr>
      </w:pPr>
      <w:r>
        <w:rPr>
          <w:rFonts w:hint="eastAsia"/>
          <w:b/>
          <w:sz w:val="32"/>
          <w:szCs w:val="32"/>
        </w:rPr>
        <w:t>技术偏离表</w:t>
      </w:r>
    </w:p>
    <w:p>
      <w:pPr>
        <w:jc w:val="center"/>
        <w:rPr>
          <w:b/>
          <w:sz w:val="32"/>
          <w:szCs w:val="32"/>
        </w:rPr>
      </w:pPr>
    </w:p>
    <w:tbl>
      <w:tblPr>
        <w:tblStyle w:val="8"/>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序号</w:t>
            </w:r>
          </w:p>
        </w:tc>
        <w:tc>
          <w:tcPr>
            <w:tcW w:w="2218"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比选文件的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技术条款</w:t>
            </w:r>
          </w:p>
        </w:tc>
        <w:tc>
          <w:tcPr>
            <w:tcW w:w="2079"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参选文件的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技术条款</w:t>
            </w:r>
          </w:p>
        </w:tc>
        <w:tc>
          <w:tcPr>
            <w:tcW w:w="1812"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jc w:val="cente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bl>
    <w:p>
      <w:pPr>
        <w:rPr>
          <w:sz w:val="28"/>
          <w:szCs w:val="28"/>
        </w:rPr>
      </w:pPr>
    </w:p>
    <w:p>
      <w:pPr>
        <w:rPr>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rFonts w:asciiTheme="minorEastAsia" w:hAnsiTheme="minorEastAsia"/>
          <w:sz w:val="28"/>
          <w:szCs w:val="28"/>
        </w:rPr>
      </w:pPr>
      <w:r>
        <w:rPr>
          <w:rFonts w:hint="eastAsia" w:asciiTheme="minorEastAsia" w:hAnsiTheme="minorEastAsia"/>
          <w:sz w:val="28"/>
          <w:szCs w:val="28"/>
        </w:rPr>
        <w:t>2.2供货范围清单</w:t>
      </w:r>
    </w:p>
    <w:p>
      <w:pPr>
        <w:spacing w:line="440" w:lineRule="exact"/>
        <w:rPr>
          <w:rFonts w:ascii="宋体" w:hAnsi="宋体"/>
          <w:b/>
          <w:sz w:val="32"/>
        </w:rPr>
      </w:pPr>
    </w:p>
    <w:p>
      <w:pPr>
        <w:spacing w:line="360" w:lineRule="auto"/>
        <w:jc w:val="center"/>
        <w:rPr>
          <w:b/>
          <w:sz w:val="32"/>
          <w:szCs w:val="32"/>
        </w:rPr>
      </w:pPr>
      <w:r>
        <w:rPr>
          <w:rFonts w:hint="eastAsia"/>
          <w:b/>
          <w:sz w:val="32"/>
          <w:szCs w:val="32"/>
        </w:rPr>
        <w:t>供货范围清单</w:t>
      </w:r>
    </w:p>
    <w:p>
      <w:pPr>
        <w:spacing w:line="360" w:lineRule="auto"/>
        <w:jc w:val="center"/>
        <w:rPr>
          <w:rFonts w:ascii="宋体" w:hAnsi="宋体"/>
          <w:b/>
          <w:kern w:val="0"/>
          <w:sz w:val="32"/>
          <w:szCs w:val="32"/>
        </w:rPr>
      </w:pP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序号</w:t>
            </w:r>
          </w:p>
        </w:tc>
        <w:tc>
          <w:tcPr>
            <w:tcW w:w="1255"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货物名称</w:t>
            </w:r>
          </w:p>
        </w:tc>
        <w:tc>
          <w:tcPr>
            <w:tcW w:w="1418"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规格型号</w:t>
            </w:r>
          </w:p>
        </w:tc>
        <w:tc>
          <w:tcPr>
            <w:tcW w:w="1417"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材质</w:t>
            </w:r>
          </w:p>
        </w:tc>
        <w:tc>
          <w:tcPr>
            <w:tcW w:w="1559"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数量</w:t>
            </w:r>
          </w:p>
        </w:tc>
        <w:tc>
          <w:tcPr>
            <w:tcW w:w="1843"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1</w:t>
            </w:r>
          </w:p>
        </w:tc>
        <w:tc>
          <w:tcPr>
            <w:tcW w:w="1255" w:type="dxa"/>
            <w:vAlign w:val="center"/>
          </w:tcPr>
          <w:p>
            <w:pPr>
              <w:adjustRightInd w:val="0"/>
              <w:spacing w:line="360" w:lineRule="atLeast"/>
              <w:jc w:val="center"/>
              <w:textAlignment w:val="baseline"/>
              <w:rPr>
                <w:rFonts w:ascii="宋体" w:hAnsi="宋体"/>
                <w:kern w:val="0"/>
                <w:sz w:val="24"/>
                <w:szCs w:val="20"/>
              </w:rPr>
            </w:pPr>
          </w:p>
        </w:tc>
        <w:tc>
          <w:tcPr>
            <w:tcW w:w="1418" w:type="dxa"/>
          </w:tcPr>
          <w:p>
            <w:pPr>
              <w:adjustRightInd w:val="0"/>
              <w:spacing w:line="360" w:lineRule="atLeast"/>
              <w:jc w:val="center"/>
              <w:textAlignment w:val="baseline"/>
              <w:rPr>
                <w:rFonts w:ascii="宋体" w:hAnsi="宋体"/>
                <w:kern w:val="0"/>
                <w:sz w:val="24"/>
                <w:szCs w:val="20"/>
              </w:rPr>
            </w:pPr>
          </w:p>
        </w:tc>
        <w:tc>
          <w:tcPr>
            <w:tcW w:w="1417" w:type="dxa"/>
          </w:tcPr>
          <w:p>
            <w:pPr>
              <w:adjustRightInd w:val="0"/>
              <w:spacing w:line="360" w:lineRule="atLeast"/>
              <w:jc w:val="center"/>
              <w:textAlignment w:val="baseline"/>
              <w:rPr>
                <w:rFonts w:ascii="宋体" w:hAnsi="宋体"/>
                <w:kern w:val="0"/>
                <w:sz w:val="24"/>
                <w:szCs w:val="20"/>
              </w:rPr>
            </w:pPr>
          </w:p>
        </w:tc>
        <w:tc>
          <w:tcPr>
            <w:tcW w:w="1559" w:type="dxa"/>
            <w:vAlign w:val="center"/>
          </w:tcPr>
          <w:p>
            <w:pPr>
              <w:adjustRightInd w:val="0"/>
              <w:spacing w:line="360" w:lineRule="atLeast"/>
              <w:jc w:val="center"/>
              <w:textAlignment w:val="baseline"/>
              <w:rPr>
                <w:rFonts w:ascii="宋体" w:hAnsi="宋体"/>
                <w:kern w:val="0"/>
                <w:sz w:val="24"/>
                <w:szCs w:val="20"/>
              </w:rPr>
            </w:pPr>
          </w:p>
        </w:tc>
        <w:tc>
          <w:tcPr>
            <w:tcW w:w="1843" w:type="dxa"/>
            <w:vAlign w:val="center"/>
          </w:tcPr>
          <w:p>
            <w:pPr>
              <w:adjustRightInd w:val="0"/>
              <w:spacing w:line="360" w:lineRule="atLeast"/>
              <w:jc w:val="center"/>
              <w:textAlignment w:val="baseline"/>
              <w:rPr>
                <w:rFonts w:ascii="宋体" w:hAnsi="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pPr>
              <w:adjustRightInd w:val="0"/>
              <w:spacing w:line="360" w:lineRule="atLeast"/>
              <w:jc w:val="center"/>
              <w:textAlignment w:val="baseline"/>
              <w:rPr>
                <w:rFonts w:ascii="宋体" w:hAnsi="宋体"/>
                <w:kern w:val="0"/>
                <w:sz w:val="24"/>
                <w:szCs w:val="20"/>
              </w:rPr>
            </w:pPr>
          </w:p>
        </w:tc>
        <w:tc>
          <w:tcPr>
            <w:tcW w:w="1418" w:type="dxa"/>
          </w:tcPr>
          <w:p>
            <w:pPr>
              <w:adjustRightInd w:val="0"/>
              <w:spacing w:line="360" w:lineRule="atLeast"/>
              <w:jc w:val="center"/>
              <w:textAlignment w:val="baseline"/>
              <w:rPr>
                <w:rFonts w:ascii="宋体" w:hAnsi="宋体"/>
                <w:kern w:val="0"/>
                <w:sz w:val="24"/>
                <w:szCs w:val="20"/>
              </w:rPr>
            </w:pPr>
          </w:p>
        </w:tc>
        <w:tc>
          <w:tcPr>
            <w:tcW w:w="1417" w:type="dxa"/>
          </w:tcPr>
          <w:p>
            <w:pPr>
              <w:adjustRightInd w:val="0"/>
              <w:spacing w:line="360" w:lineRule="atLeast"/>
              <w:jc w:val="center"/>
              <w:textAlignment w:val="baseline"/>
              <w:rPr>
                <w:rFonts w:ascii="宋体" w:hAnsi="宋体"/>
                <w:kern w:val="0"/>
                <w:sz w:val="24"/>
                <w:szCs w:val="20"/>
              </w:rPr>
            </w:pPr>
          </w:p>
        </w:tc>
        <w:tc>
          <w:tcPr>
            <w:tcW w:w="1559" w:type="dxa"/>
            <w:vAlign w:val="center"/>
          </w:tcPr>
          <w:p>
            <w:pPr>
              <w:adjustRightInd w:val="0"/>
              <w:spacing w:line="360" w:lineRule="atLeast"/>
              <w:jc w:val="center"/>
              <w:textAlignment w:val="baseline"/>
              <w:rPr>
                <w:rFonts w:ascii="宋体" w:hAnsi="宋体"/>
                <w:kern w:val="0"/>
                <w:sz w:val="24"/>
                <w:szCs w:val="20"/>
              </w:rPr>
            </w:pPr>
          </w:p>
        </w:tc>
        <w:tc>
          <w:tcPr>
            <w:tcW w:w="1843" w:type="dxa"/>
            <w:vAlign w:val="center"/>
          </w:tcPr>
          <w:p>
            <w:pPr>
              <w:adjustRightInd w:val="0"/>
              <w:spacing w:line="360" w:lineRule="atLeast"/>
              <w:jc w:val="center"/>
              <w:textAlignment w:val="baseline"/>
              <w:rPr>
                <w:rFonts w:ascii="宋体" w:hAnsi="宋体"/>
                <w:kern w:val="0"/>
                <w:sz w:val="24"/>
                <w:szCs w:val="20"/>
              </w:rPr>
            </w:pPr>
          </w:p>
        </w:tc>
      </w:tr>
    </w:tbl>
    <w:p>
      <w:pPr>
        <w:spacing w:line="360" w:lineRule="auto"/>
        <w:jc w:val="left"/>
        <w:rPr>
          <w:rFonts w:ascii="宋体" w:hAnsi="宋体"/>
          <w:kern w:val="0"/>
          <w:sz w:val="24"/>
        </w:rPr>
      </w:pPr>
    </w:p>
    <w:p>
      <w:pPr>
        <w:spacing w:line="360" w:lineRule="auto"/>
        <w:jc w:val="left"/>
        <w:rPr>
          <w:rFonts w:ascii="宋体" w:hAnsi="宋体"/>
          <w:kern w:val="0"/>
          <w:sz w:val="24"/>
        </w:rPr>
      </w:pPr>
      <w:r>
        <w:rPr>
          <w:rFonts w:hint="eastAsia" w:ascii="宋体" w:hAnsi="宋体"/>
          <w:kern w:val="0"/>
          <w:sz w:val="24"/>
        </w:rPr>
        <w:t>备注：以上货物质量、供货期等内容符合比选文件技术规格书的要求。</w:t>
      </w:r>
    </w:p>
    <w:p>
      <w:pPr>
        <w:spacing w:line="360" w:lineRule="auto"/>
        <w:jc w:val="left"/>
        <w:rPr>
          <w:sz w:val="28"/>
          <w:szCs w:val="28"/>
        </w:rPr>
      </w:pPr>
    </w:p>
    <w:p>
      <w:pPr>
        <w:spacing w:line="360" w:lineRule="auto"/>
        <w:jc w:val="left"/>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360" w:lineRule="auto"/>
        <w:jc w:val="left"/>
        <w:rPr>
          <w:sz w:val="28"/>
          <w:szCs w:val="28"/>
        </w:rPr>
      </w:pPr>
    </w:p>
    <w:p>
      <w:pPr>
        <w:spacing w:line="360" w:lineRule="auto"/>
        <w:jc w:val="left"/>
        <w:rPr>
          <w:rFonts w:ascii="宋体" w:hAnsi="宋体"/>
          <w:szCs w:val="21"/>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2.4比选文件要求提供的其他技术方面的文件</w:t>
      </w:r>
    </w:p>
    <w:p>
      <w:pPr>
        <w:jc w:val="left"/>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比选文件要求提供的其他技术方面的文件</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spacing w:line="440" w:lineRule="exact"/>
        <w:jc w:val="center"/>
        <w:rPr>
          <w:rFonts w:ascii="宋体" w:hAnsi="宋体"/>
          <w:b/>
          <w:bCs/>
          <w:sz w:val="44"/>
          <w:szCs w:val="44"/>
        </w:rPr>
      </w:pPr>
      <w:r>
        <w:rPr>
          <w:rFonts w:hint="eastAsia" w:ascii="宋体" w:hAnsi="宋体"/>
          <w:b/>
          <w:bCs/>
          <w:sz w:val="44"/>
          <w:szCs w:val="44"/>
        </w:rPr>
        <w:t>第二册报价书</w:t>
      </w:r>
    </w:p>
    <w:p>
      <w:pPr>
        <w:spacing w:line="440" w:lineRule="exact"/>
        <w:rPr>
          <w:rFonts w:ascii="宋体" w:hAnsi="宋体"/>
          <w:b/>
          <w:bCs/>
          <w:sz w:val="28"/>
        </w:rPr>
      </w:pPr>
    </w:p>
    <w:p>
      <w:pPr>
        <w:spacing w:line="440" w:lineRule="exact"/>
        <w:jc w:val="center"/>
        <w:rPr>
          <w:rFonts w:ascii="宋体" w:hAnsi="宋体" w:cs="宋体"/>
          <w:b/>
          <w:sz w:val="32"/>
          <w:szCs w:val="32"/>
        </w:rPr>
      </w:pPr>
      <w:r>
        <w:rPr>
          <w:rFonts w:hint="eastAsia" w:ascii="宋体" w:hAnsi="宋体" w:cs="宋体"/>
          <w:b/>
          <w:sz w:val="32"/>
          <w:szCs w:val="32"/>
        </w:rPr>
        <w:t>(单独分册、装订、密封、盖章)</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b/>
          <w:sz w:val="32"/>
          <w:szCs w:val="32"/>
        </w:rPr>
      </w:pPr>
      <w:r>
        <w:rPr>
          <w:rFonts w:hint="eastAsia" w:ascii="宋体" w:hAnsi="宋体" w:cs="宋体"/>
          <w:b/>
          <w:sz w:val="32"/>
          <w:szCs w:val="32"/>
        </w:rPr>
        <w:t>澳盐参选报价单</w:t>
      </w:r>
    </w:p>
    <w:p>
      <w:pPr>
        <w:spacing w:line="440" w:lineRule="exact"/>
        <w:rPr>
          <w:rFonts w:ascii="宋体" w:hAnsi="宋体"/>
          <w:b/>
          <w:sz w:val="32"/>
        </w:rPr>
      </w:pPr>
    </w:p>
    <w:tbl>
      <w:tblPr>
        <w:tblStyle w:val="8"/>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399"/>
        <w:gridCol w:w="1294"/>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167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序号</w:t>
            </w:r>
          </w:p>
        </w:tc>
        <w:tc>
          <w:tcPr>
            <w:tcW w:w="2399"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货物名称</w:t>
            </w:r>
          </w:p>
        </w:tc>
        <w:tc>
          <w:tcPr>
            <w:tcW w:w="129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数量（吨）</w:t>
            </w:r>
          </w:p>
        </w:tc>
        <w:tc>
          <w:tcPr>
            <w:tcW w:w="2733"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参选价格（元/吨）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67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1</w:t>
            </w:r>
          </w:p>
        </w:tc>
        <w:tc>
          <w:tcPr>
            <w:tcW w:w="2399"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澳盐</w:t>
            </w:r>
          </w:p>
        </w:tc>
        <w:tc>
          <w:tcPr>
            <w:tcW w:w="129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55000</w:t>
            </w:r>
          </w:p>
        </w:tc>
        <w:tc>
          <w:tcPr>
            <w:tcW w:w="2733" w:type="dxa"/>
            <w:vAlign w:val="center"/>
          </w:tcPr>
          <w:p>
            <w:pPr>
              <w:adjustRightInd w:val="0"/>
              <w:spacing w:line="360" w:lineRule="atLeast"/>
              <w:jc w:val="center"/>
              <w:textAlignment w:val="baseline"/>
              <w:rPr>
                <w:rFonts w:ascii="宋体" w:hAnsi="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00" w:type="dxa"/>
            <w:gridSpan w:val="4"/>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以上报价为人民币报价</w:t>
            </w:r>
          </w:p>
        </w:tc>
      </w:tr>
    </w:tbl>
    <w:p>
      <w:pPr>
        <w:spacing w:line="360" w:lineRule="auto"/>
        <w:jc w:val="left"/>
        <w:rPr>
          <w:rFonts w:ascii="宋体" w:hAnsi="宋体"/>
          <w:kern w:val="0"/>
          <w:sz w:val="24"/>
        </w:rPr>
      </w:pPr>
      <w:r>
        <w:rPr>
          <w:rFonts w:hint="eastAsia" w:ascii="宋体" w:hAnsi="宋体"/>
          <w:kern w:val="0"/>
          <w:sz w:val="24"/>
        </w:rPr>
        <w:t>备注：</w:t>
      </w:r>
    </w:p>
    <w:p>
      <w:pPr>
        <w:spacing w:line="360" w:lineRule="auto"/>
        <w:jc w:val="left"/>
        <w:rPr>
          <w:rFonts w:ascii="宋体" w:hAnsi="宋体"/>
          <w:kern w:val="0"/>
          <w:sz w:val="24"/>
        </w:rPr>
      </w:pPr>
      <w:r>
        <w:rPr>
          <w:rFonts w:hint="eastAsia" w:ascii="宋体" w:hAnsi="宋体"/>
          <w:kern w:val="0"/>
          <w:sz w:val="24"/>
        </w:rPr>
        <w:t>1、以上货物质量、供货期等内容符合比选文件技术规格书的要求。</w:t>
      </w:r>
    </w:p>
    <w:p>
      <w:pPr>
        <w:spacing w:line="500" w:lineRule="exact"/>
        <w:rPr>
          <w:rFonts w:ascii="宋体" w:hAnsi="宋体"/>
          <w:kern w:val="0"/>
          <w:sz w:val="24"/>
        </w:rPr>
      </w:pPr>
      <w:r>
        <w:rPr>
          <w:rFonts w:hint="eastAsia" w:ascii="宋体" w:hAnsi="宋体"/>
          <w:kern w:val="0"/>
          <w:sz w:val="24"/>
        </w:rPr>
        <w:t>2、以上报价含：</w:t>
      </w:r>
      <w:r>
        <w:rPr>
          <w:rFonts w:hint="eastAsia" w:ascii="宋体" w:hAnsi="宋体"/>
          <w:kern w:val="0"/>
          <w:sz w:val="24"/>
          <w:u w:val="single"/>
        </w:rPr>
        <w:t>   </w:t>
      </w:r>
      <w:r>
        <w:rPr>
          <w:rFonts w:hint="eastAsia" w:ascii="宋体" w:hAnsi="宋体"/>
          <w:kern w:val="0"/>
          <w:sz w:val="24"/>
        </w:rPr>
        <w:t>%税率，参选价格为工业盐运抵"交货地点"的含税固定价。</w:t>
      </w:r>
    </w:p>
    <w:p>
      <w:pPr>
        <w:spacing w:line="500" w:lineRule="exact"/>
        <w:rPr>
          <w:rFonts w:ascii="宋体" w:hAnsi="宋体"/>
          <w:kern w:val="0"/>
          <w:sz w:val="24"/>
          <w:u w:val="single"/>
        </w:rPr>
      </w:pPr>
      <w:r>
        <w:rPr>
          <w:rFonts w:hint="eastAsia" w:ascii="宋体" w:hAnsi="宋体"/>
          <w:kern w:val="0"/>
          <w:sz w:val="24"/>
          <w:u w:val="single"/>
        </w:rPr>
        <w:t>含税固定价包含但不限于：工业盐成本、运费、保险费、报关、滞期费、港建等。注：码头装卸、堆存、商检费、短驳运费用由需方自行承担。</w:t>
      </w:r>
    </w:p>
    <w:p>
      <w:pPr>
        <w:spacing w:line="500" w:lineRule="exact"/>
        <w:rPr>
          <w:rFonts w:ascii="宋体" w:hAnsi="宋体"/>
          <w:color w:val="FF0000"/>
          <w:kern w:val="0"/>
          <w:sz w:val="24"/>
        </w:rPr>
      </w:pPr>
      <w:r>
        <w:rPr>
          <w:rFonts w:hint="eastAsia" w:ascii="宋体" w:hAnsi="宋体"/>
          <w:kern w:val="0"/>
          <w:sz w:val="24"/>
        </w:rPr>
        <w:t>交货地点：</w:t>
      </w:r>
      <w:r>
        <w:rPr>
          <w:rFonts w:hint="eastAsia" w:ascii="宋体" w:hAnsi="宋体"/>
          <w:kern w:val="0"/>
          <w:sz w:val="24"/>
          <w:u w:val="single"/>
        </w:rPr>
        <w:t>福建江阴国际集装箱码头</w:t>
      </w:r>
      <w:r>
        <w:rPr>
          <w:rFonts w:hint="eastAsia" w:ascii="宋体" w:hAnsi="宋体"/>
          <w:kern w:val="0"/>
          <w:sz w:val="24"/>
        </w:rPr>
        <w:t>，运费、保险费由供方承担到货地点。</w:t>
      </w:r>
    </w:p>
    <w:p>
      <w:pPr>
        <w:spacing w:line="500" w:lineRule="exact"/>
        <w:rPr>
          <w:rFonts w:ascii="宋体" w:hAnsi="宋体"/>
          <w:b/>
          <w:kern w:val="0"/>
          <w:sz w:val="24"/>
          <w:u w:val="single"/>
        </w:rPr>
      </w:pPr>
      <w:r>
        <w:rPr>
          <w:rFonts w:hint="eastAsia" w:ascii="宋体" w:hAnsi="宋体"/>
          <w:b/>
          <w:kern w:val="0"/>
          <w:sz w:val="24"/>
        </w:rPr>
        <w:t>3、</w:t>
      </w:r>
      <w:r>
        <w:rPr>
          <w:rFonts w:hint="eastAsia" w:ascii="宋体" w:hAnsi="宋体"/>
          <w:b/>
          <w:kern w:val="0"/>
          <w:sz w:val="24"/>
          <w:u w:val="single"/>
        </w:rPr>
        <w:t>该报价单必须对项目的全部货物与服务进行参选，不得仅对项目中的部分货物或服务进行参选，否则其参选文件将被拒绝。</w:t>
      </w:r>
    </w:p>
    <w:p>
      <w:pPr>
        <w:spacing w:line="500" w:lineRule="exact"/>
        <w:rPr>
          <w:rFonts w:ascii="宋体" w:hAnsi="宋体"/>
          <w:b/>
          <w:kern w:val="0"/>
          <w:sz w:val="24"/>
          <w:u w:val="single"/>
        </w:rPr>
      </w:pPr>
      <w:r>
        <w:rPr>
          <w:rFonts w:hint="eastAsia" w:ascii="宋体" w:hAnsi="宋体"/>
          <w:b/>
          <w:kern w:val="0"/>
          <w:sz w:val="24"/>
          <w:u w:val="single"/>
        </w:rPr>
        <w:t>4、盐船船期应确保在6月10日之前到抵达卸货港（江阴国际集装箱码头）。</w:t>
      </w:r>
    </w:p>
    <w:p>
      <w:pPr>
        <w:spacing w:line="500" w:lineRule="exact"/>
        <w:rPr>
          <w:sz w:val="28"/>
          <w:szCs w:val="28"/>
        </w:rPr>
      </w:pPr>
    </w:p>
    <w:p>
      <w:pPr>
        <w:spacing w:line="500" w:lineRule="exact"/>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r>
        <w:rPr>
          <w:sz w:val="28"/>
          <w:szCs w:val="28"/>
        </w:rPr>
        <w:br w:type="page"/>
      </w:r>
    </w:p>
    <w:p>
      <w:pPr>
        <w:spacing w:line="440" w:lineRule="exact"/>
        <w:jc w:val="center"/>
        <w:rPr>
          <w:rFonts w:ascii="宋体" w:hAnsi="宋体"/>
          <w:b/>
          <w:sz w:val="32"/>
          <w:szCs w:val="32"/>
        </w:rPr>
      </w:pPr>
      <w:r>
        <w:rPr>
          <w:rFonts w:hint="eastAsia" w:ascii="宋体" w:hAnsi="宋体" w:cs="宋体"/>
          <w:b/>
          <w:sz w:val="32"/>
          <w:szCs w:val="32"/>
        </w:rPr>
        <w:t>印度盐参选报价单</w:t>
      </w:r>
    </w:p>
    <w:p>
      <w:pPr>
        <w:spacing w:line="440" w:lineRule="exact"/>
        <w:rPr>
          <w:rFonts w:ascii="宋体" w:hAnsi="宋体"/>
          <w:b/>
          <w:sz w:val="32"/>
        </w:rPr>
      </w:pPr>
    </w:p>
    <w:tbl>
      <w:tblPr>
        <w:tblStyle w:val="8"/>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399"/>
        <w:gridCol w:w="1294"/>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167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序号</w:t>
            </w:r>
          </w:p>
        </w:tc>
        <w:tc>
          <w:tcPr>
            <w:tcW w:w="2399"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货物名称</w:t>
            </w:r>
          </w:p>
        </w:tc>
        <w:tc>
          <w:tcPr>
            <w:tcW w:w="129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数量（吨）</w:t>
            </w:r>
          </w:p>
        </w:tc>
        <w:tc>
          <w:tcPr>
            <w:tcW w:w="2733"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参选价格（元/吨）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67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1</w:t>
            </w:r>
          </w:p>
        </w:tc>
        <w:tc>
          <w:tcPr>
            <w:tcW w:w="2399"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印度盐</w:t>
            </w:r>
          </w:p>
        </w:tc>
        <w:tc>
          <w:tcPr>
            <w:tcW w:w="1294" w:type="dxa"/>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55000</w:t>
            </w:r>
          </w:p>
        </w:tc>
        <w:tc>
          <w:tcPr>
            <w:tcW w:w="2733" w:type="dxa"/>
            <w:vAlign w:val="center"/>
          </w:tcPr>
          <w:p>
            <w:pPr>
              <w:adjustRightInd w:val="0"/>
              <w:spacing w:line="360" w:lineRule="atLeast"/>
              <w:jc w:val="center"/>
              <w:textAlignment w:val="baseline"/>
              <w:rPr>
                <w:rFonts w:ascii="宋体" w:hAnsi="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00" w:type="dxa"/>
            <w:gridSpan w:val="4"/>
            <w:vAlign w:val="center"/>
          </w:tcPr>
          <w:p>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以上报价为人民币报价</w:t>
            </w:r>
          </w:p>
        </w:tc>
      </w:tr>
    </w:tbl>
    <w:p>
      <w:pPr>
        <w:spacing w:line="360" w:lineRule="auto"/>
        <w:jc w:val="left"/>
        <w:rPr>
          <w:rFonts w:ascii="宋体" w:hAnsi="宋体"/>
          <w:kern w:val="0"/>
          <w:sz w:val="24"/>
        </w:rPr>
      </w:pPr>
      <w:r>
        <w:rPr>
          <w:rFonts w:hint="eastAsia" w:ascii="宋体" w:hAnsi="宋体"/>
          <w:kern w:val="0"/>
          <w:sz w:val="24"/>
        </w:rPr>
        <w:t>备注：</w:t>
      </w:r>
    </w:p>
    <w:p>
      <w:pPr>
        <w:spacing w:line="360" w:lineRule="auto"/>
        <w:jc w:val="left"/>
        <w:rPr>
          <w:rFonts w:ascii="宋体" w:hAnsi="宋体"/>
          <w:kern w:val="0"/>
          <w:sz w:val="24"/>
        </w:rPr>
      </w:pPr>
      <w:r>
        <w:rPr>
          <w:rFonts w:hint="eastAsia" w:ascii="宋体" w:hAnsi="宋体"/>
          <w:kern w:val="0"/>
          <w:sz w:val="24"/>
        </w:rPr>
        <w:t>1、以上货物质量、供货期等内容符合比选文件技术规格书的要求。</w:t>
      </w:r>
    </w:p>
    <w:p>
      <w:pPr>
        <w:spacing w:line="500" w:lineRule="exact"/>
        <w:rPr>
          <w:rFonts w:ascii="宋体" w:hAnsi="宋体"/>
          <w:kern w:val="0"/>
          <w:sz w:val="24"/>
        </w:rPr>
      </w:pPr>
      <w:r>
        <w:rPr>
          <w:rFonts w:hint="eastAsia" w:ascii="宋体" w:hAnsi="宋体"/>
          <w:kern w:val="0"/>
          <w:sz w:val="24"/>
        </w:rPr>
        <w:t>2、以上报价含：</w:t>
      </w:r>
      <w:r>
        <w:rPr>
          <w:rFonts w:hint="eastAsia" w:ascii="宋体" w:hAnsi="宋体"/>
          <w:kern w:val="0"/>
          <w:sz w:val="24"/>
          <w:u w:val="single"/>
        </w:rPr>
        <w:t>   </w:t>
      </w:r>
      <w:r>
        <w:rPr>
          <w:rFonts w:hint="eastAsia" w:ascii="宋体" w:hAnsi="宋体"/>
          <w:kern w:val="0"/>
          <w:sz w:val="24"/>
        </w:rPr>
        <w:t>%税率，参选价格为工业盐运抵"交货地点"的含税固定价。</w:t>
      </w:r>
    </w:p>
    <w:p>
      <w:pPr>
        <w:spacing w:line="500" w:lineRule="exact"/>
        <w:rPr>
          <w:rFonts w:ascii="宋体" w:hAnsi="宋体"/>
          <w:kern w:val="0"/>
          <w:sz w:val="24"/>
          <w:u w:val="single"/>
        </w:rPr>
      </w:pPr>
      <w:r>
        <w:rPr>
          <w:rFonts w:hint="eastAsia" w:ascii="宋体" w:hAnsi="宋体"/>
          <w:kern w:val="0"/>
          <w:sz w:val="24"/>
          <w:u w:val="single"/>
        </w:rPr>
        <w:t>含税固定价包含但不限于：工业盐成本、运费、保险费、报关、滞期费、港建等。注：码头装卸、堆存、商检费、短驳运费用由需方自行承担。</w:t>
      </w:r>
    </w:p>
    <w:p>
      <w:pPr>
        <w:spacing w:line="500" w:lineRule="exact"/>
        <w:rPr>
          <w:rFonts w:ascii="宋体" w:hAnsi="宋体"/>
          <w:color w:val="FF0000"/>
          <w:kern w:val="0"/>
          <w:sz w:val="24"/>
        </w:rPr>
      </w:pPr>
      <w:r>
        <w:rPr>
          <w:rFonts w:hint="eastAsia" w:ascii="宋体" w:hAnsi="宋体"/>
          <w:kern w:val="0"/>
          <w:sz w:val="24"/>
        </w:rPr>
        <w:t>交货地点：</w:t>
      </w:r>
      <w:r>
        <w:rPr>
          <w:rFonts w:hint="eastAsia" w:ascii="宋体" w:hAnsi="宋体"/>
          <w:kern w:val="0"/>
          <w:sz w:val="24"/>
          <w:u w:val="single"/>
        </w:rPr>
        <w:t>福建江阴国际集装箱码头</w:t>
      </w:r>
      <w:r>
        <w:rPr>
          <w:rFonts w:hint="eastAsia" w:ascii="宋体" w:hAnsi="宋体"/>
          <w:kern w:val="0"/>
          <w:sz w:val="24"/>
        </w:rPr>
        <w:t>，运费、保险费由供方承担到货地点。</w:t>
      </w:r>
    </w:p>
    <w:p>
      <w:pPr>
        <w:spacing w:line="500" w:lineRule="exact"/>
        <w:rPr>
          <w:rFonts w:ascii="宋体" w:hAnsi="宋体"/>
          <w:b/>
          <w:kern w:val="0"/>
          <w:sz w:val="24"/>
          <w:u w:val="single"/>
        </w:rPr>
      </w:pPr>
      <w:r>
        <w:rPr>
          <w:rFonts w:hint="eastAsia" w:ascii="宋体" w:hAnsi="宋体"/>
          <w:b/>
          <w:kern w:val="0"/>
          <w:sz w:val="24"/>
        </w:rPr>
        <w:t>3、</w:t>
      </w:r>
      <w:r>
        <w:rPr>
          <w:rFonts w:hint="eastAsia" w:ascii="宋体" w:hAnsi="宋体"/>
          <w:b/>
          <w:kern w:val="0"/>
          <w:sz w:val="24"/>
          <w:u w:val="single"/>
        </w:rPr>
        <w:t>该报价单必须对项目的全部货物与服务进行参选，不得仅对项目中的部分货物或服务进行参选，否则其参选文件将被拒绝。</w:t>
      </w:r>
    </w:p>
    <w:p>
      <w:pPr>
        <w:spacing w:line="500" w:lineRule="exact"/>
        <w:rPr>
          <w:rFonts w:ascii="宋体" w:hAnsi="宋体"/>
          <w:b/>
          <w:kern w:val="0"/>
          <w:sz w:val="24"/>
          <w:u w:val="single"/>
        </w:rPr>
      </w:pPr>
      <w:r>
        <w:rPr>
          <w:rFonts w:hint="eastAsia" w:ascii="宋体" w:hAnsi="宋体"/>
          <w:b/>
          <w:kern w:val="0"/>
          <w:sz w:val="24"/>
          <w:u w:val="single"/>
        </w:rPr>
        <w:t>4、盐船船期应确保在6月10日之前到抵达卸货港（江阴国际集装箱码头）。</w:t>
      </w:r>
    </w:p>
    <w:p>
      <w:pPr>
        <w:spacing w:line="500" w:lineRule="exact"/>
        <w:rPr>
          <w:sz w:val="28"/>
          <w:szCs w:val="28"/>
        </w:rPr>
      </w:pPr>
    </w:p>
    <w:p>
      <w:pPr>
        <w:spacing w:line="500" w:lineRule="exact"/>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360" w:lineRule="auto"/>
        <w:jc w:val="left"/>
        <w:rPr>
          <w:sz w:val="28"/>
          <w:szCs w:val="28"/>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jc w:val="left"/>
        <w:rPr>
          <w:rFonts w:asciiTheme="minorEastAsia" w:hAnsiTheme="minorEastAsia"/>
          <w:sz w:val="28"/>
          <w:szCs w:val="28"/>
        </w:rPr>
      </w:pPr>
    </w:p>
    <w:p>
      <w:pPr>
        <w:tabs>
          <w:tab w:val="left" w:pos="5880"/>
        </w:tabs>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3</w:t>
                          </w:r>
                          <w:r>
                            <w:rPr>
                              <w:rFonts w:hint="eastAsia"/>
                            </w:rPr>
                            <w:fldChar w:fldCharType="end"/>
                          </w:r>
                          <w:r>
                            <w:rPr>
                              <w:rFonts w:hint="eastAsia"/>
                            </w:rPr>
                            <w:t xml:space="preserve"> 页 共</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DZPk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pN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MNk+TICAABk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3</w:t>
                    </w:r>
                    <w:r>
                      <w:rPr>
                        <w:rFonts w:hint="eastAsia"/>
                      </w:rPr>
                      <w:fldChar w:fldCharType="end"/>
                    </w:r>
                    <w:r>
                      <w:rPr>
                        <w:rFonts w:hint="eastAsia"/>
                      </w:rPr>
                      <w:t xml:space="preserve"> 页 共</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2C374F"/>
    <w:multiLevelType w:val="singleLevel"/>
    <w:tmpl w:val="5D2C374F"/>
    <w:lvl w:ilvl="0" w:tentative="0">
      <w:start w:val="5"/>
      <w:numFmt w:val="chineseCounting"/>
      <w:suff w:val="nothing"/>
      <w:lvlText w:val="第%1条"/>
      <w:lvlJc w:val="left"/>
    </w:lvl>
  </w:abstractNum>
  <w:abstractNum w:abstractNumId="2">
    <w:nsid w:val="5D2C376D"/>
    <w:multiLevelType w:val="singleLevel"/>
    <w:tmpl w:val="5D2C376D"/>
    <w:lvl w:ilvl="0" w:tentative="0">
      <w:start w:val="1"/>
      <w:numFmt w:val="decimal"/>
      <w:suff w:val="nothing"/>
      <w:lvlText w:val="%1."/>
      <w:lvlJc w:val="left"/>
    </w:lvl>
  </w:abstractNum>
  <w:abstractNum w:abstractNumId="3">
    <w:nsid w:val="5E009E04"/>
    <w:multiLevelType w:val="singleLevel"/>
    <w:tmpl w:val="5E009E04"/>
    <w:lvl w:ilvl="0" w:tentative="0">
      <w:start w:val="2"/>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3100E"/>
    <w:rsid w:val="001D6F2A"/>
    <w:rsid w:val="00305683"/>
    <w:rsid w:val="00365D0C"/>
    <w:rsid w:val="003B2515"/>
    <w:rsid w:val="004B01C2"/>
    <w:rsid w:val="00591D67"/>
    <w:rsid w:val="00637150"/>
    <w:rsid w:val="00665D0C"/>
    <w:rsid w:val="006E6A78"/>
    <w:rsid w:val="007C62EE"/>
    <w:rsid w:val="009C39A6"/>
    <w:rsid w:val="00A31E28"/>
    <w:rsid w:val="00A71BE8"/>
    <w:rsid w:val="00B73D2B"/>
    <w:rsid w:val="00D526E1"/>
    <w:rsid w:val="00D71310"/>
    <w:rsid w:val="00D97ED3"/>
    <w:rsid w:val="02603983"/>
    <w:rsid w:val="02737D1E"/>
    <w:rsid w:val="027E0835"/>
    <w:rsid w:val="03A5047F"/>
    <w:rsid w:val="03E25BBD"/>
    <w:rsid w:val="04662EEF"/>
    <w:rsid w:val="067A1B2E"/>
    <w:rsid w:val="079A70B2"/>
    <w:rsid w:val="080C2EF1"/>
    <w:rsid w:val="0BE94998"/>
    <w:rsid w:val="0C5B3821"/>
    <w:rsid w:val="0F3426C0"/>
    <w:rsid w:val="0F665D30"/>
    <w:rsid w:val="10B37566"/>
    <w:rsid w:val="11D179E0"/>
    <w:rsid w:val="13773B5C"/>
    <w:rsid w:val="13AE2C16"/>
    <w:rsid w:val="14D31AF2"/>
    <w:rsid w:val="19B40885"/>
    <w:rsid w:val="1AEE0B75"/>
    <w:rsid w:val="1B723CFB"/>
    <w:rsid w:val="1DC82B5F"/>
    <w:rsid w:val="1E481471"/>
    <w:rsid w:val="1E9C14ED"/>
    <w:rsid w:val="1F6D23DB"/>
    <w:rsid w:val="201E7856"/>
    <w:rsid w:val="20534528"/>
    <w:rsid w:val="20F23E42"/>
    <w:rsid w:val="21606EAB"/>
    <w:rsid w:val="235B71E1"/>
    <w:rsid w:val="23732087"/>
    <w:rsid w:val="23F4026C"/>
    <w:rsid w:val="243C1B3C"/>
    <w:rsid w:val="245652F7"/>
    <w:rsid w:val="26736F1B"/>
    <w:rsid w:val="26A962FF"/>
    <w:rsid w:val="29F55326"/>
    <w:rsid w:val="2BFF4FE0"/>
    <w:rsid w:val="2D5F2154"/>
    <w:rsid w:val="35714339"/>
    <w:rsid w:val="35BA468B"/>
    <w:rsid w:val="36537242"/>
    <w:rsid w:val="36905AF9"/>
    <w:rsid w:val="36E927F9"/>
    <w:rsid w:val="386D57CA"/>
    <w:rsid w:val="39A42B7B"/>
    <w:rsid w:val="39BF58B3"/>
    <w:rsid w:val="3CF668AD"/>
    <w:rsid w:val="3DCA06AC"/>
    <w:rsid w:val="3DCD4192"/>
    <w:rsid w:val="3F031F3B"/>
    <w:rsid w:val="3F3C7B73"/>
    <w:rsid w:val="400C3018"/>
    <w:rsid w:val="403913B0"/>
    <w:rsid w:val="40A67D8E"/>
    <w:rsid w:val="41270142"/>
    <w:rsid w:val="41D23452"/>
    <w:rsid w:val="41DA2E00"/>
    <w:rsid w:val="4274063A"/>
    <w:rsid w:val="42AE5BEC"/>
    <w:rsid w:val="43102205"/>
    <w:rsid w:val="432D73FF"/>
    <w:rsid w:val="433A31CF"/>
    <w:rsid w:val="44686D99"/>
    <w:rsid w:val="44ED6794"/>
    <w:rsid w:val="45B23047"/>
    <w:rsid w:val="4676734D"/>
    <w:rsid w:val="47E15B70"/>
    <w:rsid w:val="481331CA"/>
    <w:rsid w:val="488E16B3"/>
    <w:rsid w:val="489C2455"/>
    <w:rsid w:val="499362AE"/>
    <w:rsid w:val="49CE6B4B"/>
    <w:rsid w:val="4A8660BE"/>
    <w:rsid w:val="4B114F8D"/>
    <w:rsid w:val="4B426219"/>
    <w:rsid w:val="4C37472A"/>
    <w:rsid w:val="4CE6388C"/>
    <w:rsid w:val="4CFF0C8E"/>
    <w:rsid w:val="4E020B7F"/>
    <w:rsid w:val="4E646334"/>
    <w:rsid w:val="515A5E85"/>
    <w:rsid w:val="51747B75"/>
    <w:rsid w:val="52DD24E2"/>
    <w:rsid w:val="53661CB0"/>
    <w:rsid w:val="538A0DD5"/>
    <w:rsid w:val="54983FAD"/>
    <w:rsid w:val="5754713A"/>
    <w:rsid w:val="58BE3FF6"/>
    <w:rsid w:val="591342E1"/>
    <w:rsid w:val="59B35B95"/>
    <w:rsid w:val="59B46E82"/>
    <w:rsid w:val="59C129F6"/>
    <w:rsid w:val="5A5D16A8"/>
    <w:rsid w:val="5B632468"/>
    <w:rsid w:val="5C127291"/>
    <w:rsid w:val="5CB74C3F"/>
    <w:rsid w:val="5DFF5760"/>
    <w:rsid w:val="5E313B3A"/>
    <w:rsid w:val="5ED712D4"/>
    <w:rsid w:val="5F4D0D9F"/>
    <w:rsid w:val="603975AD"/>
    <w:rsid w:val="60DE156F"/>
    <w:rsid w:val="62FF55FB"/>
    <w:rsid w:val="636A557F"/>
    <w:rsid w:val="64BF626D"/>
    <w:rsid w:val="65993181"/>
    <w:rsid w:val="6661487E"/>
    <w:rsid w:val="67FD3D90"/>
    <w:rsid w:val="69BB07A1"/>
    <w:rsid w:val="6AEE67C9"/>
    <w:rsid w:val="6B0151A1"/>
    <w:rsid w:val="6B031A77"/>
    <w:rsid w:val="6CE20FD5"/>
    <w:rsid w:val="6D957812"/>
    <w:rsid w:val="6DF42D7D"/>
    <w:rsid w:val="6E8F58F4"/>
    <w:rsid w:val="6F6E3090"/>
    <w:rsid w:val="6FC269BD"/>
    <w:rsid w:val="6FF81F0A"/>
    <w:rsid w:val="70B767FF"/>
    <w:rsid w:val="70EA7A58"/>
    <w:rsid w:val="70F465CC"/>
    <w:rsid w:val="734C670A"/>
    <w:rsid w:val="734E0399"/>
    <w:rsid w:val="73E43C55"/>
    <w:rsid w:val="747A46F4"/>
    <w:rsid w:val="747C37C1"/>
    <w:rsid w:val="749440FD"/>
    <w:rsid w:val="75B8343D"/>
    <w:rsid w:val="76213BE3"/>
    <w:rsid w:val="76C26847"/>
    <w:rsid w:val="76E61006"/>
    <w:rsid w:val="77FB3666"/>
    <w:rsid w:val="7AA915A9"/>
    <w:rsid w:val="7B643A22"/>
    <w:rsid w:val="7DBB3AB0"/>
    <w:rsid w:val="7DC440AF"/>
    <w:rsid w:val="7E9F2E88"/>
    <w:rsid w:val="7EF43999"/>
    <w:rsid w:val="7F95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qFormat/>
    <w:uiPriority w:val="0"/>
    <w:rPr>
      <w:color w:val="2490F8"/>
      <w:u w:val="none"/>
    </w:rPr>
  </w:style>
  <w:style w:type="character" w:styleId="13">
    <w:name w:val="HTML Definition"/>
    <w:basedOn w:val="10"/>
    <w:qFormat/>
    <w:uiPriority w:val="0"/>
  </w:style>
  <w:style w:type="character" w:styleId="14">
    <w:name w:val="HTML Variable"/>
    <w:basedOn w:val="10"/>
    <w:qFormat/>
    <w:uiPriority w:val="0"/>
  </w:style>
  <w:style w:type="character" w:styleId="15">
    <w:name w:val="Hyperlink"/>
    <w:basedOn w:val="10"/>
    <w:qFormat/>
    <w:uiPriority w:val="0"/>
    <w:rPr>
      <w:color w:val="2490F8"/>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paragraph" w:customStyle="1" w:styleId="18">
    <w:name w:val="_Style 6"/>
    <w:basedOn w:val="1"/>
    <w:qFormat/>
    <w:uiPriority w:val="34"/>
    <w:pPr>
      <w:ind w:firstLine="420" w:firstLineChars="200"/>
    </w:pPr>
  </w:style>
  <w:style w:type="character" w:customStyle="1" w:styleId="19">
    <w:name w:val="16"/>
    <w:qFormat/>
    <w:uiPriority w:val="0"/>
    <w:rPr>
      <w:rFonts w:hint="default" w:ascii="Tahoma" w:hAnsi="Tahoma" w:eastAsia="宋体" w:cs="Tahoma"/>
      <w:b/>
      <w:spacing w:val="10"/>
      <w:sz w:val="24"/>
      <w:szCs w:val="24"/>
    </w:rPr>
  </w:style>
  <w:style w:type="character" w:customStyle="1" w:styleId="20">
    <w:name w:val="biggerthanmax"/>
    <w:basedOn w:val="10"/>
    <w:qFormat/>
    <w:uiPriority w:val="0"/>
    <w:rPr>
      <w:shd w:val="clear" w:color="auto" w:fill="FFFF00"/>
    </w:rPr>
  </w:style>
  <w:style w:type="character" w:customStyle="1" w:styleId="21">
    <w:name w:val="cy"/>
    <w:basedOn w:val="10"/>
    <w:qFormat/>
    <w:uiPriority w:val="0"/>
  </w:style>
  <w:style w:type="character" w:customStyle="1" w:styleId="22">
    <w:name w:val="button"/>
    <w:basedOn w:val="10"/>
    <w:qFormat/>
    <w:uiPriority w:val="0"/>
  </w:style>
  <w:style w:type="character" w:customStyle="1" w:styleId="23">
    <w:name w:val="first-child"/>
    <w:basedOn w:val="10"/>
    <w:qFormat/>
    <w:uiPriority w:val="0"/>
  </w:style>
  <w:style w:type="character" w:customStyle="1" w:styleId="24">
    <w:name w:val="iconline2"/>
    <w:basedOn w:val="10"/>
    <w:qFormat/>
    <w:uiPriority w:val="0"/>
  </w:style>
  <w:style w:type="character" w:customStyle="1" w:styleId="25">
    <w:name w:val="iconline21"/>
    <w:basedOn w:val="10"/>
    <w:qFormat/>
    <w:uiPriority w:val="0"/>
  </w:style>
  <w:style w:type="character" w:customStyle="1" w:styleId="26">
    <w:name w:val="choosename"/>
    <w:basedOn w:val="10"/>
    <w:qFormat/>
    <w:uiPriority w:val="0"/>
  </w:style>
  <w:style w:type="character" w:customStyle="1" w:styleId="27">
    <w:name w:val="design_class"/>
    <w:basedOn w:val="10"/>
    <w:qFormat/>
    <w:uiPriority w:val="0"/>
  </w:style>
  <w:style w:type="character" w:customStyle="1" w:styleId="28">
    <w:name w:val="w32"/>
    <w:basedOn w:val="10"/>
    <w:qFormat/>
    <w:uiPriority w:val="0"/>
  </w:style>
  <w:style w:type="character" w:customStyle="1" w:styleId="29">
    <w:name w:val="icontext3"/>
    <w:basedOn w:val="10"/>
    <w:qFormat/>
    <w:uiPriority w:val="0"/>
  </w:style>
  <w:style w:type="character" w:customStyle="1" w:styleId="30">
    <w:name w:val="ico1654"/>
    <w:basedOn w:val="10"/>
    <w:qFormat/>
    <w:uiPriority w:val="0"/>
  </w:style>
  <w:style w:type="character" w:customStyle="1" w:styleId="31">
    <w:name w:val="xdrichtextbox"/>
    <w:basedOn w:val="10"/>
    <w:qFormat/>
    <w:uiPriority w:val="0"/>
    <w:rPr>
      <w:color w:val="auto"/>
      <w:u w:val="none"/>
      <w:bdr w:val="single" w:color="DCDCDC" w:sz="8" w:space="0"/>
      <w:shd w:val="clear" w:color="auto" w:fill="auto"/>
    </w:rPr>
  </w:style>
  <w:style w:type="character" w:customStyle="1" w:styleId="32">
    <w:name w:val="cdropright"/>
    <w:basedOn w:val="10"/>
    <w:qFormat/>
    <w:uiPriority w:val="0"/>
  </w:style>
  <w:style w:type="character" w:customStyle="1" w:styleId="33">
    <w:name w:val="tmpztreemove_arrow"/>
    <w:basedOn w:val="10"/>
    <w:qFormat/>
    <w:uiPriority w:val="0"/>
  </w:style>
  <w:style w:type="character" w:customStyle="1" w:styleId="34">
    <w:name w:val="icontext1"/>
    <w:basedOn w:val="10"/>
    <w:qFormat/>
    <w:uiPriority w:val="0"/>
  </w:style>
  <w:style w:type="character" w:customStyle="1" w:styleId="35">
    <w:name w:val="icontext11"/>
    <w:basedOn w:val="10"/>
    <w:qFormat/>
    <w:uiPriority w:val="0"/>
  </w:style>
  <w:style w:type="character" w:customStyle="1" w:styleId="36">
    <w:name w:val="icontext12"/>
    <w:basedOn w:val="10"/>
    <w:qFormat/>
    <w:uiPriority w:val="0"/>
  </w:style>
  <w:style w:type="character" w:customStyle="1" w:styleId="37">
    <w:name w:val="associateddata"/>
    <w:basedOn w:val="10"/>
    <w:qFormat/>
    <w:uiPriority w:val="0"/>
    <w:rPr>
      <w:shd w:val="clear" w:color="auto" w:fill="50A6F9"/>
    </w:rPr>
  </w:style>
  <w:style w:type="character" w:customStyle="1" w:styleId="38">
    <w:name w:val="pagechatarealistclose_box"/>
    <w:basedOn w:val="10"/>
    <w:qFormat/>
    <w:uiPriority w:val="0"/>
  </w:style>
  <w:style w:type="character" w:customStyle="1" w:styleId="39">
    <w:name w:val="pagechatarealistclose_box1"/>
    <w:basedOn w:val="10"/>
    <w:qFormat/>
    <w:uiPriority w:val="0"/>
  </w:style>
  <w:style w:type="character" w:customStyle="1" w:styleId="40">
    <w:name w:val="hover41"/>
    <w:basedOn w:val="10"/>
    <w:qFormat/>
    <w:uiPriority w:val="0"/>
    <w:rPr>
      <w:color w:val="FFFFFF"/>
    </w:rPr>
  </w:style>
  <w:style w:type="character" w:customStyle="1" w:styleId="41">
    <w:name w:val="after"/>
    <w:basedOn w:val="10"/>
    <w:qFormat/>
    <w:uiPriority w:val="0"/>
    <w:rPr>
      <w:sz w:val="0"/>
      <w:szCs w:val="0"/>
    </w:rPr>
  </w:style>
  <w:style w:type="character" w:customStyle="1" w:styleId="42">
    <w:name w:val="drapbtn"/>
    <w:basedOn w:val="10"/>
    <w:qFormat/>
    <w:uiPriority w:val="0"/>
  </w:style>
  <w:style w:type="character" w:customStyle="1" w:styleId="43">
    <w:name w:val="cdropleft"/>
    <w:basedOn w:val="10"/>
    <w:qFormat/>
    <w:uiPriority w:val="0"/>
  </w:style>
  <w:style w:type="character" w:customStyle="1" w:styleId="44">
    <w:name w:val="icontext2"/>
    <w:basedOn w:val="10"/>
    <w:qFormat/>
    <w:uiPriority w:val="0"/>
  </w:style>
  <w:style w:type="character" w:customStyle="1" w:styleId="45">
    <w:name w:val="active7"/>
    <w:basedOn w:val="10"/>
    <w:qFormat/>
    <w:uiPriority w:val="0"/>
    <w:rPr>
      <w:color w:val="00FF00"/>
      <w:shd w:val="clear" w:color="auto" w:fill="111111"/>
    </w:rPr>
  </w:style>
  <w:style w:type="character" w:customStyle="1" w:styleId="46">
    <w:name w:val="active8"/>
    <w:basedOn w:val="10"/>
    <w:qFormat/>
    <w:uiPriority w:val="0"/>
    <w:rPr>
      <w:shd w:val="clear" w:color="auto" w:fill="EC3535"/>
    </w:rPr>
  </w:style>
  <w:style w:type="character" w:customStyle="1" w:styleId="47">
    <w:name w:val="hilite6"/>
    <w:basedOn w:val="10"/>
    <w:qFormat/>
    <w:uiPriority w:val="0"/>
    <w:rPr>
      <w:color w:val="FFFFFF"/>
      <w:shd w:val="clear" w:color="auto" w:fill="666666"/>
    </w:rPr>
  </w:style>
  <w:style w:type="character" w:customStyle="1" w:styleId="48">
    <w:name w:val="layui-layer-tabnow"/>
    <w:basedOn w:val="10"/>
    <w:qFormat/>
    <w:uiPriority w:val="0"/>
    <w:rPr>
      <w:bdr w:val="single" w:color="CCCCCC" w:sz="6" w:space="0"/>
      <w:shd w:val="clear" w:color="auto" w:fill="FFFFFF"/>
    </w:rPr>
  </w:style>
  <w:style w:type="character" w:customStyle="1" w:styleId="49">
    <w:name w:val="edit_class"/>
    <w:basedOn w:val="10"/>
    <w:qFormat/>
    <w:uiPriority w:val="0"/>
  </w:style>
  <w:style w:type="character" w:customStyle="1" w:styleId="50">
    <w:name w:val="ico1655"/>
    <w:basedOn w:val="10"/>
    <w:qFormat/>
    <w:uiPriority w:val="0"/>
  </w:style>
  <w:style w:type="character" w:customStyle="1" w:styleId="51">
    <w:name w:val="hilite"/>
    <w:basedOn w:val="10"/>
    <w:qFormat/>
    <w:uiPriority w:val="0"/>
    <w:rPr>
      <w:color w:val="FFFFFF"/>
      <w:shd w:val="clear" w:color="auto" w:fill="666666"/>
    </w:rPr>
  </w:style>
  <w:style w:type="character" w:customStyle="1" w:styleId="52">
    <w:name w:val="active2"/>
    <w:basedOn w:val="10"/>
    <w:qFormat/>
    <w:uiPriority w:val="0"/>
    <w:rPr>
      <w:color w:val="00FF00"/>
      <w:shd w:val="clear" w:color="auto" w:fill="111111"/>
    </w:rPr>
  </w:style>
  <w:style w:type="character" w:customStyle="1" w:styleId="53">
    <w:name w:val="active3"/>
    <w:basedOn w:val="10"/>
    <w:qFormat/>
    <w:uiPriority w:val="0"/>
    <w:rPr>
      <w:shd w:val="clear" w:color="auto" w:fill="EC3535"/>
    </w:rPr>
  </w:style>
  <w:style w:type="character" w:customStyle="1" w:styleId="54">
    <w:name w:val="button4"/>
    <w:basedOn w:val="10"/>
    <w:qFormat/>
    <w:uiPriority w:val="0"/>
  </w:style>
  <w:style w:type="character" w:customStyle="1" w:styleId="55">
    <w:name w:val="hover40"/>
    <w:basedOn w:val="10"/>
    <w:qFormat/>
    <w:uiPriority w:val="0"/>
    <w:rPr>
      <w:color w:val="FFFFFF"/>
    </w:rPr>
  </w:style>
  <w:style w:type="character" w:customStyle="1" w:styleId="56">
    <w:name w:val="active5"/>
    <w:basedOn w:val="10"/>
    <w:qFormat/>
    <w:uiPriority w:val="0"/>
    <w:rPr>
      <w:color w:val="00FF00"/>
      <w:shd w:val="clear" w:color="auto" w:fill="111111"/>
    </w:rPr>
  </w:style>
  <w:style w:type="character" w:customStyle="1" w:styleId="57">
    <w:name w:val="active6"/>
    <w:basedOn w:val="10"/>
    <w:qFormat/>
    <w:uiPriority w:val="0"/>
    <w:rPr>
      <w:shd w:val="clear" w:color="auto" w:fill="EC3535"/>
    </w:rPr>
  </w:style>
  <w:style w:type="character" w:customStyle="1" w:styleId="58">
    <w:name w:val="xdrichtextbox4"/>
    <w:basedOn w:val="10"/>
    <w:qFormat/>
    <w:uiPriority w:val="0"/>
  </w:style>
  <w:style w:type="character" w:customStyle="1" w:styleId="59">
    <w:name w:val="hover35"/>
    <w:basedOn w:val="10"/>
    <w:qFormat/>
    <w:uiPriority w:val="0"/>
    <w:rPr>
      <w:color w:val="FFFFFF"/>
    </w:rPr>
  </w:style>
  <w:style w:type="character" w:customStyle="1" w:styleId="60">
    <w:name w:val="font61"/>
    <w:basedOn w:val="10"/>
    <w:qFormat/>
    <w:uiPriority w:val="0"/>
    <w:rPr>
      <w:rFonts w:hint="eastAsia" w:ascii="宋体" w:hAnsi="宋体" w:eastAsia="宋体" w:cs="宋体"/>
      <w:color w:val="000000"/>
      <w:sz w:val="24"/>
      <w:szCs w:val="24"/>
      <w:u w:val="none"/>
    </w:rPr>
  </w:style>
  <w:style w:type="paragraph" w:customStyle="1" w:styleId="61">
    <w:name w:val="Table Paragraph"/>
    <w:basedOn w:val="1"/>
    <w:qFormat/>
    <w:uiPriority w:val="1"/>
    <w:rPr>
      <w:rFonts w:ascii="宋体" w:hAnsi="宋体" w:cs="宋体"/>
      <w:lang w:val="zh-CN" w:bidi="zh-CN"/>
    </w:rPr>
  </w:style>
  <w:style w:type="paragraph" w:customStyle="1" w:styleId="62">
    <w:name w:val="标题一"/>
    <w:basedOn w:val="2"/>
    <w:qFormat/>
    <w:uiPriority w:val="0"/>
    <w:pPr>
      <w:spacing w:beforeLines="50" w:after="0" w:line="360" w:lineRule="auto"/>
      <w:jc w:val="center"/>
    </w:pPr>
    <w:rPr>
      <w:rFonts w:cs="宋体"/>
      <w:bCs w:val="0"/>
      <w:sz w:val="32"/>
      <w:szCs w:val="20"/>
    </w:rPr>
  </w:style>
  <w:style w:type="paragraph" w:customStyle="1" w:styleId="63">
    <w:name w:val="正文文本缩进1"/>
    <w:basedOn w:val="1"/>
    <w:qFormat/>
    <w:uiPriority w:val="99"/>
    <w:pPr>
      <w:ind w:firstLine="630"/>
    </w:pPr>
    <w:rPr>
      <w:rFonts w:eastAsia="仿宋_GB2312"/>
      <w:sz w:val="24"/>
    </w:rPr>
  </w:style>
  <w:style w:type="character" w:customStyle="1" w:styleId="64">
    <w:name w:val="active"/>
    <w:basedOn w:val="10"/>
    <w:qFormat/>
    <w:uiPriority w:val="0"/>
    <w:rPr>
      <w:color w:val="00FF00"/>
      <w:shd w:val="clear" w:color="auto" w:fill="111111"/>
    </w:rPr>
  </w:style>
  <w:style w:type="character" w:customStyle="1" w:styleId="65">
    <w:name w:val="active1"/>
    <w:basedOn w:val="10"/>
    <w:qFormat/>
    <w:uiPriority w:val="0"/>
    <w:rPr>
      <w:shd w:val="clear" w:color="auto" w:fill="EC3535"/>
    </w:rPr>
  </w:style>
  <w:style w:type="character" w:customStyle="1" w:styleId="66">
    <w:name w:val="ico1651"/>
    <w:basedOn w:val="10"/>
    <w:qFormat/>
    <w:uiPriority w:val="0"/>
  </w:style>
  <w:style w:type="character" w:customStyle="1" w:styleId="67">
    <w:name w:val="ico1652"/>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2444</Words>
  <Characters>13936</Characters>
  <Lines>116</Lines>
  <Paragraphs>32</Paragraphs>
  <TotalTime>6</TotalTime>
  <ScaleCrop>false</ScaleCrop>
  <LinksUpToDate>false</LinksUpToDate>
  <CharactersWithSpaces>16348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潘骏</cp:lastModifiedBy>
  <cp:lastPrinted>2021-03-18T04:40:00Z</cp:lastPrinted>
  <dcterms:modified xsi:type="dcterms:W3CDTF">2021-03-22T09:11:50Z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