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南部供热中心不间断电源UPS装置检维修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FHC-PTCG20210121001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color w:val="000000"/>
          <w:sz w:val="28"/>
          <w:szCs w:val="28"/>
          <w:lang w:eastAsia="zh-CN"/>
        </w:rPr>
      </w:pP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南部供热中心不间断电源UPS装置检维修</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FHC-PTCG20210121001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南部供热中心不间断电源UPS装置检维修</w:t>
      </w:r>
      <w:r>
        <w:rPr>
          <w:rFonts w:hint="eastAsia" w:asciiTheme="majorEastAsia" w:hAnsiTheme="majorEastAsia" w:eastAsiaTheme="majorEastAsia"/>
          <w:bCs/>
          <w:sz w:val="24"/>
          <w:szCs w:val="24"/>
          <w:lang w:eastAsia="zh-CN"/>
        </w:rPr>
        <w:t>项目</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比选项目简要说明：3台</w:t>
      </w:r>
      <w:r>
        <w:rPr>
          <w:rFonts w:hint="eastAsia" w:asciiTheme="majorEastAsia" w:hAnsiTheme="majorEastAsia" w:eastAsiaTheme="majorEastAsia"/>
          <w:sz w:val="24"/>
          <w:szCs w:val="24"/>
          <w:lang w:eastAsia="zh-CN"/>
        </w:rPr>
        <w:t xml:space="preserve">UPS装置检维修                    </w:t>
      </w:r>
    </w:p>
    <w:p>
      <w:pPr>
        <w:pStyle w:val="45"/>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30万元</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参选人须满足PCM品牌授权售后服务</w:t>
      </w:r>
      <w:r>
        <w:rPr>
          <w:rStyle w:val="80"/>
          <w:rFonts w:hint="eastAsia" w:asciiTheme="minorEastAsia" w:hAnsiTheme="minorEastAsia" w:eastAsiaTheme="minorEastAsia"/>
          <w:color w:val="000000"/>
          <w:sz w:val="24"/>
          <w:lang w:eastAsia="zh-CN"/>
        </w:rPr>
        <w:t>资质（提供相关证明）；</w:t>
      </w:r>
    </w:p>
    <w:p>
      <w:pPr>
        <w:pStyle w:val="45"/>
        <w:widowControl/>
        <w:autoSpaceDE/>
        <w:autoSpaceDN/>
        <w:spacing w:before="0" w:line="360" w:lineRule="auto"/>
        <w:ind w:left="832" w:firstLine="0"/>
        <w:jc w:val="both"/>
        <w:rPr>
          <w:rStyle w:val="80"/>
          <w:rFonts w:asciiTheme="minorEastAsia" w:hAnsiTheme="minorEastAsia" w:eastAsiaTheme="minorEastAsia"/>
          <w:color w:val="000000"/>
          <w:sz w:val="24"/>
          <w:lang w:eastAsia="zh-CN"/>
        </w:rPr>
      </w:pPr>
      <w:r>
        <w:rPr>
          <w:rFonts w:hint="eastAsia" w:asciiTheme="majorEastAsia" w:hAnsiTheme="majorEastAsia" w:eastAsiaTheme="majorEastAsia"/>
          <w:sz w:val="24"/>
          <w:szCs w:val="24"/>
          <w:lang w:eastAsia="zh-CN"/>
        </w:rPr>
        <w:t>3.</w:t>
      </w:r>
      <w:r>
        <w:rPr>
          <w:rStyle w:val="80"/>
          <w:rFonts w:hint="eastAsia" w:asciiTheme="minorEastAsia" w:hAnsiTheme="minorEastAsia" w:eastAsiaTheme="minorEastAsia"/>
          <w:color w:val="000000"/>
          <w:sz w:val="24"/>
          <w:lang w:eastAsia="zh-CN"/>
        </w:rPr>
        <w:t xml:space="preserve">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1192" w:leftChars="378" w:hanging="360" w:hangingChars="150"/>
        <w:jc w:val="both"/>
        <w:rPr>
          <w:rFonts w:asciiTheme="majorEastAsia" w:hAnsiTheme="majorEastAsia" w:eastAsiaTheme="majorEastAsia"/>
          <w:sz w:val="24"/>
          <w:szCs w:val="24"/>
          <w:lang w:eastAsia="zh-CN"/>
        </w:rPr>
      </w:pPr>
      <w:r>
        <w:rPr>
          <w:rStyle w:val="80"/>
          <w:rFonts w:hint="eastAsia" w:asciiTheme="minorEastAsia" w:hAnsiTheme="minorEastAsia" w:eastAsiaTheme="minorEastAsia"/>
          <w:color w:val="000000"/>
          <w:sz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本项目不接受联合体参选</w:t>
      </w:r>
      <w:r>
        <w:rPr>
          <w:rFonts w:hint="eastAsia"/>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公示之日起至2021年2月</w:t>
      </w:r>
      <w:r>
        <w:rPr>
          <w:rFonts w:hint="eastAsia" w:asciiTheme="majorEastAsia" w:hAnsiTheme="majorEastAsia" w:eastAsiaTheme="majorEastAsia"/>
          <w:sz w:val="24"/>
          <w:szCs w:val="24"/>
          <w:lang w:val="en-US" w:eastAsia="zh-CN"/>
        </w:rPr>
        <w:t>10</w:t>
      </w:r>
      <w:bookmarkStart w:id="13" w:name="_GoBack"/>
      <w:bookmarkEnd w:id="13"/>
      <w:r>
        <w:rPr>
          <w:rFonts w:hint="eastAsia" w:asciiTheme="majorEastAsia" w:hAnsiTheme="majorEastAsia" w:eastAsiaTheme="majorEastAsia"/>
          <w:sz w:val="24"/>
          <w:szCs w:val="24"/>
          <w:lang w:eastAsia="zh-CN"/>
        </w:rPr>
        <w:t>日17:00时（共计10天）</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autoSpaceDE/>
        <w:autoSpaceDN/>
        <w:spacing w:line="360" w:lineRule="auto"/>
        <w:ind w:left="1210" w:leftChars="5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邮件报名（须同时提交盖公章的法定代表人授权书、授权</w:t>
      </w:r>
      <w:r>
        <w:rPr>
          <w:rFonts w:asciiTheme="majorEastAsia" w:hAnsiTheme="majorEastAsia" w:eastAsiaTheme="majorEastAsia"/>
          <w:kern w:val="59"/>
          <w:sz w:val="24"/>
          <w:szCs w:val="24"/>
        </w:rPr>
        <w:t>资质证书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35"/>
          <w:rFonts w:hint="eastAsia" w:asciiTheme="majorEastAsia" w:hAnsiTheme="majorEastAsia" w:eastAsiaTheme="majorEastAsia"/>
          <w:bCs/>
          <w:sz w:val="24"/>
          <w:szCs w:val="24"/>
        </w:rPr>
        <w:t>hzji@fhcpec.com.cn</w:t>
      </w:r>
      <w:r>
        <w:rPr>
          <w:rStyle w:val="35"/>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递交截止时间：报名截止时间延后2天</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5"/>
          <w:rFonts w:asciiTheme="majorEastAsia" w:hAnsiTheme="majorEastAsia" w:eastAsiaTheme="majorEastAsia"/>
          <w:bCs/>
          <w:sz w:val="24"/>
          <w:szCs w:val="24"/>
        </w:rPr>
        <w:t>qlin@fhcpec.com.cn</w:t>
      </w:r>
      <w:r>
        <w:rPr>
          <w:rStyle w:val="35"/>
          <w:rFonts w:asciiTheme="majorEastAsia" w:hAnsiTheme="majorEastAsia" w:eastAsiaTheme="majorEastAsia"/>
          <w:bCs/>
          <w:sz w:val="24"/>
          <w:szCs w:val="24"/>
        </w:rPr>
        <w:fldChar w:fldCharType="end"/>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9"/>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tabs>
          <w:tab w:val="left" w:pos="1272"/>
        </w:tabs>
        <w:spacing w:line="360" w:lineRule="auto"/>
        <w:ind w:left="9"/>
        <w:jc w:val="center"/>
        <w:rPr>
          <w:sz w:val="24"/>
          <w:szCs w:val="24"/>
          <w:lang w:eastAsia="zh-CN"/>
        </w:rPr>
      </w:pPr>
      <w:r>
        <w:rPr>
          <w:rFonts w:hint="eastAsia"/>
          <w:sz w:val="24"/>
          <w:szCs w:val="24"/>
          <w:lang w:eastAsia="zh-CN"/>
        </w:rPr>
        <w:t>2021.2.1</w:t>
      </w:r>
    </w:p>
    <w:p>
      <w:pPr>
        <w:pStyle w:val="3"/>
        <w:tabs>
          <w:tab w:val="left" w:pos="1262"/>
        </w:tabs>
        <w:spacing w:line="355" w:lineRule="exact"/>
        <w:ind w:left="0" w:right="108"/>
        <w:jc w:val="center"/>
        <w:rPr>
          <w:lang w:eastAsia="zh-CN"/>
        </w:rPr>
        <w:sectPr>
          <w:pgSz w:w="11910" w:h="16840"/>
          <w:pgMar w:top="1134" w:right="851"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南部供热中心不间断电源UPS装置检维修</w:t>
      </w:r>
    </w:p>
    <w:p>
      <w:pPr>
        <w:pStyle w:val="14"/>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4"/>
        <w:spacing w:line="360" w:lineRule="auto"/>
        <w:ind w:right="121"/>
        <w:jc w:val="both"/>
        <w:rPr>
          <w:lang w:eastAsia="zh-CN"/>
        </w:rPr>
      </w:pPr>
      <w:r>
        <w:rPr>
          <w:rFonts w:hint="eastAsia"/>
          <w:lang w:eastAsia="zh-CN"/>
        </w:rPr>
        <w:t xml:space="preserve">    3.承包方式：固定总价包干</w:t>
      </w:r>
    </w:p>
    <w:p>
      <w:pPr>
        <w:pStyle w:val="14"/>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见附件1“技术规范书”</w:t>
      </w:r>
    </w:p>
    <w:p>
      <w:pPr>
        <w:pStyle w:val="14"/>
        <w:spacing w:line="360" w:lineRule="auto"/>
        <w:ind w:right="121" w:firstLine="480"/>
        <w:jc w:val="both"/>
        <w:rPr>
          <w:lang w:eastAsia="zh-CN"/>
        </w:rPr>
      </w:pPr>
      <w:r>
        <w:rPr>
          <w:lang w:eastAsia="zh-CN"/>
        </w:rPr>
        <w:t>5.</w:t>
      </w:r>
      <w:r>
        <w:rPr>
          <w:rFonts w:hint="eastAsia"/>
          <w:lang w:eastAsia="zh-CN"/>
        </w:rPr>
        <w:t>检修</w:t>
      </w:r>
      <w:r>
        <w:rPr>
          <w:lang w:eastAsia="zh-CN"/>
        </w:rPr>
        <w:t>期限</w:t>
      </w:r>
      <w:r>
        <w:rPr>
          <w:rFonts w:hint="eastAsia"/>
          <w:lang w:eastAsia="zh-CN"/>
        </w:rPr>
        <w:t>：20天</w:t>
      </w:r>
    </w:p>
    <w:p>
      <w:pPr>
        <w:pStyle w:val="14"/>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4"/>
        <w:spacing w:line="360" w:lineRule="auto"/>
        <w:ind w:right="121" w:firstLine="465"/>
        <w:jc w:val="both"/>
        <w:rPr>
          <w:lang w:eastAsia="zh-CN"/>
        </w:rPr>
      </w:pPr>
      <w:r>
        <w:rPr>
          <w:rFonts w:hint="eastAsia"/>
          <w:lang w:eastAsia="zh-CN"/>
        </w:rPr>
        <w:t>技术联系人：谭先生 0596-6311274 hhtan@fhcpec.com.cn</w:t>
      </w:r>
      <w:r>
        <w:rPr>
          <w:lang w:eastAsia="zh-CN"/>
        </w:rPr>
        <w:t xml:space="preserve"> </w:t>
      </w:r>
    </w:p>
    <w:p>
      <w:pPr>
        <w:pStyle w:val="14"/>
        <w:spacing w:line="360" w:lineRule="auto"/>
        <w:ind w:right="121" w:firstLine="465"/>
        <w:jc w:val="both"/>
        <w:rPr>
          <w:lang w:eastAsia="zh-CN"/>
        </w:rPr>
      </w:pPr>
      <w:r>
        <w:rPr>
          <w:rFonts w:hint="eastAsia"/>
          <w:lang w:eastAsia="zh-CN"/>
        </w:rPr>
        <w:t xml:space="preserve">商务联系人：纪先生 0596-6311823  </w:t>
      </w:r>
      <w:r>
        <w:fldChar w:fldCharType="begin"/>
      </w:r>
      <w:r>
        <w:instrText xml:space="preserve"> HYPERLINK "mailto:hzji@fhcpec.com.cn" </w:instrText>
      </w:r>
      <w:r>
        <w:fldChar w:fldCharType="separate"/>
      </w:r>
      <w:r>
        <w:rPr>
          <w:rStyle w:val="35"/>
          <w:rFonts w:hint="eastAsia"/>
          <w:lang w:eastAsia="zh-CN"/>
        </w:rPr>
        <w:t>hzji@fhcpec.com.cn</w:t>
      </w:r>
      <w:r>
        <w:rPr>
          <w:rStyle w:val="35"/>
          <w:rFonts w:hint="eastAsia"/>
          <w:lang w:eastAsia="zh-CN"/>
        </w:rPr>
        <w:fldChar w:fldCharType="end"/>
      </w:r>
    </w:p>
    <w:p>
      <w:pPr>
        <w:pStyle w:val="14"/>
        <w:spacing w:line="360" w:lineRule="auto"/>
        <w:ind w:right="121" w:firstLine="480"/>
        <w:jc w:val="both"/>
        <w:rPr>
          <w:b/>
          <w:lang w:eastAsia="zh-CN"/>
        </w:rPr>
      </w:pPr>
      <w:r>
        <w:rPr>
          <w:rFonts w:hint="eastAsia"/>
          <w:lang w:eastAsia="zh-CN"/>
        </w:rPr>
        <w:t>7.</w:t>
      </w:r>
      <w:r>
        <w:rPr>
          <w:lang w:eastAsia="zh-CN"/>
        </w:rPr>
        <w:t xml:space="preserve"> 报名方式：</w:t>
      </w:r>
    </w:p>
    <w:p>
      <w:pPr>
        <w:pStyle w:val="14"/>
        <w:spacing w:line="360" w:lineRule="auto"/>
        <w:ind w:right="121" w:firstLine="465"/>
        <w:jc w:val="both"/>
        <w:rPr>
          <w:lang w:eastAsia="zh-CN"/>
        </w:rPr>
      </w:pPr>
      <w:r>
        <w:rPr>
          <w:bCs/>
          <w:szCs w:val="21"/>
          <w:lang w:eastAsia="zh-CN"/>
        </w:rPr>
        <w:t>拟参加本项目的参选人需在公示报名时间期限内通过邮件形式向商务联系人进行报名，提供比选文件中</w:t>
      </w:r>
      <w:r>
        <w:rPr>
          <w:b/>
          <w:bCs/>
          <w:szCs w:val="21"/>
          <w:lang w:eastAsia="zh-CN"/>
        </w:rPr>
        <w:t>参选书和法定代表人授权书及营业执照</w:t>
      </w:r>
      <w:r>
        <w:rPr>
          <w:rFonts w:hint="eastAsia"/>
          <w:b/>
          <w:bCs/>
          <w:szCs w:val="21"/>
          <w:lang w:eastAsia="zh-CN"/>
        </w:rPr>
        <w:t>、资质证书等</w:t>
      </w:r>
      <w:r>
        <w:rPr>
          <w:bCs/>
          <w:szCs w:val="21"/>
          <w:lang w:eastAsia="zh-CN"/>
        </w:rPr>
        <w:t>扫描件</w:t>
      </w:r>
      <w:r>
        <w:rPr>
          <w:lang w:eastAsia="zh-CN"/>
        </w:rPr>
        <w:t>。</w:t>
      </w:r>
    </w:p>
    <w:p>
      <w:pPr>
        <w:pStyle w:val="3"/>
        <w:spacing w:before="18"/>
        <w:rPr>
          <w:lang w:eastAsia="zh-CN"/>
        </w:rPr>
      </w:pPr>
      <w:r>
        <w:rPr>
          <w:w w:val="95"/>
          <w:lang w:eastAsia="zh-CN"/>
        </w:rPr>
        <w:t>二、定义和解释</w:t>
      </w:r>
    </w:p>
    <w:p>
      <w:pPr>
        <w:pStyle w:val="14"/>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4"/>
        <w:spacing w:before="188"/>
        <w:ind w:left="598"/>
        <w:rPr>
          <w:lang w:eastAsia="zh-CN"/>
        </w:rPr>
      </w:pPr>
      <w:r>
        <w:rPr>
          <w:lang w:eastAsia="zh-CN"/>
        </w:rPr>
        <w:t>1.比选文件包括下列内容：</w:t>
      </w:r>
    </w:p>
    <w:p>
      <w:pPr>
        <w:pStyle w:val="14"/>
        <w:spacing w:before="105"/>
        <w:ind w:left="598"/>
        <w:rPr>
          <w:lang w:eastAsia="zh-CN"/>
        </w:rPr>
      </w:pPr>
      <w:r>
        <w:rPr>
          <w:lang w:eastAsia="zh-CN"/>
        </w:rPr>
        <w:t>比选公告、比选须知、项目内容、合同书格式、报价单、承诺函等。</w:t>
      </w:r>
    </w:p>
    <w:p>
      <w:pPr>
        <w:pStyle w:val="14"/>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4"/>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4"/>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before="27"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参选人须满足PCM品牌授权售后服务</w:t>
      </w:r>
      <w:r>
        <w:rPr>
          <w:rStyle w:val="80"/>
          <w:rFonts w:hint="eastAsia" w:asciiTheme="minorEastAsia" w:hAnsiTheme="minorEastAsia" w:eastAsiaTheme="minorEastAsia"/>
          <w:color w:val="000000"/>
          <w:sz w:val="24"/>
          <w:lang w:eastAsia="zh-CN"/>
        </w:rPr>
        <w:t>资质（提供相关证明）；</w:t>
      </w:r>
    </w:p>
    <w:p>
      <w:pPr>
        <w:widowControl/>
        <w:autoSpaceDE/>
        <w:autoSpaceDN/>
        <w:spacing w:line="360" w:lineRule="auto"/>
        <w:ind w:firstLine="480" w:firstLineChars="200"/>
        <w:jc w:val="both"/>
        <w:rPr>
          <w:rStyle w:val="80"/>
          <w:rFonts w:asciiTheme="minorEastAsia" w:hAnsiTheme="minorEastAsia" w:eastAsiaTheme="minorEastAsia"/>
          <w:color w:val="000000"/>
          <w:sz w:val="24"/>
          <w:lang w:eastAsia="zh-CN"/>
        </w:rPr>
      </w:pPr>
      <w:r>
        <w:rPr>
          <w:rFonts w:hint="eastAsia" w:asciiTheme="majorEastAsia" w:hAnsiTheme="majorEastAsia" w:eastAsiaTheme="majorEastAsia"/>
          <w:sz w:val="24"/>
          <w:szCs w:val="24"/>
          <w:lang w:eastAsia="zh-CN"/>
        </w:rPr>
        <w:t>3.</w:t>
      </w:r>
      <w:r>
        <w:rPr>
          <w:rStyle w:val="80"/>
          <w:rFonts w:hint="eastAsia" w:asciiTheme="minorEastAsia" w:hAnsiTheme="minorEastAsia" w:eastAsiaTheme="minorEastAsia"/>
          <w:color w:val="000000"/>
          <w:sz w:val="24"/>
          <w:lang w:eastAsia="zh-CN"/>
        </w:rPr>
        <w:t xml:space="preserve">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Style w:val="80"/>
          <w:rFonts w:hint="eastAsia" w:asciiTheme="minorEastAsia" w:hAnsiTheme="minorEastAsia" w:eastAsiaTheme="minorEastAsia"/>
          <w:color w:val="000000"/>
          <w:sz w:val="24"/>
          <w:lang w:eastAsia="zh-CN"/>
        </w:rPr>
        <w:t xml:space="preserve">4.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lang w:eastAsia="zh-CN"/>
        </w:rPr>
      </w:pPr>
      <w:r>
        <w:rPr>
          <w:rFonts w:hint="eastAsia" w:asciiTheme="majorEastAsia" w:hAnsiTheme="majorEastAsia" w:eastAsiaTheme="majorEastAsia"/>
          <w:sz w:val="24"/>
          <w:szCs w:val="24"/>
          <w:lang w:eastAsia="zh-CN"/>
        </w:rPr>
        <w:t>5. 本项目不接受联合体参选</w:t>
      </w:r>
      <w:r>
        <w:rPr>
          <w:rFonts w:hint="eastAsia"/>
          <w:sz w:val="24"/>
          <w:szCs w:val="24"/>
          <w:lang w:eastAsia="zh-CN"/>
        </w:rPr>
        <w:t>。</w:t>
      </w:r>
    </w:p>
    <w:p>
      <w:pPr>
        <w:pStyle w:val="3"/>
        <w:spacing w:line="360" w:lineRule="auto"/>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1、参选保证金的金额为：人民币叁仟元整（3000.00元）；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pStyle w:val="14"/>
        <w:spacing w:line="360" w:lineRule="auto"/>
        <w:ind w:left="-240" w:leftChars="-109" w:right="121" w:firstLine="840" w:firstLineChars="350"/>
        <w:jc w:val="both"/>
        <w:rPr>
          <w:lang w:eastAsia="zh-CN"/>
        </w:rPr>
      </w:pPr>
      <w:r>
        <w:rPr>
          <w:rFonts w:hint="eastAsia"/>
          <w:lang w:eastAsia="zh-CN"/>
        </w:rPr>
        <w:t>开户名称：腾龙芳烃（漳州）有限公司</w:t>
      </w:r>
    </w:p>
    <w:p>
      <w:pPr>
        <w:pStyle w:val="14"/>
        <w:spacing w:line="360" w:lineRule="auto"/>
        <w:ind w:left="-240" w:leftChars="-109" w:right="121" w:firstLine="840" w:firstLineChars="350"/>
        <w:jc w:val="both"/>
        <w:rPr>
          <w:lang w:eastAsia="zh-CN"/>
        </w:rPr>
      </w:pPr>
      <w:r>
        <w:rPr>
          <w:rFonts w:hint="eastAsia"/>
          <w:lang w:eastAsia="zh-CN"/>
        </w:rPr>
        <w:t>开户银行：兴业银行漳州古雷支行</w:t>
      </w:r>
    </w:p>
    <w:p>
      <w:pPr>
        <w:widowControl/>
        <w:autoSpaceDE/>
        <w:autoSpaceDN/>
        <w:spacing w:line="360" w:lineRule="auto"/>
        <w:ind w:firstLine="643" w:firstLineChars="268"/>
        <w:jc w:val="both"/>
        <w:rPr>
          <w:rFonts w:cs="Arial" w:asciiTheme="majorEastAsia" w:hAnsiTheme="majorEastAsia" w:eastAsiaTheme="majorEastAsia"/>
          <w:color w:val="333333"/>
          <w:sz w:val="24"/>
          <w:szCs w:val="24"/>
          <w:lang w:eastAsia="zh-CN"/>
        </w:rPr>
      </w:pPr>
      <w:r>
        <w:rPr>
          <w:rFonts w:hint="eastAsia"/>
          <w:sz w:val="24"/>
          <w:szCs w:val="24"/>
          <w:lang w:eastAsia="zh-CN"/>
        </w:rPr>
        <w:t>帐  号：162070100100021071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不间断电源UPS装置检维修项目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300000.00元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before="3" w:line="360" w:lineRule="auto"/>
        <w:rPr>
          <w:lang w:eastAsia="zh-CN"/>
        </w:rPr>
      </w:pPr>
    </w:p>
    <w:p>
      <w:pPr>
        <w:pStyle w:val="14"/>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4"/>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4"/>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4"/>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14"/>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4"/>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4"/>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4"/>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参选文件（包括PDF电子版U盘一个）。</w:t>
      </w:r>
    </w:p>
    <w:p>
      <w:pPr>
        <w:pStyle w:val="3"/>
        <w:spacing w:line="360" w:lineRule="auto"/>
        <w:ind w:left="0" w:firstLine="534" w:firstLineChars="200"/>
        <w:rPr>
          <w:lang w:eastAsia="zh-CN"/>
        </w:rPr>
      </w:pPr>
      <w:r>
        <w:rPr>
          <w:w w:val="95"/>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4"/>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30488651"/>
      <w:bookmarkStart w:id="3" w:name="_Toc304357904"/>
      <w:bookmarkStart w:id="4" w:name="_Toc430490619"/>
      <w:bookmarkStart w:id="5" w:name="_Toc415567504"/>
      <w:bookmarkStart w:id="6" w:name="_Toc430489126"/>
      <w:bookmarkStart w:id="7" w:name="_Toc430492133"/>
      <w:bookmarkStart w:id="8" w:name="_Toc177186249"/>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4"/>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4"/>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4"/>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4"/>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4"/>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30万元整（含税价）</w:t>
      </w:r>
      <w:r>
        <w:rPr>
          <w:rFonts w:hint="eastAsia"/>
          <w:lang w:eastAsia="zh-CN"/>
        </w:rPr>
        <w:t>。参选人所填报的报价高于本项目最高限价的，其参选将被比选小组予以否决。</w:t>
      </w:r>
    </w:p>
    <w:p>
      <w:pPr>
        <w:pStyle w:val="14"/>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4"/>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4"/>
        <w:spacing w:line="360" w:lineRule="auto"/>
        <w:ind w:right="121" w:firstLine="480" w:firstLineChars="200"/>
        <w:jc w:val="both"/>
        <w:rPr>
          <w:lang w:eastAsia="zh-CN"/>
        </w:rPr>
      </w:pPr>
      <w:r>
        <w:rPr>
          <w:lang w:eastAsia="zh-CN"/>
        </w:rPr>
        <w:t>2.参选文件存在重大偏差的。</w:t>
      </w:r>
    </w:p>
    <w:p>
      <w:pPr>
        <w:pStyle w:val="14"/>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4"/>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4"/>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4"/>
        <w:spacing w:line="360" w:lineRule="auto"/>
        <w:ind w:right="121" w:firstLine="480" w:firstLineChars="200"/>
        <w:jc w:val="both"/>
        <w:rPr>
          <w:lang w:eastAsia="zh-CN"/>
        </w:rPr>
      </w:pPr>
      <w:r>
        <w:rPr>
          <w:lang w:eastAsia="zh-CN"/>
        </w:rPr>
        <w:t>2.在开选时没有启封和读出的参选文件，在评选时将不予考虑。</w:t>
      </w:r>
    </w:p>
    <w:p>
      <w:pPr>
        <w:pStyle w:val="14"/>
        <w:spacing w:line="360" w:lineRule="auto"/>
        <w:ind w:right="121" w:firstLine="480" w:firstLineChars="200"/>
        <w:jc w:val="both"/>
        <w:rPr>
          <w:lang w:eastAsia="zh-CN"/>
        </w:rPr>
      </w:pPr>
      <w:r>
        <w:rPr>
          <w:lang w:eastAsia="zh-CN"/>
        </w:rPr>
        <w:t>3.比选人将做开选记录。</w:t>
      </w:r>
    </w:p>
    <w:p>
      <w:pPr>
        <w:pStyle w:val="14"/>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before="12"/>
        <w:rPr>
          <w:b/>
          <w:sz w:val="33"/>
          <w:lang w:eastAsia="zh-CN"/>
        </w:rPr>
      </w:pP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2"/>
          <w:rFonts w:hint="eastAsia"/>
          <w:sz w:val="24"/>
          <w:szCs w:val="24"/>
        </w:rPr>
        <w:t>福建福海创石油化工有限公司的权属子公司“腾龙芳烃（漳州）有限公司”作为合同执行主体，将于中选通知书发出之日起20个工作日内与中选人完成合同签订事宜。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before="12"/>
        <w:rPr>
          <w:b/>
          <w:sz w:val="33"/>
          <w:lang w:eastAsia="zh-CN"/>
        </w:rPr>
      </w:pP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南部供热中心不间断电源UPS装置检维修</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rPr>
          <w:b/>
          <w:sz w:val="28"/>
          <w:lang w:eastAsia="zh-CN"/>
        </w:rPr>
      </w:pPr>
    </w:p>
    <w:p>
      <w:pPr>
        <w:pStyle w:val="14"/>
        <w:spacing w:before="12" w:line="360" w:lineRule="auto"/>
        <w:rPr>
          <w:b/>
          <w:sz w:val="33"/>
          <w:lang w:eastAsia="zh-CN"/>
        </w:rPr>
      </w:pP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pStyle w:val="17"/>
        <w:spacing w:line="360" w:lineRule="auto"/>
        <w:jc w:val="center"/>
        <w:rPr>
          <w:rFonts w:hAnsi="宋体"/>
          <w:b/>
          <w:sz w:val="32"/>
          <w:szCs w:val="32"/>
          <w:lang w:eastAsia="zh-CN"/>
        </w:rPr>
      </w:pPr>
      <w:r>
        <w:rPr>
          <w:rFonts w:hint="eastAsia" w:hAnsi="宋体"/>
          <w:b/>
          <w:sz w:val="32"/>
          <w:szCs w:val="32"/>
          <w:lang w:eastAsia="zh-CN"/>
        </w:rPr>
        <w:t>腾龙芳烃（漳州）有限公司</w:t>
      </w:r>
    </w:p>
    <w:p>
      <w:pPr>
        <w:pStyle w:val="17"/>
        <w:spacing w:line="360" w:lineRule="auto"/>
        <w:jc w:val="center"/>
        <w:rPr>
          <w:rFonts w:hAnsi="宋体"/>
          <w:b/>
          <w:sz w:val="32"/>
          <w:szCs w:val="32"/>
          <w:lang w:eastAsia="zh-CN"/>
        </w:rPr>
      </w:pPr>
      <w:r>
        <w:rPr>
          <w:rFonts w:hint="eastAsia" w:hAnsi="宋体"/>
          <w:b/>
          <w:sz w:val="32"/>
          <w:szCs w:val="32"/>
          <w:lang w:eastAsia="zh-CN"/>
        </w:rPr>
        <w:t>南部供热中心不间断电源UPS装置检维修合同</w:t>
      </w:r>
    </w:p>
    <w:p>
      <w:pPr>
        <w:pStyle w:val="17"/>
        <w:spacing w:line="360" w:lineRule="auto"/>
        <w:rPr>
          <w:rFonts w:asciiTheme="majorEastAsia" w:hAnsiTheme="majorEastAsia" w:eastAsiaTheme="majorEastAsia"/>
          <w:sz w:val="24"/>
          <w:szCs w:val="24"/>
          <w:lang w:eastAsia="zh-CN"/>
        </w:rPr>
      </w:pPr>
      <w:r>
        <w:rPr>
          <w:rFonts w:hint="eastAsia" w:hAnsi="宋体"/>
          <w:lang w:eastAsia="zh-CN"/>
        </w:rPr>
        <w:t xml:space="preserve">                                                  </w:t>
      </w:r>
      <w:r>
        <w:rPr>
          <w:rFonts w:hint="eastAsia" w:asciiTheme="majorEastAsia" w:hAnsiTheme="majorEastAsia" w:eastAsiaTheme="majorEastAsia"/>
          <w:sz w:val="24"/>
          <w:szCs w:val="24"/>
          <w:lang w:eastAsia="zh-CN"/>
        </w:rPr>
        <w:t>合同编号：</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签订日期：</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委托方（甲方）</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lang w:eastAsia="zh-CN"/>
        </w:rPr>
        <w:t>腾龙芳烃（漳州）有限公司</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住  所  地：</w:t>
      </w:r>
      <w:r>
        <w:rPr>
          <w:rFonts w:hint="eastAsia" w:asciiTheme="majorEastAsia" w:hAnsiTheme="majorEastAsia" w:eastAsiaTheme="majorEastAsia"/>
          <w:sz w:val="24"/>
          <w:szCs w:val="24"/>
          <w:lang w:eastAsia="zh-CN"/>
        </w:rPr>
        <w:t>福建省漳州市漳浦县古雷开发区腾龙路84号</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法定代表人</w:t>
      </w:r>
      <w:r>
        <w:rPr>
          <w:rFonts w:hint="eastAsia" w:asciiTheme="majorEastAsia" w:hAnsiTheme="majorEastAsia" w:eastAsiaTheme="majorEastAsia"/>
          <w:sz w:val="24"/>
          <w:szCs w:val="24"/>
          <w:lang w:eastAsia="zh-CN"/>
        </w:rPr>
        <w:t>/委托代理人：</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项目联系人</w:t>
      </w:r>
      <w:r>
        <w:rPr>
          <w:rFonts w:hint="eastAsia" w:asciiTheme="majorEastAsia" w:hAnsiTheme="majorEastAsia" w:eastAsiaTheme="majorEastAsia"/>
          <w:sz w:val="24"/>
          <w:szCs w:val="24"/>
          <w:lang w:eastAsia="zh-CN"/>
        </w:rPr>
        <w:t>：谭海华</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通讯地址</w:t>
      </w:r>
      <w:r>
        <w:rPr>
          <w:rFonts w:hint="eastAsia" w:asciiTheme="majorEastAsia" w:hAnsiTheme="majorEastAsia" w:eastAsiaTheme="majorEastAsia"/>
          <w:sz w:val="24"/>
          <w:szCs w:val="24"/>
          <w:lang w:eastAsia="zh-CN"/>
        </w:rPr>
        <w:t>：福建省漳州市漳浦县古雷开发区腾龙路84号</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电    话</w:t>
      </w:r>
      <w:r>
        <w:rPr>
          <w:rFonts w:hint="eastAsia" w:asciiTheme="majorEastAsia" w:hAnsiTheme="majorEastAsia" w:eastAsiaTheme="majorEastAsia"/>
          <w:sz w:val="24"/>
          <w:szCs w:val="24"/>
          <w:lang w:eastAsia="zh-CN"/>
        </w:rPr>
        <w:t>：</w:t>
      </w:r>
      <w:r>
        <w:rPr>
          <w:rFonts w:hint="eastAsia" w:hAnsi="宋体"/>
          <w:sz w:val="24"/>
          <w:u w:val="single"/>
          <w:lang w:eastAsia="zh-CN"/>
        </w:rPr>
        <w:t>19959614219</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电子信箱</w:t>
      </w:r>
      <w:r>
        <w:rPr>
          <w:rFonts w:hint="eastAsia" w:asciiTheme="majorEastAsia" w:hAnsiTheme="majorEastAsia" w:eastAsiaTheme="majorEastAsia"/>
          <w:sz w:val="24"/>
          <w:szCs w:val="24"/>
          <w:lang w:eastAsia="zh-CN"/>
        </w:rPr>
        <w:t>： hhtan@fhcpec.com.cn</w:t>
      </w:r>
    </w:p>
    <w:p>
      <w:pPr>
        <w:pStyle w:val="17"/>
        <w:spacing w:line="360" w:lineRule="auto"/>
        <w:rPr>
          <w:rFonts w:asciiTheme="majorEastAsia" w:hAnsiTheme="majorEastAsia" w:eastAsiaTheme="majorEastAsia"/>
          <w:sz w:val="24"/>
          <w:szCs w:val="24"/>
          <w:lang w:eastAsia="zh-CN"/>
        </w:rPr>
      </w:pP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受托方（乙方）</w:t>
      </w:r>
      <w:r>
        <w:rPr>
          <w:rFonts w:hint="eastAsia" w:asciiTheme="majorEastAsia" w:hAnsiTheme="majorEastAsia" w:eastAsiaTheme="majorEastAsia"/>
          <w:sz w:val="24"/>
          <w:szCs w:val="24"/>
          <w:lang w:eastAsia="zh-CN"/>
        </w:rPr>
        <w:t>：</w:t>
      </w:r>
      <w:r>
        <w:rPr>
          <w:rFonts w:hint="eastAsia" w:hAnsi="宋体" w:cs="宋体"/>
          <w:sz w:val="24"/>
          <w:u w:val="single"/>
          <w:lang w:eastAsia="zh-CN"/>
        </w:rPr>
        <w:t xml:space="preserve">              </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住  所  地</w:t>
      </w:r>
      <w:r>
        <w:rPr>
          <w:rFonts w:hint="eastAsia"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eastAsia="zh-CN"/>
        </w:rPr>
        <w:t xml:space="preserve"> </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法定代表人</w:t>
      </w:r>
      <w:r>
        <w:rPr>
          <w:rFonts w:hint="eastAsia" w:asciiTheme="majorEastAsia" w:hAnsiTheme="majorEastAsia" w:eastAsiaTheme="majorEastAsia"/>
          <w:sz w:val="24"/>
          <w:szCs w:val="24"/>
          <w:lang w:eastAsia="zh-CN"/>
        </w:rPr>
        <w:t>/委托代理人：</w:t>
      </w:r>
      <w:r>
        <w:rPr>
          <w:rFonts w:asciiTheme="majorEastAsia" w:hAnsiTheme="majorEastAsia" w:eastAsiaTheme="majorEastAsia"/>
          <w:sz w:val="24"/>
          <w:szCs w:val="24"/>
          <w:lang w:eastAsia="zh-CN"/>
        </w:rPr>
        <w:t xml:space="preserve"> </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项目联系人：</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通讯地址</w:t>
      </w:r>
      <w:r>
        <w:rPr>
          <w:rFonts w:hint="eastAsia" w:asciiTheme="majorEastAsia" w:hAnsiTheme="majorEastAsia" w:eastAsiaTheme="majorEastAsia"/>
          <w:sz w:val="24"/>
          <w:szCs w:val="24"/>
          <w:lang w:eastAsia="zh-CN"/>
        </w:rPr>
        <w:t>：</w:t>
      </w:r>
      <w:r>
        <w:rPr>
          <w:rFonts w:asciiTheme="majorEastAsia" w:hAnsiTheme="majorEastAsia" w:eastAsiaTheme="majorEastAsia"/>
          <w:sz w:val="24"/>
          <w:szCs w:val="24"/>
          <w:lang w:eastAsia="zh-CN"/>
        </w:rPr>
        <w:t xml:space="preserve"> </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电    话</w:t>
      </w:r>
      <w:r>
        <w:rPr>
          <w:rFonts w:hint="eastAsia" w:asciiTheme="majorEastAsia" w:hAnsiTheme="majorEastAsia" w:eastAsiaTheme="majorEastAsia"/>
          <w:sz w:val="24"/>
          <w:szCs w:val="24"/>
          <w:lang w:eastAsia="zh-CN"/>
        </w:rPr>
        <w:t>：</w:t>
      </w:r>
    </w:p>
    <w:p>
      <w:pPr>
        <w:pStyle w:val="17"/>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电子信箱</w:t>
      </w:r>
      <w:r>
        <w:rPr>
          <w:rFonts w:hint="eastAsia" w:asciiTheme="majorEastAsia" w:hAnsiTheme="majorEastAsia" w:eastAsiaTheme="majorEastAsia"/>
          <w:sz w:val="24"/>
          <w:szCs w:val="24"/>
          <w:lang w:eastAsia="zh-CN"/>
        </w:rPr>
        <w:t>：</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w:t>
      </w:r>
      <w:r>
        <w:rPr>
          <w:rFonts w:hint="eastAsia" w:hAnsi="宋体" w:cs="宋体"/>
          <w:sz w:val="24"/>
          <w:lang w:eastAsia="zh-CN"/>
        </w:rPr>
        <w:t>本合同甲方委托乙方就</w:t>
      </w:r>
      <w:r>
        <w:rPr>
          <w:rFonts w:hAnsi="宋体" w:cs="宋体"/>
          <w:sz w:val="24"/>
          <w:lang w:eastAsia="zh-CN"/>
        </w:rPr>
        <w:t xml:space="preserve"> </w:t>
      </w:r>
      <w:r>
        <w:rPr>
          <w:rFonts w:hint="eastAsia" w:hAnsi="宋体" w:cs="宋体"/>
          <w:sz w:val="24"/>
          <w:u w:val="single"/>
          <w:lang w:eastAsia="zh-CN"/>
        </w:rPr>
        <w:t>腾龙芳烃（漳州）有限公司南部供热中心不间断电源UPS（3台套）检维修</w:t>
      </w:r>
      <w:r>
        <w:rPr>
          <w:rFonts w:hint="eastAsia" w:hAnsi="宋体" w:cs="宋体"/>
          <w:sz w:val="24"/>
          <w:lang w:eastAsia="zh-CN"/>
        </w:rPr>
        <w:t>项目进行有偿的设备维修技术服务，并支付相应的服务报酬。双方经过平等协商，在真实、充分地表达各自意愿的基础上，根据《中华人民共和国民典法》的规定，</w:t>
      </w:r>
      <w:r>
        <w:rPr>
          <w:rFonts w:hAnsi="宋体"/>
          <w:color w:val="000000"/>
          <w:sz w:val="24"/>
          <w:lang w:eastAsia="zh-CN"/>
        </w:rPr>
        <w:t>签订本合同，以便共同遵守。</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第一条　乙方进行技术检维修服务的内容、要求、方式：</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1.检维修服务内容：</w:t>
      </w:r>
      <w:r>
        <w:rPr>
          <w:rFonts w:hint="eastAsia" w:asciiTheme="majorEastAsia" w:hAnsiTheme="majorEastAsia" w:eastAsiaTheme="majorEastAsia"/>
          <w:sz w:val="24"/>
          <w:szCs w:val="24"/>
          <w:u w:val="single"/>
          <w:lang w:eastAsia="zh-CN"/>
        </w:rPr>
        <w:t xml:space="preserve"> 见附件1《UPS维修技术规范书》  </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2.检维修服务要求：</w:t>
      </w:r>
      <w:r>
        <w:rPr>
          <w:rFonts w:hint="eastAsia" w:asciiTheme="majorEastAsia" w:hAnsiTheme="majorEastAsia" w:eastAsiaTheme="majorEastAsia"/>
          <w:sz w:val="24"/>
          <w:szCs w:val="24"/>
          <w:u w:val="single"/>
          <w:lang w:eastAsia="zh-CN"/>
        </w:rPr>
        <w:t xml:space="preserve"> 见附件1《UPS维修技术规范书》  </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第二条 乙方按照下列要求进行本合同项目的技术检维修工作：</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1.检维修服务地点：</w:t>
      </w:r>
      <w:r>
        <w:rPr>
          <w:rFonts w:hint="eastAsia" w:asciiTheme="majorEastAsia" w:hAnsiTheme="majorEastAsia" w:eastAsiaTheme="majorEastAsia"/>
          <w:sz w:val="24"/>
          <w:szCs w:val="24"/>
          <w:u w:val="single"/>
          <w:lang w:eastAsia="zh-CN"/>
        </w:rPr>
        <w:t xml:space="preserve">  腾龙芳烃（漳州）有限公司热电厂   </w:t>
      </w:r>
    </w:p>
    <w:p>
      <w:pPr>
        <w:pStyle w:val="17"/>
        <w:spacing w:line="360" w:lineRule="auto"/>
        <w:ind w:left="72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2.检维修服务期限：</w:t>
      </w:r>
      <w:r>
        <w:rPr>
          <w:rFonts w:hint="eastAsia" w:asciiTheme="majorEastAsia" w:hAnsiTheme="majorEastAsia" w:eastAsiaTheme="majorEastAsia"/>
          <w:sz w:val="24"/>
          <w:szCs w:val="24"/>
          <w:u w:val="single"/>
          <w:lang w:eastAsia="zh-CN"/>
        </w:rPr>
        <w:t xml:space="preserve">  </w:t>
      </w:r>
      <w:r>
        <w:rPr>
          <w:rFonts w:hint="eastAsia" w:hAnsi="宋体" w:cs="宋体"/>
          <w:color w:val="000000"/>
          <w:sz w:val="24"/>
          <w:u w:val="single"/>
          <w:lang w:eastAsia="zh-CN"/>
        </w:rPr>
        <w:t>合同生效后20天内工作完成。</w:t>
      </w:r>
      <w:r>
        <w:rPr>
          <w:rFonts w:hint="eastAsia" w:asciiTheme="majorEastAsia" w:hAnsiTheme="majorEastAsia" w:eastAsiaTheme="majorEastAsia"/>
          <w:sz w:val="24"/>
          <w:szCs w:val="24"/>
          <w:u w:val="single"/>
          <w:lang w:eastAsia="zh-CN"/>
        </w:rPr>
        <w:t xml:space="preserve"> </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3.检维修服务进度：</w:t>
      </w:r>
      <w:r>
        <w:rPr>
          <w:rFonts w:hint="eastAsia" w:asciiTheme="majorEastAsia" w:hAnsiTheme="majorEastAsia" w:eastAsiaTheme="majorEastAsia"/>
          <w:sz w:val="24"/>
          <w:szCs w:val="24"/>
          <w:u w:val="single"/>
          <w:lang w:eastAsia="zh-CN"/>
        </w:rPr>
        <w:t xml:space="preserve">   同上   </w:t>
      </w:r>
    </w:p>
    <w:p>
      <w:pPr>
        <w:pStyle w:val="17"/>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4、技术检维修质量要求：</w:t>
      </w:r>
      <w:r>
        <w:rPr>
          <w:rFonts w:hint="eastAsia" w:asciiTheme="majorEastAsia" w:hAnsiTheme="majorEastAsia" w:eastAsiaTheme="majorEastAsia"/>
          <w:sz w:val="24"/>
          <w:szCs w:val="24"/>
          <w:u w:val="single"/>
          <w:lang w:eastAsia="zh-CN"/>
        </w:rPr>
        <w:t xml:space="preserve">见附件1《UPS维修技术规范书》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第三条 为保证乙方有效进行维修工作，甲方应当向乙方提供下列协作事项：</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提供技术资料：</w:t>
      </w:r>
      <w:r>
        <w:rPr>
          <w:rFonts w:hint="eastAsia" w:asciiTheme="majorEastAsia" w:hAnsiTheme="majorEastAsia" w:eastAsiaTheme="majorEastAsia"/>
          <w:sz w:val="24"/>
          <w:szCs w:val="24"/>
          <w:u w:val="single"/>
          <w:lang w:eastAsia="zh-CN"/>
        </w:rPr>
        <w:t xml:space="preserve">  制造厂资料图纸等   </w:t>
      </w:r>
      <w:r>
        <w:rPr>
          <w:rFonts w:hint="eastAsia" w:asciiTheme="majorEastAsia" w:hAnsiTheme="majorEastAsia" w:eastAsiaTheme="majorEastAsia"/>
          <w:sz w:val="24"/>
          <w:szCs w:val="24"/>
          <w:lang w:eastAsia="zh-CN"/>
        </w:rPr>
        <w:t xml:space="preserve">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提供工作条件：</w:t>
      </w:r>
      <w:r>
        <w:rPr>
          <w:rFonts w:hint="eastAsia" w:asciiTheme="majorEastAsia" w:hAnsiTheme="majorEastAsia" w:eastAsiaTheme="majorEastAsia"/>
          <w:sz w:val="24"/>
          <w:szCs w:val="24"/>
          <w:u w:val="single"/>
          <w:lang w:eastAsia="zh-CN"/>
        </w:rPr>
        <w:t xml:space="preserve">  负责办理入厂同行证、工作票等等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其他：</w:t>
      </w:r>
      <w:r>
        <w:rPr>
          <w:rFonts w:hint="eastAsia" w:asciiTheme="majorEastAsia" w:hAnsiTheme="majorEastAsia" w:eastAsiaTheme="majorEastAsia"/>
          <w:sz w:val="24"/>
          <w:szCs w:val="24"/>
          <w:u w:val="single"/>
          <w:lang w:eastAsia="zh-CN"/>
        </w:rPr>
        <w:t xml:space="preserve">   无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甲方提供上述协作事项的时间及方式：</w:t>
      </w:r>
      <w:r>
        <w:rPr>
          <w:rFonts w:hint="eastAsia" w:asciiTheme="majorEastAsia" w:hAnsiTheme="majorEastAsia" w:eastAsiaTheme="majorEastAsia"/>
          <w:sz w:val="24"/>
          <w:szCs w:val="24"/>
          <w:u w:val="single"/>
          <w:lang w:eastAsia="zh-CN"/>
        </w:rPr>
        <w:t xml:space="preserve">   甲方确定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第四条  </w:t>
      </w:r>
      <w:r>
        <w:rPr>
          <w:rFonts w:hint="eastAsia" w:hAnsi="宋体" w:cs="宋体"/>
          <w:color w:val="000000"/>
          <w:sz w:val="24"/>
          <w:lang w:eastAsia="zh-CN"/>
        </w:rPr>
        <w:t>费用结算方式和支付期限：</w:t>
      </w:r>
    </w:p>
    <w:tbl>
      <w:tblPr>
        <w:tblStyle w:val="29"/>
        <w:tblW w:w="919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2835"/>
        <w:gridCol w:w="851"/>
        <w:gridCol w:w="850"/>
        <w:gridCol w:w="1276"/>
        <w:gridCol w:w="1418"/>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Align w:val="center"/>
          </w:tcPr>
          <w:p>
            <w:pPr>
              <w:widowControl/>
              <w:spacing w:line="360" w:lineRule="auto"/>
              <w:jc w:val="center"/>
              <w:rPr>
                <w:color w:val="000000"/>
                <w:szCs w:val="21"/>
              </w:rPr>
            </w:pPr>
            <w:r>
              <w:rPr>
                <w:rFonts w:hint="eastAsia"/>
                <w:color w:val="000000"/>
                <w:szCs w:val="21"/>
              </w:rPr>
              <w:t>序号</w:t>
            </w:r>
          </w:p>
        </w:tc>
        <w:tc>
          <w:tcPr>
            <w:tcW w:w="2835" w:type="dxa"/>
            <w:vAlign w:val="center"/>
          </w:tcPr>
          <w:p>
            <w:pPr>
              <w:widowControl/>
              <w:spacing w:line="360" w:lineRule="auto"/>
              <w:jc w:val="center"/>
              <w:rPr>
                <w:color w:val="000000"/>
                <w:szCs w:val="21"/>
              </w:rPr>
            </w:pPr>
            <w:r>
              <w:rPr>
                <w:rFonts w:hint="eastAsia"/>
                <w:color w:val="000000"/>
                <w:szCs w:val="21"/>
              </w:rPr>
              <w:t>产品名称</w:t>
            </w:r>
          </w:p>
        </w:tc>
        <w:tc>
          <w:tcPr>
            <w:tcW w:w="851" w:type="dxa"/>
            <w:vAlign w:val="center"/>
          </w:tcPr>
          <w:p>
            <w:pPr>
              <w:widowControl/>
              <w:spacing w:line="360" w:lineRule="auto"/>
              <w:jc w:val="center"/>
              <w:rPr>
                <w:color w:val="000000"/>
                <w:szCs w:val="21"/>
                <w:lang w:eastAsia="zh-CN"/>
              </w:rPr>
            </w:pPr>
            <w:r>
              <w:rPr>
                <w:rFonts w:hint="eastAsia"/>
                <w:color w:val="000000"/>
                <w:szCs w:val="21"/>
                <w:lang w:eastAsia="zh-CN"/>
              </w:rPr>
              <w:t>容量</w:t>
            </w:r>
          </w:p>
        </w:tc>
        <w:tc>
          <w:tcPr>
            <w:tcW w:w="850" w:type="dxa"/>
            <w:vAlign w:val="center"/>
          </w:tcPr>
          <w:p>
            <w:pPr>
              <w:widowControl/>
              <w:spacing w:line="360" w:lineRule="auto"/>
              <w:jc w:val="center"/>
              <w:rPr>
                <w:color w:val="000000"/>
                <w:szCs w:val="21"/>
              </w:rPr>
            </w:pPr>
            <w:r>
              <w:rPr>
                <w:rFonts w:hint="eastAsia"/>
                <w:color w:val="000000"/>
                <w:szCs w:val="21"/>
              </w:rPr>
              <w:t>数量</w:t>
            </w:r>
          </w:p>
        </w:tc>
        <w:tc>
          <w:tcPr>
            <w:tcW w:w="1276" w:type="dxa"/>
            <w:vAlign w:val="center"/>
          </w:tcPr>
          <w:p>
            <w:pPr>
              <w:widowControl/>
              <w:spacing w:line="240" w:lineRule="atLeast"/>
              <w:jc w:val="center"/>
              <w:rPr>
                <w:color w:val="000000"/>
                <w:szCs w:val="21"/>
              </w:rPr>
            </w:pPr>
            <w:r>
              <w:rPr>
                <w:rFonts w:hint="eastAsia"/>
                <w:color w:val="000000"/>
                <w:szCs w:val="21"/>
              </w:rPr>
              <w:t>单价（元）</w:t>
            </w:r>
          </w:p>
        </w:tc>
        <w:tc>
          <w:tcPr>
            <w:tcW w:w="1418" w:type="dxa"/>
            <w:vAlign w:val="center"/>
          </w:tcPr>
          <w:p>
            <w:pPr>
              <w:widowControl/>
              <w:spacing w:line="360" w:lineRule="auto"/>
              <w:jc w:val="center"/>
              <w:rPr>
                <w:color w:val="000000"/>
                <w:szCs w:val="21"/>
              </w:rPr>
            </w:pPr>
            <w:r>
              <w:rPr>
                <w:rFonts w:hint="eastAsia"/>
                <w:color w:val="000000"/>
                <w:szCs w:val="21"/>
              </w:rPr>
              <w:t>金额（元）</w:t>
            </w:r>
          </w:p>
        </w:tc>
        <w:tc>
          <w:tcPr>
            <w:tcW w:w="1275" w:type="dxa"/>
            <w:vAlign w:val="center"/>
          </w:tcPr>
          <w:p>
            <w:pPr>
              <w:widowControl/>
              <w:spacing w:line="360" w:lineRule="auto"/>
              <w:jc w:val="center"/>
              <w:rPr>
                <w:color w:val="000000"/>
                <w:szCs w:val="21"/>
              </w:rPr>
            </w:pPr>
            <w:r>
              <w:rPr>
                <w:rFonts w:hint="eastAsia"/>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Align w:val="center"/>
          </w:tcPr>
          <w:p>
            <w:pPr>
              <w:widowControl/>
              <w:spacing w:line="360" w:lineRule="auto"/>
              <w:jc w:val="center"/>
              <w:rPr>
                <w:color w:val="000000"/>
                <w:szCs w:val="21"/>
              </w:rPr>
            </w:pPr>
            <w:r>
              <w:rPr>
                <w:rFonts w:hint="eastAsia"/>
                <w:color w:val="000000"/>
                <w:szCs w:val="21"/>
              </w:rPr>
              <w:t>1</w:t>
            </w:r>
          </w:p>
        </w:tc>
        <w:tc>
          <w:tcPr>
            <w:tcW w:w="2835" w:type="dxa"/>
            <w:vAlign w:val="center"/>
          </w:tcPr>
          <w:p>
            <w:pPr>
              <w:widowControl/>
              <w:spacing w:line="240" w:lineRule="atLeast"/>
              <w:jc w:val="center"/>
              <w:rPr>
                <w:color w:val="000000"/>
                <w:szCs w:val="21"/>
              </w:rPr>
            </w:pPr>
            <w:r>
              <w:rPr>
                <w:rFonts w:hint="eastAsia"/>
                <w:color w:val="000000"/>
                <w:szCs w:val="21"/>
              </w:rPr>
              <w:t>不间断电源UPS</w:t>
            </w:r>
          </w:p>
        </w:tc>
        <w:tc>
          <w:tcPr>
            <w:tcW w:w="851" w:type="dxa"/>
            <w:vAlign w:val="center"/>
          </w:tcPr>
          <w:p>
            <w:pPr>
              <w:widowControl/>
              <w:spacing w:line="360" w:lineRule="auto"/>
              <w:jc w:val="center"/>
              <w:rPr>
                <w:color w:val="000000"/>
                <w:szCs w:val="21"/>
              </w:rPr>
            </w:pPr>
            <w:r>
              <w:rPr>
                <w:rFonts w:hint="eastAsia"/>
                <w:color w:val="000000"/>
                <w:szCs w:val="21"/>
              </w:rPr>
              <w:t>80KVA</w:t>
            </w:r>
          </w:p>
        </w:tc>
        <w:tc>
          <w:tcPr>
            <w:tcW w:w="850" w:type="dxa"/>
            <w:vAlign w:val="center"/>
          </w:tcPr>
          <w:p>
            <w:pPr>
              <w:widowControl/>
              <w:spacing w:line="360" w:lineRule="auto"/>
              <w:jc w:val="center"/>
              <w:rPr>
                <w:color w:val="000000"/>
                <w:szCs w:val="21"/>
              </w:rPr>
            </w:pPr>
            <w:r>
              <w:rPr>
                <w:rFonts w:hint="eastAsia"/>
                <w:color w:val="000000"/>
                <w:szCs w:val="21"/>
                <w:lang w:eastAsia="zh-CN"/>
              </w:rPr>
              <w:t>3</w:t>
            </w:r>
            <w:r>
              <w:rPr>
                <w:rFonts w:hint="eastAsia"/>
                <w:color w:val="000000"/>
                <w:szCs w:val="21"/>
              </w:rPr>
              <w:t>台套</w:t>
            </w:r>
          </w:p>
        </w:tc>
        <w:tc>
          <w:tcPr>
            <w:tcW w:w="1276" w:type="dxa"/>
            <w:vAlign w:val="center"/>
          </w:tcPr>
          <w:p>
            <w:pPr>
              <w:widowControl/>
              <w:spacing w:line="360" w:lineRule="auto"/>
              <w:jc w:val="center"/>
              <w:rPr>
                <w:color w:val="000000"/>
                <w:szCs w:val="21"/>
              </w:rPr>
            </w:pPr>
          </w:p>
        </w:tc>
        <w:tc>
          <w:tcPr>
            <w:tcW w:w="1418" w:type="dxa"/>
            <w:vAlign w:val="center"/>
          </w:tcPr>
          <w:p>
            <w:pPr>
              <w:widowControl/>
              <w:spacing w:line="360" w:lineRule="auto"/>
              <w:jc w:val="center"/>
              <w:rPr>
                <w:color w:val="000000"/>
                <w:szCs w:val="21"/>
              </w:rPr>
            </w:pPr>
          </w:p>
        </w:tc>
        <w:tc>
          <w:tcPr>
            <w:tcW w:w="1275" w:type="dxa"/>
            <w:vAlign w:val="center"/>
          </w:tcPr>
          <w:p>
            <w:pPr>
              <w:widowControl/>
              <w:spacing w:line="360" w:lineRule="auto"/>
              <w:jc w:val="center"/>
              <w:rPr>
                <w:color w:val="000000"/>
                <w:szCs w:val="21"/>
              </w:rPr>
            </w:pPr>
            <w:r>
              <w:rPr>
                <w:rFonts w:hint="eastAsia"/>
                <w:color w:val="000000"/>
                <w:szCs w:val="21"/>
              </w:rPr>
              <w:t>PCM品牌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94" w:type="dxa"/>
            <w:vAlign w:val="center"/>
          </w:tcPr>
          <w:p>
            <w:pPr>
              <w:widowControl/>
              <w:spacing w:line="360" w:lineRule="auto"/>
              <w:jc w:val="center"/>
              <w:rPr>
                <w:color w:val="000000"/>
                <w:szCs w:val="21"/>
              </w:rPr>
            </w:pPr>
          </w:p>
        </w:tc>
        <w:tc>
          <w:tcPr>
            <w:tcW w:w="2835" w:type="dxa"/>
            <w:vAlign w:val="center"/>
          </w:tcPr>
          <w:p>
            <w:pPr>
              <w:widowControl/>
              <w:spacing w:line="240" w:lineRule="atLeast"/>
              <w:jc w:val="center"/>
              <w:rPr>
                <w:color w:val="000000"/>
                <w:szCs w:val="21"/>
              </w:rPr>
            </w:pPr>
          </w:p>
        </w:tc>
        <w:tc>
          <w:tcPr>
            <w:tcW w:w="851" w:type="dxa"/>
            <w:vAlign w:val="center"/>
          </w:tcPr>
          <w:p>
            <w:pPr>
              <w:widowControl/>
              <w:spacing w:line="360" w:lineRule="auto"/>
              <w:jc w:val="center"/>
              <w:rPr>
                <w:color w:val="000000"/>
                <w:szCs w:val="21"/>
              </w:rPr>
            </w:pPr>
          </w:p>
        </w:tc>
        <w:tc>
          <w:tcPr>
            <w:tcW w:w="850" w:type="dxa"/>
            <w:vAlign w:val="center"/>
          </w:tcPr>
          <w:p>
            <w:pPr>
              <w:widowControl/>
              <w:spacing w:line="360" w:lineRule="auto"/>
              <w:jc w:val="center"/>
              <w:rPr>
                <w:color w:val="000000"/>
                <w:szCs w:val="21"/>
              </w:rPr>
            </w:pPr>
          </w:p>
        </w:tc>
        <w:tc>
          <w:tcPr>
            <w:tcW w:w="1276" w:type="dxa"/>
            <w:vAlign w:val="center"/>
          </w:tcPr>
          <w:p>
            <w:pPr>
              <w:widowControl/>
              <w:spacing w:line="360" w:lineRule="auto"/>
              <w:jc w:val="center"/>
              <w:rPr>
                <w:color w:val="000000"/>
                <w:szCs w:val="21"/>
              </w:rPr>
            </w:pPr>
          </w:p>
        </w:tc>
        <w:tc>
          <w:tcPr>
            <w:tcW w:w="1418" w:type="dxa"/>
            <w:vAlign w:val="center"/>
          </w:tcPr>
          <w:p>
            <w:pPr>
              <w:widowControl/>
              <w:spacing w:line="360" w:lineRule="auto"/>
              <w:jc w:val="center"/>
              <w:rPr>
                <w:color w:val="000000"/>
                <w:szCs w:val="21"/>
              </w:rPr>
            </w:pPr>
          </w:p>
        </w:tc>
        <w:tc>
          <w:tcPr>
            <w:tcW w:w="1275" w:type="dxa"/>
            <w:vAlign w:val="center"/>
          </w:tcPr>
          <w:p>
            <w:pPr>
              <w:widowControl/>
              <w:spacing w:line="360" w:lineRule="auto"/>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6" w:type="dxa"/>
            <w:gridSpan w:val="5"/>
            <w:vAlign w:val="center"/>
          </w:tcPr>
          <w:p>
            <w:pPr>
              <w:widowControl/>
              <w:spacing w:line="360" w:lineRule="auto"/>
              <w:jc w:val="center"/>
              <w:rPr>
                <w:color w:val="000000"/>
                <w:szCs w:val="21"/>
                <w:lang w:eastAsia="zh-CN"/>
              </w:rPr>
            </w:pPr>
            <w:r>
              <w:rPr>
                <w:rFonts w:hint="eastAsia"/>
                <w:color w:val="000000"/>
                <w:szCs w:val="21"/>
                <w:lang w:eastAsia="zh-CN"/>
              </w:rPr>
              <w:t>合计：大写人民币</w:t>
            </w:r>
            <w:r>
              <w:rPr>
                <w:rFonts w:hint="eastAsia"/>
                <w:color w:val="000000"/>
                <w:szCs w:val="21"/>
                <w:u w:val="single"/>
                <w:lang w:eastAsia="zh-CN"/>
              </w:rPr>
              <w:t xml:space="preserve">       </w:t>
            </w:r>
            <w:r>
              <w:rPr>
                <w:rFonts w:hint="eastAsia"/>
                <w:color w:val="000000"/>
                <w:szCs w:val="21"/>
                <w:lang w:eastAsia="zh-CN"/>
              </w:rPr>
              <w:t>元整</w:t>
            </w:r>
          </w:p>
        </w:tc>
        <w:tc>
          <w:tcPr>
            <w:tcW w:w="2693" w:type="dxa"/>
            <w:gridSpan w:val="2"/>
            <w:vAlign w:val="center"/>
          </w:tcPr>
          <w:p>
            <w:pPr>
              <w:widowControl/>
              <w:spacing w:line="360" w:lineRule="auto"/>
              <w:jc w:val="center"/>
              <w:rPr>
                <w:color w:val="000000"/>
                <w:szCs w:val="21"/>
              </w:rPr>
            </w:pPr>
            <w:r>
              <w:rPr>
                <w:rFonts w:hint="eastAsia"/>
                <w:color w:val="000000"/>
                <w:szCs w:val="21"/>
              </w:rPr>
              <w:t>元</w:t>
            </w:r>
          </w:p>
        </w:tc>
      </w:tr>
    </w:tbl>
    <w:p>
      <w:pPr>
        <w:pStyle w:val="17"/>
        <w:spacing w:line="360" w:lineRule="auto"/>
        <w:ind w:firstLine="480" w:firstLineChars="200"/>
        <w:rPr>
          <w:rFonts w:asciiTheme="majorEastAsia" w:hAnsiTheme="majorEastAsia" w:eastAsiaTheme="majorEastAsia"/>
          <w:sz w:val="24"/>
          <w:szCs w:val="24"/>
          <w:lang w:eastAsia="zh-CN"/>
        </w:rPr>
      </w:pPr>
      <w:r>
        <w:rPr>
          <w:rFonts w:hint="eastAsia" w:hAnsi="宋体" w:cs="宋体"/>
          <w:color w:val="000000"/>
          <w:sz w:val="24"/>
          <w:lang w:eastAsia="zh-CN"/>
        </w:rPr>
        <w:t>本合同的UPS装置维修服务费为包干制，</w:t>
      </w:r>
      <w:r>
        <w:rPr>
          <w:rFonts w:hint="eastAsia" w:hAnsi="宋体"/>
          <w:sz w:val="24"/>
          <w:lang w:eastAsia="zh-CN"/>
        </w:rPr>
        <w:t>费用包括乙方工作涉及到的劳务费、管理费、工具费、劳保费、所有税费、各种保险、安全费用、利润、食宿费、加班费、办公费、配件费、运输费、耗材费及合同涉及到的所有风险、责任、义务等费用</w:t>
      </w:r>
      <w:r>
        <w:rPr>
          <w:rFonts w:hint="eastAsia" w:hAnsi="宋体" w:cs="宋体"/>
          <w:color w:val="000000"/>
          <w:sz w:val="24"/>
          <w:lang w:eastAsia="zh-CN"/>
        </w:rPr>
        <w:t>。乙方根据实际需要增加或者减少工程维修人员数量，本合同总价不变。</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本合同固定总价款为：</w:t>
      </w:r>
      <w:r>
        <w:rPr>
          <w:rFonts w:asciiTheme="majorEastAsia" w:hAnsiTheme="majorEastAsia" w:eastAsiaTheme="majorEastAsia"/>
          <w:sz w:val="24"/>
          <w:szCs w:val="24"/>
          <w:lang w:eastAsia="zh-CN"/>
        </w:rPr>
        <w:t>人民币</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元整 （含税</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付款方式：</w:t>
      </w:r>
    </w:p>
    <w:p>
      <w:pPr>
        <w:widowControl/>
        <w:spacing w:line="360" w:lineRule="auto"/>
        <w:rPr>
          <w:sz w:val="24"/>
          <w:lang w:eastAsia="zh-CN"/>
        </w:rPr>
      </w:pPr>
      <w:r>
        <w:rPr>
          <w:rFonts w:asciiTheme="majorEastAsia" w:hAnsiTheme="majorEastAsia" w:eastAsiaTheme="majorEastAsia"/>
          <w:sz w:val="24"/>
          <w:lang w:eastAsia="zh-CN"/>
        </w:rPr>
        <w:t xml:space="preserve"> </w:t>
      </w:r>
      <w:r>
        <w:rPr>
          <w:rFonts w:hint="eastAsia" w:asciiTheme="majorEastAsia" w:hAnsiTheme="majorEastAsia" w:eastAsiaTheme="majorEastAsia"/>
          <w:sz w:val="24"/>
          <w:lang w:eastAsia="zh-CN"/>
        </w:rPr>
        <w:t xml:space="preserve">  </w:t>
      </w:r>
      <w:r>
        <w:rPr>
          <w:rFonts w:hint="eastAsia"/>
          <w:sz w:val="24"/>
          <w:lang w:eastAsia="zh-CN"/>
        </w:rPr>
        <w:t>1）预付款：无；</w:t>
      </w:r>
    </w:p>
    <w:p>
      <w:pPr>
        <w:widowControl/>
        <w:spacing w:line="360" w:lineRule="auto"/>
        <w:ind w:firstLine="360" w:firstLineChars="150"/>
        <w:rPr>
          <w:sz w:val="24"/>
          <w:lang w:eastAsia="zh-CN"/>
        </w:rPr>
      </w:pPr>
      <w:r>
        <w:rPr>
          <w:rFonts w:hint="eastAsia"/>
          <w:sz w:val="24"/>
          <w:lang w:eastAsia="zh-CN"/>
        </w:rPr>
        <w:t>2）到货及验收款：配件等货到现场，维修服务工作完成经甲方验收合格后，甲方支付乙方本合同总价</w:t>
      </w:r>
      <w:r>
        <w:rPr>
          <w:rFonts w:hint="eastAsia"/>
          <w:sz w:val="24"/>
          <w:u w:val="single"/>
          <w:lang w:eastAsia="zh-CN"/>
        </w:rPr>
        <w:t>90%</w:t>
      </w:r>
      <w:r>
        <w:rPr>
          <w:rFonts w:hint="eastAsia"/>
          <w:sz w:val="24"/>
          <w:lang w:eastAsia="zh-CN"/>
        </w:rPr>
        <w:t>作为到货验收款（即</w:t>
      </w:r>
      <w:r>
        <w:rPr>
          <w:rFonts w:hint="eastAsia"/>
          <w:sz w:val="24"/>
          <w:u w:val="single"/>
          <w:lang w:eastAsia="zh-CN"/>
        </w:rPr>
        <w:t xml:space="preserve">￥      </w:t>
      </w:r>
      <w:r>
        <w:rPr>
          <w:rFonts w:hint="eastAsia"/>
          <w:sz w:val="24"/>
          <w:lang w:eastAsia="zh-CN"/>
        </w:rPr>
        <w:t>元）；</w:t>
      </w:r>
    </w:p>
    <w:p>
      <w:pPr>
        <w:widowControl/>
        <w:spacing w:line="360" w:lineRule="auto"/>
        <w:ind w:firstLine="360" w:firstLineChars="150"/>
        <w:rPr>
          <w:sz w:val="24"/>
          <w:lang w:eastAsia="zh-CN"/>
        </w:rPr>
      </w:pPr>
      <w:r>
        <w:rPr>
          <w:rFonts w:hint="eastAsia"/>
          <w:sz w:val="24"/>
          <w:lang w:eastAsia="zh-CN"/>
        </w:rPr>
        <w:t>3）质保款：合同总价</w:t>
      </w:r>
      <w:r>
        <w:rPr>
          <w:rFonts w:hint="eastAsia"/>
          <w:sz w:val="24"/>
          <w:u w:val="single"/>
          <w:lang w:eastAsia="zh-CN"/>
        </w:rPr>
        <w:t>10%</w:t>
      </w:r>
      <w:r>
        <w:rPr>
          <w:rFonts w:hint="eastAsia"/>
          <w:sz w:val="24"/>
          <w:lang w:eastAsia="zh-CN"/>
        </w:rPr>
        <w:t>作为质保款（即</w:t>
      </w:r>
      <w:r>
        <w:rPr>
          <w:rFonts w:hint="eastAsia"/>
          <w:sz w:val="24"/>
          <w:u w:val="single"/>
          <w:lang w:eastAsia="zh-CN"/>
        </w:rPr>
        <w:t xml:space="preserve">￥       </w:t>
      </w:r>
      <w:r>
        <w:rPr>
          <w:rFonts w:hint="eastAsia"/>
          <w:sz w:val="24"/>
          <w:lang w:eastAsia="zh-CN"/>
        </w:rPr>
        <w:t>元），质保期为1年，期满后无任何质量问题，甲方</w:t>
      </w:r>
      <w:r>
        <w:rPr>
          <w:rFonts w:hint="eastAsia"/>
          <w:sz w:val="24"/>
          <w:u w:val="single"/>
          <w:lang w:eastAsia="zh-CN"/>
        </w:rPr>
        <w:t>10</w:t>
      </w:r>
      <w:r>
        <w:rPr>
          <w:rFonts w:hint="eastAsia"/>
          <w:sz w:val="24"/>
          <w:lang w:eastAsia="zh-CN"/>
        </w:rPr>
        <w:t>天内支付给乙方；</w:t>
      </w:r>
    </w:p>
    <w:p>
      <w:pPr>
        <w:pStyle w:val="17"/>
        <w:spacing w:line="360" w:lineRule="auto"/>
        <w:ind w:firstLine="360" w:firstLineChars="150"/>
        <w:rPr>
          <w:rFonts w:asciiTheme="majorEastAsia" w:hAnsiTheme="majorEastAsia" w:eastAsiaTheme="majorEastAsia"/>
          <w:sz w:val="24"/>
          <w:szCs w:val="24"/>
          <w:lang w:eastAsia="zh-CN"/>
        </w:rPr>
      </w:pPr>
      <w:r>
        <w:rPr>
          <w:rFonts w:hint="eastAsia" w:hAnsi="宋体"/>
          <w:sz w:val="24"/>
          <w:lang w:eastAsia="zh-CN"/>
        </w:rPr>
        <w:t>4）</w:t>
      </w:r>
      <w:r>
        <w:rPr>
          <w:rFonts w:hint="eastAsia" w:asciiTheme="majorEastAsia" w:hAnsiTheme="majorEastAsia" w:eastAsiaTheme="majorEastAsia"/>
          <w:sz w:val="24"/>
          <w:lang w:eastAsia="zh-CN"/>
        </w:rPr>
        <w:t>乙方应在甲方付款前提供正式</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增值税专用发票，否则甲方有权顺延付款。</w:t>
      </w:r>
      <w:r>
        <w:rPr>
          <w:rFonts w:hint="eastAsia" w:hAnsi="宋体"/>
          <w:sz w:val="24"/>
          <w:lang w:eastAsia="zh-CN"/>
        </w:rPr>
        <w:t>所有支付的款项均以人民币支付, 付款方式为电汇或银行转账</w:t>
      </w:r>
      <w:r>
        <w:rPr>
          <w:rFonts w:hint="eastAsia" w:asciiTheme="majorEastAsia" w:hAnsiTheme="majorEastAsia" w:eastAsiaTheme="majorEastAsia"/>
          <w:sz w:val="24"/>
          <w:szCs w:val="24"/>
          <w:lang w:eastAsia="zh-CN"/>
        </w:rPr>
        <w:t>。</w:t>
      </w:r>
    </w:p>
    <w:p>
      <w:pPr>
        <w:pStyle w:val="17"/>
        <w:spacing w:line="360" w:lineRule="auto"/>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上述合同款项直接支付至乙方指定的下列账号：</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乙方开户银行：</w:t>
      </w:r>
      <w:r>
        <w:rPr>
          <w:rFonts w:hint="eastAsia" w:asciiTheme="majorEastAsia" w:hAnsiTheme="majorEastAsia" w:eastAsiaTheme="majorEastAsia"/>
          <w:sz w:val="24"/>
          <w:szCs w:val="24"/>
          <w:u w:val="single"/>
          <w:lang w:eastAsia="zh-CN"/>
        </w:rPr>
        <w:t xml:space="preserve">  </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公司名称：</w:t>
      </w:r>
      <w:r>
        <w:rPr>
          <w:rFonts w:hint="eastAsia" w:asciiTheme="majorEastAsia" w:hAnsiTheme="majorEastAsia" w:eastAsiaTheme="majorEastAsia"/>
          <w:sz w:val="24"/>
          <w:szCs w:val="24"/>
          <w:u w:val="single"/>
          <w:lang w:eastAsia="zh-CN"/>
        </w:rPr>
        <w:t xml:space="preserve">  </w:t>
      </w:r>
      <w:r>
        <w:rPr>
          <w:rFonts w:hint="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账    号：</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hint="eastAsia" w:asciiTheme="majorEastAsia" w:hAnsiTheme="majorEastAsia" w:eastAsiaTheme="majorEastAsia"/>
          <w:sz w:val="24"/>
          <w:lang w:eastAsia="zh-CN"/>
        </w:rPr>
        <w:t>说明：如未来国家税率变动，应在不含税金额的基础上以新税率调整含税金额后进行付款。</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第五条乙方的保密义务如下：</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1.保密内容：甲方提供的资料以及乙方在提供本合同约定服务过程中知悉的甲方技术信息、经营信息、生产工艺、操作流程等。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2.涉密人员范围：乙方及乙方工作人员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3.泄密责任：按本合同约定及国家有关保密法的规定执行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第六条 本合同的变更必须由双方协商一致，并以书面形式确定。</w:t>
      </w:r>
    </w:p>
    <w:p>
      <w:pPr>
        <w:pStyle w:val="17"/>
        <w:spacing w:line="360" w:lineRule="auto"/>
        <w:ind w:left="36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第七条 </w:t>
      </w:r>
      <w:r>
        <w:rPr>
          <w:rFonts w:hint="eastAsia" w:hAnsi="宋体" w:cs="宋体"/>
          <w:color w:val="000000"/>
          <w:sz w:val="24"/>
          <w:lang w:eastAsia="zh-CN"/>
        </w:rPr>
        <w:t>维修要求：</w:t>
      </w:r>
    </w:p>
    <w:p>
      <w:pPr>
        <w:widowControl/>
        <w:autoSpaceDE/>
        <w:autoSpaceDN/>
        <w:spacing w:line="360" w:lineRule="auto"/>
        <w:ind w:firstLine="480" w:firstLineChars="200"/>
        <w:jc w:val="both"/>
        <w:rPr>
          <w:color w:val="000000"/>
          <w:sz w:val="24"/>
          <w:u w:val="single"/>
          <w:lang w:eastAsia="zh-CN"/>
        </w:rPr>
      </w:pPr>
      <w:r>
        <w:rPr>
          <w:rFonts w:hint="eastAsia"/>
          <w:color w:val="000000"/>
          <w:sz w:val="24"/>
          <w:lang w:eastAsia="zh-CN"/>
        </w:rPr>
        <w:t>1、设备</w:t>
      </w:r>
      <w:r>
        <w:rPr>
          <w:color w:val="000000"/>
          <w:sz w:val="24"/>
          <w:lang w:eastAsia="zh-CN"/>
        </w:rPr>
        <w:t>维修方式、地点：</w:t>
      </w:r>
      <w:r>
        <w:rPr>
          <w:color w:val="000000"/>
          <w:sz w:val="24"/>
          <w:u w:val="single"/>
          <w:lang w:eastAsia="zh-CN"/>
        </w:rPr>
        <w:t>__</w:t>
      </w:r>
      <w:r>
        <w:rPr>
          <w:rFonts w:hint="eastAsia"/>
          <w:color w:val="000000"/>
          <w:sz w:val="24"/>
          <w:u w:val="single"/>
          <w:lang w:eastAsia="zh-CN"/>
        </w:rPr>
        <w:t xml:space="preserve">现场维修，腾龙芳烃（漳州）有限公司 </w:t>
      </w:r>
      <w:r>
        <w:rPr>
          <w:rFonts w:hint="eastAsia"/>
          <w:color w:val="000000"/>
          <w:sz w:val="24"/>
          <w:lang w:eastAsia="zh-CN"/>
        </w:rPr>
        <w:t xml:space="preserve"> ，乙</w:t>
      </w:r>
      <w:r>
        <w:rPr>
          <w:color w:val="000000"/>
          <w:sz w:val="24"/>
          <w:lang w:eastAsia="zh-CN"/>
        </w:rPr>
        <w:t>方</w:t>
      </w:r>
      <w:r>
        <w:rPr>
          <w:rFonts w:hint="eastAsia"/>
          <w:color w:val="000000"/>
          <w:sz w:val="24"/>
          <w:lang w:eastAsia="zh-CN"/>
        </w:rPr>
        <w:t>在甲方场内维修，合同生效后配件等货到现场，验收合格，乙方派人到现场技术服务，应在合同签订后</w:t>
      </w:r>
      <w:r>
        <w:rPr>
          <w:rFonts w:hint="eastAsia"/>
          <w:color w:val="000000"/>
          <w:sz w:val="24"/>
          <w:u w:val="single"/>
          <w:lang w:eastAsia="zh-CN"/>
        </w:rPr>
        <w:t>20天</w:t>
      </w:r>
      <w:r>
        <w:rPr>
          <w:rFonts w:hint="eastAsia"/>
          <w:color w:val="000000"/>
          <w:sz w:val="24"/>
          <w:lang w:eastAsia="zh-CN"/>
        </w:rPr>
        <w:t>内完成维修。</w:t>
      </w:r>
    </w:p>
    <w:p>
      <w:pPr>
        <w:adjustRightInd w:val="0"/>
        <w:snapToGrid w:val="0"/>
        <w:spacing w:afterLines="20" w:line="360" w:lineRule="auto"/>
        <w:ind w:firstLine="480" w:firstLineChars="200"/>
        <w:rPr>
          <w:rFonts w:hAnsi="仿宋_GB2312"/>
          <w:b/>
          <w:szCs w:val="21"/>
          <w:lang w:eastAsia="zh-CN"/>
        </w:rPr>
      </w:pPr>
      <w:r>
        <w:rPr>
          <w:rFonts w:hint="eastAsia"/>
          <w:color w:val="000000"/>
          <w:sz w:val="24"/>
          <w:lang w:eastAsia="zh-CN"/>
        </w:rPr>
        <w:t>2、</w:t>
      </w:r>
      <w:r>
        <w:rPr>
          <w:rFonts w:cs="Arial"/>
          <w:sz w:val="24"/>
          <w:lang w:eastAsia="zh-CN"/>
        </w:rPr>
        <w:t>修缮修理的质量要求、技术标准</w:t>
      </w:r>
      <w:r>
        <w:rPr>
          <w:rFonts w:hint="eastAsia" w:cs="Arial"/>
          <w:sz w:val="24"/>
          <w:lang w:eastAsia="zh-CN"/>
        </w:rPr>
        <w:t>：</w:t>
      </w:r>
      <w:r>
        <w:rPr>
          <w:rFonts w:hint="eastAsia"/>
          <w:sz w:val="24"/>
          <w:u w:val="single"/>
          <w:lang w:eastAsia="zh-CN"/>
        </w:rPr>
        <w:t>（1）消除故障，主备电源切换正常。（2）采样面板显示正常，采样输出信号正常。（3）各种反馈信号正常，相关数据正常。</w:t>
      </w:r>
    </w:p>
    <w:p>
      <w:pPr>
        <w:widowControl/>
        <w:spacing w:line="360" w:lineRule="auto"/>
        <w:ind w:firstLine="480" w:firstLineChars="200"/>
        <w:rPr>
          <w:rFonts w:cs="Arial"/>
          <w:sz w:val="24"/>
          <w:lang w:eastAsia="zh-CN"/>
        </w:rPr>
      </w:pPr>
      <w:r>
        <w:rPr>
          <w:rFonts w:hint="eastAsia" w:cs="Arial"/>
          <w:sz w:val="24"/>
          <w:lang w:eastAsia="zh-CN"/>
        </w:rPr>
        <w:t>3、</w:t>
      </w:r>
      <w:r>
        <w:rPr>
          <w:rFonts w:cs="Arial"/>
          <w:sz w:val="24"/>
          <w:lang w:eastAsia="zh-CN"/>
        </w:rPr>
        <w:t>验收标准及方法</w:t>
      </w:r>
      <w:r>
        <w:rPr>
          <w:rFonts w:hint="eastAsia" w:cs="Arial"/>
          <w:sz w:val="24"/>
          <w:lang w:eastAsia="zh-CN"/>
        </w:rPr>
        <w:t>：</w:t>
      </w:r>
      <w:r>
        <w:rPr>
          <w:rFonts w:hint="eastAsia" w:cs="Arial"/>
          <w:sz w:val="24"/>
          <w:u w:val="single"/>
          <w:lang w:eastAsia="zh-CN"/>
        </w:rPr>
        <w:t>具体见附件1</w:t>
      </w:r>
      <w:r>
        <w:rPr>
          <w:rFonts w:hint="eastAsia" w:asciiTheme="majorEastAsia" w:hAnsiTheme="majorEastAsia" w:eastAsiaTheme="majorEastAsia"/>
          <w:sz w:val="24"/>
          <w:szCs w:val="24"/>
          <w:u w:val="single"/>
          <w:lang w:eastAsia="zh-CN"/>
        </w:rPr>
        <w:t>《UPS维修技术规范书》</w:t>
      </w:r>
      <w:r>
        <w:rPr>
          <w:rFonts w:hint="eastAsia" w:cs="Arial"/>
          <w:sz w:val="24"/>
          <w:lang w:eastAsia="zh-CN"/>
        </w:rPr>
        <w:t>。如经验收与验收标准不符的，甲方可在验收后</w:t>
      </w:r>
      <w:r>
        <w:rPr>
          <w:rFonts w:hint="eastAsia" w:cs="Arial"/>
          <w:sz w:val="24"/>
          <w:u w:val="single"/>
          <w:lang w:eastAsia="zh-CN"/>
        </w:rPr>
        <w:t xml:space="preserve"> 5 </w:t>
      </w:r>
      <w:r>
        <w:rPr>
          <w:rFonts w:hint="eastAsia" w:cs="Arial"/>
          <w:sz w:val="24"/>
          <w:lang w:eastAsia="zh-CN"/>
        </w:rPr>
        <w:t>个工作日内提出书面异议。乙方收到书面异议后必须于</w:t>
      </w:r>
      <w:r>
        <w:rPr>
          <w:rFonts w:hint="eastAsia" w:cs="Arial"/>
          <w:sz w:val="24"/>
          <w:u w:val="single"/>
          <w:lang w:eastAsia="zh-CN"/>
        </w:rPr>
        <w:t xml:space="preserve"> 3 </w:t>
      </w:r>
      <w:r>
        <w:rPr>
          <w:rFonts w:hint="eastAsia" w:cs="Arial"/>
          <w:sz w:val="24"/>
          <w:lang w:eastAsia="zh-CN"/>
        </w:rPr>
        <w:t>个工作日内书面答复并负责处理，否则视为默认甲方提出的异议成立并同意甲方的处理意见，承担相应的法律责任。</w:t>
      </w:r>
    </w:p>
    <w:p>
      <w:pPr>
        <w:widowControl/>
        <w:spacing w:line="360" w:lineRule="auto"/>
        <w:ind w:firstLine="480" w:firstLineChars="200"/>
        <w:rPr>
          <w:rFonts w:asciiTheme="majorEastAsia" w:hAnsiTheme="majorEastAsia" w:eastAsiaTheme="majorEastAsia"/>
          <w:sz w:val="24"/>
          <w:u w:val="single"/>
          <w:lang w:eastAsia="zh-CN"/>
        </w:rPr>
      </w:pPr>
      <w:r>
        <w:rPr>
          <w:rFonts w:hint="eastAsia" w:asciiTheme="majorEastAsia" w:hAnsiTheme="majorEastAsia" w:eastAsiaTheme="majorEastAsia"/>
          <w:sz w:val="24"/>
          <w:lang w:eastAsia="zh-CN"/>
        </w:rPr>
        <w:t>验收地点：</w:t>
      </w:r>
      <w:r>
        <w:rPr>
          <w:rFonts w:hint="eastAsia" w:asciiTheme="majorEastAsia" w:hAnsiTheme="majorEastAsia" w:eastAsiaTheme="majorEastAsia"/>
          <w:sz w:val="24"/>
          <w:u w:val="single"/>
          <w:lang w:eastAsia="zh-CN"/>
        </w:rPr>
        <w:t xml:space="preserve">  腾龙芳烃（漳州）有限公司热电厂</w:t>
      </w:r>
      <w:r>
        <w:rPr>
          <w:rFonts w:asciiTheme="majorEastAsia" w:hAnsiTheme="majorEastAsia" w:eastAsiaTheme="majorEastAsia"/>
          <w:sz w:val="24"/>
          <w:u w:val="single"/>
          <w:lang w:eastAsia="zh-CN"/>
        </w:rPr>
        <w:t xml:space="preserve">   </w:t>
      </w:r>
    </w:p>
    <w:p>
      <w:pPr>
        <w:widowControl/>
        <w:spacing w:line="360" w:lineRule="auto"/>
        <w:ind w:firstLine="480" w:firstLineChars="200"/>
        <w:rPr>
          <w:rFonts w:cs="Arial"/>
          <w:sz w:val="24"/>
          <w:lang w:eastAsia="zh-CN"/>
        </w:rPr>
      </w:pPr>
      <w:r>
        <w:rPr>
          <w:rFonts w:hint="eastAsia" w:asciiTheme="majorEastAsia" w:hAnsiTheme="majorEastAsia" w:eastAsiaTheme="majorEastAsia"/>
          <w:sz w:val="24"/>
          <w:lang w:eastAsia="zh-CN"/>
        </w:rPr>
        <w:t>甲方的验收仅作为付款依据，不代表甲方对乙方工作成果的最终认可，乙方仍应对其维修服务承担质量保证责任。</w:t>
      </w:r>
    </w:p>
    <w:p>
      <w:pPr>
        <w:widowControl/>
        <w:spacing w:line="360" w:lineRule="auto"/>
        <w:ind w:firstLine="480" w:firstLineChars="200"/>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：乙方应当按照足以固定、保护好维修设备配件的措施包装，费用由乙方承担（已含在维修报价里）。若因乙方包装不善，造成维修设备损坏的，乙方应当照价赔偿。</w:t>
      </w:r>
    </w:p>
    <w:p>
      <w:pPr>
        <w:widowControl/>
        <w:spacing w:line="360" w:lineRule="auto"/>
        <w:ind w:firstLine="480" w:firstLineChars="200"/>
        <w:rPr>
          <w:rFonts w:cs="Arial"/>
          <w:sz w:val="24"/>
          <w:lang w:eastAsia="zh-CN"/>
        </w:rPr>
      </w:pPr>
      <w:r>
        <w:rPr>
          <w:rFonts w:hint="eastAsia"/>
          <w:sz w:val="24"/>
          <w:lang w:eastAsia="zh-CN"/>
        </w:rPr>
        <w:t>5、</w:t>
      </w:r>
      <w:r>
        <w:rPr>
          <w:rFonts w:cs="Arial"/>
          <w:sz w:val="24"/>
          <w:lang w:eastAsia="zh-CN"/>
        </w:rPr>
        <w:t>乙方</w:t>
      </w:r>
      <w:r>
        <w:rPr>
          <w:rFonts w:hint="eastAsia" w:cs="Arial"/>
          <w:sz w:val="24"/>
          <w:lang w:eastAsia="zh-CN"/>
        </w:rPr>
        <w:t>保证</w:t>
      </w:r>
      <w:r>
        <w:rPr>
          <w:rFonts w:cs="Arial"/>
          <w:sz w:val="24"/>
          <w:lang w:eastAsia="zh-CN"/>
        </w:rPr>
        <w:t>为甲方提供的更换部件为原装部件，如有特殊情况，乙方需在与甲方协商认同后更换与原部件应用功能与技术指标相近的部件。</w:t>
      </w:r>
    </w:p>
    <w:p>
      <w:pPr>
        <w:widowControl/>
        <w:spacing w:line="360" w:lineRule="auto"/>
        <w:ind w:firstLine="480" w:firstLineChars="200"/>
        <w:rPr>
          <w:rFonts w:cs="Arial"/>
          <w:sz w:val="24"/>
          <w:lang w:eastAsia="zh-CN"/>
        </w:rPr>
      </w:pPr>
      <w:r>
        <w:rPr>
          <w:rFonts w:hint="eastAsia"/>
          <w:sz w:val="24"/>
          <w:lang w:eastAsia="zh-CN"/>
        </w:rPr>
        <w:t>6</w:t>
      </w:r>
      <w:r>
        <w:rPr>
          <w:rFonts w:hint="eastAsia" w:cs="Arial"/>
          <w:sz w:val="24"/>
          <w:lang w:eastAsia="zh-CN"/>
        </w:rPr>
        <w:t>、</w:t>
      </w:r>
      <w:r>
        <w:rPr>
          <w:rFonts w:cs="Arial"/>
          <w:sz w:val="24"/>
          <w:lang w:eastAsia="zh-CN"/>
        </w:rPr>
        <w:t>乙方为甲方更换的部件</w:t>
      </w:r>
      <w:r>
        <w:rPr>
          <w:rFonts w:hint="eastAsia" w:cs="Arial"/>
          <w:sz w:val="24"/>
          <w:lang w:eastAsia="zh-CN"/>
        </w:rPr>
        <w:t>、配件</w:t>
      </w:r>
      <w:r>
        <w:rPr>
          <w:rFonts w:cs="Arial"/>
          <w:sz w:val="24"/>
          <w:lang w:eastAsia="zh-CN"/>
        </w:rPr>
        <w:t>在</w:t>
      </w:r>
      <w:r>
        <w:rPr>
          <w:rFonts w:hint="eastAsia" w:cs="Arial"/>
          <w:sz w:val="24"/>
          <w:lang w:eastAsia="zh-CN"/>
        </w:rPr>
        <w:t>上装到设备经甲方验收合格后</w:t>
      </w:r>
      <w:r>
        <w:rPr>
          <w:rFonts w:hint="eastAsia" w:cs="Arial"/>
          <w:sz w:val="24"/>
          <w:u w:val="single"/>
          <w:lang w:eastAsia="zh-CN"/>
        </w:rPr>
        <w:t xml:space="preserve"> 12 </w:t>
      </w:r>
      <w:r>
        <w:rPr>
          <w:rFonts w:cs="Arial"/>
          <w:sz w:val="24"/>
          <w:lang w:eastAsia="zh-CN"/>
        </w:rPr>
        <w:t>个月内损坏</w:t>
      </w:r>
      <w:r>
        <w:rPr>
          <w:rFonts w:hint="eastAsia" w:cs="Arial"/>
          <w:sz w:val="24"/>
          <w:lang w:eastAsia="zh-CN"/>
        </w:rPr>
        <w:t>的（非甲方原因）</w:t>
      </w:r>
      <w:r>
        <w:rPr>
          <w:rFonts w:cs="Arial"/>
          <w:sz w:val="24"/>
          <w:lang w:eastAsia="zh-CN"/>
        </w:rPr>
        <w:t>，乙方</w:t>
      </w:r>
      <w:r>
        <w:rPr>
          <w:rFonts w:hint="eastAsia" w:cs="Arial"/>
          <w:sz w:val="24"/>
          <w:lang w:eastAsia="zh-CN"/>
        </w:rPr>
        <w:t>须</w:t>
      </w:r>
      <w:r>
        <w:rPr>
          <w:rFonts w:cs="Arial"/>
          <w:sz w:val="24"/>
          <w:lang w:eastAsia="zh-CN"/>
        </w:rPr>
        <w:t>为甲方免费更换、维修</w:t>
      </w:r>
      <w:r>
        <w:rPr>
          <w:rFonts w:hint="eastAsia" w:cs="Arial"/>
          <w:sz w:val="24"/>
          <w:lang w:eastAsia="zh-CN"/>
        </w:rPr>
        <w:t>，且承担由此产生的费用</w:t>
      </w:r>
      <w:r>
        <w:rPr>
          <w:rFonts w:cs="Arial"/>
          <w:sz w:val="24"/>
          <w:lang w:eastAsia="zh-CN"/>
        </w:rPr>
        <w:t>。</w:t>
      </w:r>
    </w:p>
    <w:p>
      <w:pPr>
        <w:widowControl/>
        <w:spacing w:line="360" w:lineRule="auto"/>
        <w:ind w:firstLine="480" w:firstLineChars="200"/>
        <w:rPr>
          <w:sz w:val="24"/>
          <w:lang w:eastAsia="zh-CN"/>
        </w:rPr>
      </w:pPr>
      <w:r>
        <w:rPr>
          <w:rFonts w:hint="eastAsia" w:cs="Arial"/>
          <w:sz w:val="24"/>
          <w:lang w:eastAsia="zh-CN"/>
        </w:rPr>
        <w:t>7</w:t>
      </w:r>
      <w:r>
        <w:rPr>
          <w:rFonts w:cs="Arial"/>
          <w:sz w:val="24"/>
          <w:lang w:eastAsia="zh-CN"/>
        </w:rPr>
        <w:t>．</w:t>
      </w:r>
      <w:r>
        <w:rPr>
          <w:rFonts w:hint="eastAsia" w:cs="Arial"/>
          <w:sz w:val="24"/>
          <w:lang w:eastAsia="zh-CN"/>
        </w:rPr>
        <w:t>乙方因维修设备所发生伙食费、差旅费、高速费、过桥费等均由其自行承担，乙方已在报价时给予综合考虑。</w:t>
      </w:r>
    </w:p>
    <w:p>
      <w:pPr>
        <w:widowControl/>
        <w:spacing w:line="360" w:lineRule="auto"/>
        <w:ind w:firstLine="480" w:firstLineChars="200"/>
        <w:rPr>
          <w:rFonts w:cs="Arial"/>
          <w:sz w:val="24"/>
          <w:lang w:eastAsia="zh-CN"/>
        </w:rPr>
      </w:pPr>
      <w:r>
        <w:rPr>
          <w:rFonts w:hint="eastAsia" w:cs="Arial"/>
          <w:sz w:val="24"/>
          <w:lang w:eastAsia="zh-CN"/>
        </w:rPr>
        <w:t>8</w:t>
      </w:r>
      <w:r>
        <w:rPr>
          <w:rFonts w:cs="Arial"/>
          <w:sz w:val="24"/>
          <w:lang w:eastAsia="zh-CN"/>
        </w:rPr>
        <w:t>、</w:t>
      </w:r>
      <w:r>
        <w:rPr>
          <w:rFonts w:hint="eastAsia" w:cs="Arial"/>
          <w:sz w:val="24"/>
          <w:lang w:eastAsia="zh-CN"/>
        </w:rPr>
        <w:t>维修过程中所产生的废料归甲方所有，乙方应于设备修复送达甲方时将废料一并送还甲方。</w:t>
      </w:r>
    </w:p>
    <w:p>
      <w:pPr>
        <w:spacing w:line="360" w:lineRule="auto"/>
        <w:ind w:firstLine="480" w:firstLineChars="200"/>
        <w:rPr>
          <w:sz w:val="24"/>
          <w:lang w:eastAsia="zh-CN"/>
        </w:rPr>
      </w:pPr>
      <w:r>
        <w:rPr>
          <w:rFonts w:hint="eastAsia" w:cs="Arial"/>
          <w:sz w:val="24"/>
          <w:lang w:eastAsia="zh-CN"/>
        </w:rPr>
        <w:t>9、</w:t>
      </w:r>
      <w:r>
        <w:rPr>
          <w:rFonts w:hint="eastAsia"/>
          <w:sz w:val="24"/>
          <w:lang w:eastAsia="zh-CN"/>
        </w:rPr>
        <w:t>甲方技术联系人</w:t>
      </w:r>
      <w:r>
        <w:rPr>
          <w:rFonts w:hint="eastAsia"/>
          <w:sz w:val="24"/>
          <w:u w:val="single"/>
          <w:lang w:eastAsia="zh-CN"/>
        </w:rPr>
        <w:t xml:space="preserve"> 谭海华 </w:t>
      </w:r>
      <w:r>
        <w:rPr>
          <w:sz w:val="24"/>
          <w:lang w:val="zh-CN" w:eastAsia="zh-CN"/>
        </w:rPr>
        <w:t>联系方式</w:t>
      </w:r>
      <w:r>
        <w:rPr>
          <w:rFonts w:hint="eastAsia"/>
          <w:sz w:val="24"/>
          <w:lang w:val="zh-CN" w:eastAsia="zh-CN"/>
        </w:rPr>
        <w:t>为</w:t>
      </w:r>
      <w:r>
        <w:rPr>
          <w:rFonts w:hint="eastAsia"/>
          <w:sz w:val="24"/>
          <w:lang w:eastAsia="zh-CN"/>
        </w:rPr>
        <w:t>：</w:t>
      </w:r>
      <w:r>
        <w:rPr>
          <w:rFonts w:hint="eastAsia"/>
          <w:sz w:val="24"/>
          <w:u w:val="single"/>
          <w:lang w:eastAsia="zh-CN"/>
        </w:rPr>
        <w:t>19959614219</w:t>
      </w:r>
      <w:r>
        <w:rPr>
          <w:rFonts w:hint="eastAsia"/>
          <w:sz w:val="24"/>
          <w:lang w:eastAsia="zh-CN"/>
        </w:rPr>
        <w:t>,</w:t>
      </w:r>
      <w:r>
        <w:rPr>
          <w:rFonts w:hint="eastAsia"/>
          <w:sz w:val="24"/>
          <w:lang w:val="zh-CN" w:eastAsia="zh-CN"/>
        </w:rPr>
        <w:t xml:space="preserve"> </w:t>
      </w:r>
      <w:r>
        <w:rPr>
          <w:sz w:val="24"/>
          <w:lang w:val="zh-CN" w:eastAsia="zh-CN"/>
        </w:rPr>
        <w:t>邮箱</w:t>
      </w:r>
      <w:r>
        <w:rPr>
          <w:rFonts w:hint="eastAsia"/>
          <w:sz w:val="24"/>
          <w:lang w:val="zh-CN" w:eastAsia="zh-CN"/>
        </w:rPr>
        <w:t>：</w:t>
      </w:r>
      <w:r>
        <w:fldChar w:fldCharType="begin"/>
      </w:r>
      <w:r>
        <w:instrText xml:space="preserve"> HYPERLINK "mailto:hhtan@fhcpec.com.cn" </w:instrText>
      </w:r>
      <w:r>
        <w:fldChar w:fldCharType="separate"/>
      </w:r>
      <w:r>
        <w:rPr>
          <w:rStyle w:val="35"/>
          <w:rFonts w:hint="eastAsia"/>
          <w:sz w:val="24"/>
          <w:lang w:eastAsia="zh-CN"/>
        </w:rPr>
        <w:t>hhtan</w:t>
      </w:r>
      <w:r>
        <w:rPr>
          <w:rStyle w:val="35"/>
          <w:sz w:val="24"/>
          <w:lang w:eastAsia="zh-CN"/>
        </w:rPr>
        <w:t>@</w:t>
      </w:r>
      <w:r>
        <w:rPr>
          <w:rStyle w:val="35"/>
          <w:rFonts w:hint="eastAsia"/>
          <w:sz w:val="24"/>
          <w:lang w:eastAsia="zh-CN"/>
        </w:rPr>
        <w:t>fhcpec</w:t>
      </w:r>
      <w:r>
        <w:rPr>
          <w:rStyle w:val="35"/>
          <w:sz w:val="24"/>
          <w:lang w:eastAsia="zh-CN"/>
        </w:rPr>
        <w:t>.com.cn</w:t>
      </w:r>
      <w:r>
        <w:rPr>
          <w:rStyle w:val="35"/>
          <w:sz w:val="24"/>
          <w:lang w:eastAsia="zh-CN"/>
        </w:rPr>
        <w:fldChar w:fldCharType="end"/>
      </w:r>
      <w:r>
        <w:rPr>
          <w:rFonts w:hint="eastAsia"/>
          <w:sz w:val="24"/>
          <w:lang w:eastAsia="zh-CN"/>
        </w:rPr>
        <w:t>。</w:t>
      </w:r>
    </w:p>
    <w:p>
      <w:pPr>
        <w:pStyle w:val="17"/>
        <w:spacing w:line="360" w:lineRule="auto"/>
        <w:ind w:firstLine="480" w:firstLineChars="200"/>
        <w:rPr>
          <w:rFonts w:asciiTheme="majorEastAsia" w:hAnsiTheme="majorEastAsia" w:eastAsiaTheme="majorEastAsia"/>
          <w:sz w:val="24"/>
          <w:szCs w:val="24"/>
          <w:lang w:eastAsia="zh-CN"/>
        </w:rPr>
      </w:pPr>
      <w:r>
        <w:rPr>
          <w:rFonts w:hAnsi="宋体" w:cs="宋体"/>
          <w:sz w:val="24"/>
          <w:lang w:val="zh-CN" w:eastAsia="zh-CN"/>
        </w:rPr>
        <w:t>乙</w:t>
      </w:r>
      <w:r>
        <w:rPr>
          <w:rFonts w:hint="eastAsia" w:hAnsi="宋体"/>
          <w:sz w:val="24"/>
          <w:lang w:eastAsia="zh-CN"/>
        </w:rPr>
        <w:t>方联系人</w:t>
      </w:r>
      <w:r>
        <w:rPr>
          <w:rFonts w:hint="eastAsia" w:hAnsi="宋体"/>
          <w:sz w:val="24"/>
          <w:u w:val="single"/>
          <w:lang w:eastAsia="zh-CN"/>
        </w:rPr>
        <w:t xml:space="preserve">     </w:t>
      </w:r>
      <w:r>
        <w:rPr>
          <w:rFonts w:hAnsi="宋体"/>
          <w:sz w:val="24"/>
          <w:lang w:eastAsia="zh-CN"/>
        </w:rPr>
        <w:t>，</w:t>
      </w:r>
      <w:r>
        <w:rPr>
          <w:rFonts w:hAnsi="宋体" w:cs="宋体"/>
          <w:sz w:val="24"/>
          <w:lang w:val="zh-CN" w:eastAsia="zh-CN"/>
        </w:rPr>
        <w:t>联系方式</w:t>
      </w:r>
      <w:r>
        <w:rPr>
          <w:rFonts w:hint="eastAsia" w:hAnsi="宋体" w:cs="宋体"/>
          <w:sz w:val="24"/>
          <w:lang w:val="zh-CN" w:eastAsia="zh-CN"/>
        </w:rPr>
        <w:t>为</w:t>
      </w:r>
      <w:r>
        <w:rPr>
          <w:rFonts w:hint="eastAsia" w:hAnsi="宋体" w:cs="宋体"/>
          <w:sz w:val="24"/>
          <w:lang w:eastAsia="zh-CN"/>
        </w:rPr>
        <w:t>：</w:t>
      </w:r>
      <w:r>
        <w:rPr>
          <w:rFonts w:hint="eastAsia" w:hAnsi="宋体" w:cs="宋体"/>
          <w:sz w:val="24"/>
          <w:u w:val="single"/>
          <w:lang w:eastAsia="zh-CN"/>
        </w:rPr>
        <w:t xml:space="preserve">     </w:t>
      </w:r>
      <w:r>
        <w:rPr>
          <w:rFonts w:hint="eastAsia" w:hAnsi="宋体"/>
          <w:sz w:val="24"/>
          <w:lang w:eastAsia="zh-CN"/>
        </w:rPr>
        <w:t>，</w:t>
      </w:r>
      <w:r>
        <w:rPr>
          <w:rFonts w:hAnsi="宋体" w:cs="宋体"/>
          <w:sz w:val="24"/>
          <w:lang w:val="zh-CN" w:eastAsia="zh-CN"/>
        </w:rPr>
        <w:t>邮箱</w:t>
      </w:r>
      <w:r>
        <w:rPr>
          <w:rFonts w:hint="eastAsia" w:hAnsi="宋体" w:cs="宋体"/>
          <w:sz w:val="24"/>
          <w:lang w:val="zh-CN" w:eastAsia="zh-CN"/>
        </w:rPr>
        <w:t>：</w:t>
      </w:r>
      <w:r>
        <w:rPr>
          <w:rFonts w:hint="eastAsia" w:hAnsi="宋体" w:cs="Arial"/>
          <w:sz w:val="24"/>
          <w:u w:val="single"/>
          <w:lang w:eastAsia="zh-CN"/>
        </w:rPr>
        <w:t xml:space="preserve">     </w:t>
      </w:r>
      <w:r>
        <w:rPr>
          <w:rFonts w:hint="eastAsia" w:hAnsi="宋体"/>
          <w:sz w:val="24"/>
          <w:lang w:eastAsia="zh-CN"/>
        </w:rPr>
        <w:t>。</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项目联系人承担以下责任：</w:t>
      </w:r>
    </w:p>
    <w:p>
      <w:pPr>
        <w:pStyle w:val="17"/>
        <w:spacing w:line="360" w:lineRule="auto"/>
        <w:ind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sz w:val="24"/>
          <w:szCs w:val="24"/>
          <w:u w:val="single"/>
          <w:lang w:eastAsia="zh-CN"/>
        </w:rPr>
        <w:t xml:space="preserve">  </w:t>
      </w:r>
      <w:r>
        <w:rPr>
          <w:rFonts w:hint="eastAsia" w:cs="宋体" w:asciiTheme="majorEastAsia" w:hAnsiTheme="majorEastAsia" w:eastAsiaTheme="majorEastAsia"/>
          <w:sz w:val="24"/>
          <w:szCs w:val="24"/>
          <w:u w:val="single"/>
          <w:lang w:eastAsia="zh-CN"/>
        </w:rPr>
        <w:t>联系具体项目进度并实施</w:t>
      </w:r>
      <w:r>
        <w:rPr>
          <w:rFonts w:asciiTheme="majorEastAsia" w:hAnsiTheme="majorEastAsia" w:eastAsiaTheme="majorEastAsia"/>
          <w:sz w:val="24"/>
          <w:szCs w:val="24"/>
          <w:u w:val="single"/>
          <w:lang w:eastAsia="zh-CN"/>
        </w:rPr>
        <w:t xml:space="preserve">     </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一方变更项目联系人的，应当及时以书面形式通知另一方。未及时通知并影响本合同履行或造成损失的，应承担相应的责任。</w:t>
      </w:r>
    </w:p>
    <w:p>
      <w:pPr>
        <w:pStyle w:val="17"/>
        <w:spacing w:line="360" w:lineRule="auto"/>
        <w:ind w:firstLine="480" w:firstLineChars="200"/>
        <w:rPr>
          <w:rFonts w:hAnsi="宋体" w:cs="宋体"/>
          <w:color w:val="000000"/>
          <w:sz w:val="24"/>
          <w:lang w:eastAsia="zh-CN"/>
        </w:rPr>
      </w:pPr>
      <w:r>
        <w:rPr>
          <w:rFonts w:hint="eastAsia" w:asciiTheme="majorEastAsia" w:hAnsiTheme="majorEastAsia" w:eastAsiaTheme="majorEastAsia"/>
          <w:sz w:val="24"/>
          <w:szCs w:val="24"/>
          <w:lang w:eastAsia="zh-CN"/>
        </w:rPr>
        <w:t>10、</w:t>
      </w:r>
      <w:r>
        <w:rPr>
          <w:rFonts w:hAnsi="宋体" w:cs="宋体"/>
          <w:color w:val="000000"/>
          <w:sz w:val="24"/>
          <w:lang w:eastAsia="zh-CN"/>
        </w:rPr>
        <w:t>设备修复后，对于该设备的故障，</w:t>
      </w:r>
      <w:r>
        <w:rPr>
          <w:rFonts w:hint="eastAsia" w:hAnsi="宋体" w:cs="宋体"/>
          <w:color w:val="000000"/>
          <w:sz w:val="24"/>
          <w:lang w:eastAsia="zh-CN"/>
        </w:rPr>
        <w:t>乙</w:t>
      </w:r>
      <w:r>
        <w:rPr>
          <w:rFonts w:hAnsi="宋体" w:cs="宋体"/>
          <w:color w:val="000000"/>
          <w:sz w:val="24"/>
          <w:lang w:eastAsia="zh-CN"/>
        </w:rPr>
        <w:t>方提供</w:t>
      </w:r>
      <w:r>
        <w:rPr>
          <w:rFonts w:hint="eastAsia" w:hAnsi="宋体" w:cs="宋体"/>
          <w:color w:val="000000"/>
          <w:sz w:val="24"/>
          <w:u w:val="single"/>
          <w:lang w:eastAsia="zh-CN"/>
        </w:rPr>
        <w:t xml:space="preserve"> 12 </w:t>
      </w:r>
      <w:r>
        <w:rPr>
          <w:rFonts w:hAnsi="宋体" w:cs="宋体"/>
          <w:color w:val="000000"/>
          <w:sz w:val="24"/>
          <w:lang w:eastAsia="zh-CN"/>
        </w:rPr>
        <w:t>个月的</w:t>
      </w:r>
      <w:r>
        <w:rPr>
          <w:rFonts w:hint="eastAsia" w:hAnsi="宋体" w:cs="宋体"/>
          <w:color w:val="000000"/>
          <w:sz w:val="24"/>
          <w:lang w:eastAsia="zh-CN"/>
        </w:rPr>
        <w:t>免费</w:t>
      </w:r>
      <w:r>
        <w:rPr>
          <w:rFonts w:hAnsi="宋体" w:cs="宋体"/>
          <w:color w:val="000000"/>
          <w:sz w:val="24"/>
          <w:lang w:eastAsia="zh-CN"/>
        </w:rPr>
        <w:t>保修</w:t>
      </w:r>
      <w:r>
        <w:rPr>
          <w:rFonts w:hint="eastAsia" w:hAnsi="宋体" w:cs="宋体"/>
          <w:color w:val="000000"/>
          <w:sz w:val="24"/>
          <w:lang w:eastAsia="zh-CN"/>
        </w:rPr>
        <w:t>，自验收合格之日起起算。</w:t>
      </w:r>
    </w:p>
    <w:p>
      <w:pPr>
        <w:pStyle w:val="17"/>
        <w:spacing w:line="360" w:lineRule="auto"/>
        <w:ind w:firstLine="480" w:firstLineChars="200"/>
        <w:rPr>
          <w:rFonts w:asciiTheme="majorEastAsia" w:hAnsiTheme="majorEastAsia" w:eastAsiaTheme="majorEastAsia"/>
          <w:sz w:val="24"/>
          <w:szCs w:val="24"/>
          <w:lang w:eastAsia="zh-CN"/>
        </w:rPr>
      </w:pPr>
      <w:r>
        <w:rPr>
          <w:rFonts w:hint="eastAsia" w:hAnsi="宋体" w:cs="宋体"/>
          <w:color w:val="000000"/>
          <w:sz w:val="24"/>
          <w:lang w:eastAsia="zh-CN"/>
        </w:rPr>
        <w:t>11、需场外维修的设备，设备从离开甲方到修复送达甲方期间，设备的损坏灭失的风险由乙方承担，并向甲方承担损失赔偿责任。</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第八条  违约责任</w:t>
      </w:r>
    </w:p>
    <w:p>
      <w:pPr>
        <w:spacing w:line="360" w:lineRule="auto"/>
        <w:ind w:firstLine="480" w:firstLineChars="200"/>
        <w:rPr>
          <w:color w:val="000000"/>
          <w:sz w:val="24"/>
          <w:lang w:eastAsia="zh-CN"/>
        </w:rPr>
      </w:pPr>
      <w:r>
        <w:rPr>
          <w:color w:val="000000"/>
          <w:sz w:val="24"/>
          <w:lang w:eastAsia="zh-CN"/>
        </w:rPr>
        <w:t>1</w:t>
      </w:r>
      <w:r>
        <w:rPr>
          <w:rFonts w:hint="eastAsia"/>
          <w:color w:val="000000"/>
          <w:sz w:val="24"/>
          <w:lang w:eastAsia="zh-CN"/>
        </w:rPr>
        <w:t>、乙方逾期修复需维修设备的，每逾期一日应缴纳合同总金额的</w:t>
      </w:r>
      <w:r>
        <w:rPr>
          <w:rFonts w:hint="eastAsia"/>
          <w:color w:val="000000"/>
          <w:sz w:val="24"/>
          <w:u w:val="single"/>
          <w:lang w:eastAsia="zh-CN"/>
        </w:rPr>
        <w:t xml:space="preserve">0.1 </w:t>
      </w:r>
      <w:r>
        <w:rPr>
          <w:rFonts w:hint="eastAsia"/>
          <w:color w:val="000000"/>
          <w:sz w:val="24"/>
          <w:lang w:eastAsia="zh-CN"/>
        </w:rPr>
        <w:t>%作为逾期违约金，违约金从尾款款里直接扣除。</w:t>
      </w:r>
    </w:p>
    <w:p>
      <w:pPr>
        <w:spacing w:line="360" w:lineRule="auto"/>
        <w:ind w:left="48" w:leftChars="22" w:firstLine="480" w:firstLineChars="200"/>
        <w:rPr>
          <w:color w:val="000000"/>
          <w:sz w:val="24"/>
          <w:lang w:eastAsia="zh-CN"/>
        </w:rPr>
      </w:pPr>
      <w:r>
        <w:rPr>
          <w:color w:val="000000"/>
          <w:sz w:val="24"/>
          <w:lang w:eastAsia="zh-CN"/>
        </w:rPr>
        <w:t>2</w:t>
      </w:r>
      <w:r>
        <w:rPr>
          <w:rFonts w:hint="eastAsia"/>
          <w:color w:val="000000"/>
          <w:sz w:val="24"/>
          <w:lang w:eastAsia="zh-CN"/>
        </w:rPr>
        <w:t>、乙方所交付的修复后的设备如不符合本合同约定的，按照本合同第七条第3项有关约定处理，且甲方无需支付相应维修费。如因此造成逾期，按照本条第1项承担违约责任。</w:t>
      </w:r>
    </w:p>
    <w:p>
      <w:pPr>
        <w:spacing w:line="360" w:lineRule="auto"/>
        <w:ind w:firstLine="480" w:firstLineChars="200"/>
        <w:rPr>
          <w:color w:val="000000"/>
          <w:sz w:val="24"/>
          <w:lang w:eastAsia="zh-CN"/>
        </w:rPr>
      </w:pPr>
      <w:r>
        <w:rPr>
          <w:rFonts w:hint="eastAsia"/>
          <w:color w:val="000000"/>
          <w:sz w:val="24"/>
          <w:lang w:eastAsia="zh-CN"/>
        </w:rPr>
        <w:t>3、任何一方无正当理由单方解约的，视同违约，违约一方应按合同总金额的</w:t>
      </w:r>
      <w:r>
        <w:rPr>
          <w:rFonts w:hint="eastAsia"/>
          <w:color w:val="000000"/>
          <w:sz w:val="24"/>
          <w:u w:val="single"/>
          <w:lang w:eastAsia="zh-CN"/>
        </w:rPr>
        <w:t>2</w:t>
      </w:r>
      <w:r>
        <w:rPr>
          <w:color w:val="000000"/>
          <w:sz w:val="24"/>
          <w:u w:val="single"/>
          <w:lang w:eastAsia="zh-CN"/>
        </w:rPr>
        <w:t>0%</w:t>
      </w:r>
      <w:r>
        <w:rPr>
          <w:rFonts w:hint="eastAsia"/>
          <w:color w:val="000000"/>
          <w:sz w:val="24"/>
          <w:lang w:eastAsia="zh-CN"/>
        </w:rPr>
        <w:t>向另一方偿付违约金及赔偿对方因此产生的损失。</w:t>
      </w:r>
    </w:p>
    <w:p>
      <w:pPr>
        <w:spacing w:line="360" w:lineRule="auto"/>
        <w:ind w:firstLine="480" w:firstLineChars="200"/>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4、因乙方不能及时履行合同所规定的服务条款，并对甲方工作造成严重延误时，甲方有权解除合同，乙方须按合同总额的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ind w:firstLine="480" w:firstLineChars="200"/>
        <w:rPr>
          <w:color w:val="000000"/>
          <w:sz w:val="24"/>
          <w:lang w:eastAsia="zh-CN"/>
        </w:rPr>
      </w:pPr>
      <w:r>
        <w:rPr>
          <w:rFonts w:hint="eastAsia"/>
          <w:color w:val="000000"/>
          <w:sz w:val="24"/>
          <w:lang w:eastAsia="zh-CN"/>
        </w:rPr>
        <w:t>5、因乙方工作失误导致甲方设备损坏，乙方应赔偿甲方相应零件并负责修复工作并赔偿甲方损失，且由此造成逾期修复的，按逾期修复承担责任。</w:t>
      </w:r>
    </w:p>
    <w:p>
      <w:pPr>
        <w:spacing w:line="360" w:lineRule="auto"/>
        <w:ind w:left="55" w:leftChars="25" w:firstLine="480" w:firstLineChars="200"/>
        <w:rPr>
          <w:color w:val="000000"/>
          <w:sz w:val="24"/>
          <w:lang w:eastAsia="zh-CN"/>
        </w:rPr>
      </w:pPr>
      <w:r>
        <w:rPr>
          <w:rFonts w:hint="eastAsia"/>
          <w:color w:val="000000"/>
          <w:sz w:val="24"/>
          <w:lang w:eastAsia="zh-CN"/>
        </w:rPr>
        <w:t>6、乙方不得将本合同的服务内容转委托他人或者发包他人，否则应赔偿合同总价</w:t>
      </w:r>
      <w:r>
        <w:rPr>
          <w:rFonts w:hint="eastAsia"/>
          <w:color w:val="000000"/>
          <w:sz w:val="24"/>
          <w:u w:val="single"/>
          <w:lang w:eastAsia="zh-CN"/>
        </w:rPr>
        <w:t>20%</w:t>
      </w:r>
      <w:r>
        <w:rPr>
          <w:rFonts w:hint="eastAsia"/>
          <w:color w:val="000000"/>
          <w:sz w:val="24"/>
          <w:lang w:eastAsia="zh-CN"/>
        </w:rPr>
        <w:t>的违约金给甲方。</w:t>
      </w:r>
    </w:p>
    <w:p>
      <w:pPr>
        <w:pStyle w:val="2"/>
        <w:spacing w:line="360" w:lineRule="auto"/>
        <w:ind w:firstLine="480" w:firstLineChars="200"/>
        <w:rPr>
          <w:sz w:val="24"/>
          <w:szCs w:val="24"/>
        </w:rPr>
      </w:pPr>
      <w:r>
        <w:rPr>
          <w:rFonts w:hint="eastAsia"/>
          <w:sz w:val="24"/>
          <w:szCs w:val="24"/>
        </w:rPr>
        <w:t>7、如甲方逾期付款，应按全国银行间同业拆借中心公布的贷款市场报价利率向乙方支付利息</w:t>
      </w:r>
      <w:r>
        <w:rPr>
          <w:rFonts w:hint="eastAsia"/>
          <w:sz w:val="24"/>
        </w:rPr>
        <w:t>。</w:t>
      </w:r>
    </w:p>
    <w:p>
      <w:pPr>
        <w:pStyle w:val="17"/>
        <w:spacing w:line="360" w:lineRule="auto"/>
        <w:ind w:firstLine="480" w:firstLineChars="200"/>
        <w:rPr>
          <w:rFonts w:asciiTheme="majorEastAsia" w:hAnsiTheme="majorEastAsia" w:eastAsiaTheme="majorEastAsia"/>
          <w:sz w:val="24"/>
          <w:szCs w:val="24"/>
          <w:lang w:eastAsia="zh-CN"/>
        </w:rPr>
      </w:pPr>
      <w:r>
        <w:rPr>
          <w:rFonts w:hint="eastAsia" w:hAnsi="宋体" w:cs="宋体"/>
          <w:color w:val="000000"/>
          <w:sz w:val="24"/>
          <w:szCs w:val="24"/>
          <w:lang w:eastAsia="zh-CN"/>
        </w:rPr>
        <w:t>上述违约金、赔偿金及其他各种损失，甲方可扣付维修费用充抵，不足部分，可另行向乙方追索。</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第九条 双方因履行本合同而发生的争议，可协商、调解解决，也可直接采取下列第</w:t>
      </w:r>
      <w:r>
        <w:rPr>
          <w:rFonts w:hint="eastAsia" w:asciiTheme="majorEastAsia" w:hAnsiTheme="majorEastAsia" w:eastAsiaTheme="majorEastAsia"/>
          <w:sz w:val="24"/>
          <w:szCs w:val="24"/>
          <w:u w:val="single"/>
          <w:lang w:eastAsia="zh-CN"/>
        </w:rPr>
        <w:t xml:space="preserve"> 2</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种方式解决：</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1．向</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仲裁委员会申请仲裁；</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2．向甲方所在地人民法院提起诉讼。</w:t>
      </w:r>
    </w:p>
    <w:p>
      <w:pPr>
        <w:pStyle w:val="17"/>
        <w:spacing w:line="360" w:lineRule="auto"/>
        <w:ind w:firstLine="480" w:firstLineChars="200"/>
        <w:rPr>
          <w:rFonts w:hAnsi="宋体" w:cs="宋体"/>
          <w:color w:val="000000"/>
          <w:sz w:val="24"/>
          <w:lang w:eastAsia="zh-CN"/>
        </w:rPr>
      </w:pPr>
      <w:r>
        <w:rPr>
          <w:rFonts w:hint="eastAsia" w:asciiTheme="majorEastAsia" w:hAnsiTheme="majorEastAsia" w:eastAsiaTheme="majorEastAsia"/>
          <w:sz w:val="24"/>
          <w:szCs w:val="24"/>
          <w:lang w:eastAsia="zh-CN"/>
        </w:rPr>
        <w:t xml:space="preserve">第十条 </w:t>
      </w:r>
      <w:r>
        <w:rPr>
          <w:rFonts w:hint="eastAsia" w:hAnsi="宋体" w:cs="宋体"/>
          <w:color w:val="000000"/>
          <w:sz w:val="24"/>
          <w:lang w:eastAsia="zh-CN"/>
        </w:rPr>
        <w:t>特别约定：根据甲方要求，需维修设备需由乙方从甲方厂区内拆卸及修复后进行安装的，乙方不得再要求收取额外的费用，乙方人员在履行合同过程中发生任何人员伤害或者意外事故的，均由乙方承担相应的法律责任。</w:t>
      </w:r>
    </w:p>
    <w:p>
      <w:pPr>
        <w:pStyle w:val="17"/>
        <w:spacing w:line="360" w:lineRule="auto"/>
        <w:ind w:firstLine="480" w:firstLineChars="200"/>
        <w:rPr>
          <w:rFonts w:asciiTheme="majorEastAsia" w:hAnsiTheme="majorEastAsia" w:eastAsiaTheme="majorEastAsia"/>
          <w:sz w:val="24"/>
          <w:szCs w:val="24"/>
          <w:lang w:eastAsia="zh-CN"/>
        </w:rPr>
      </w:pPr>
      <w:r>
        <w:rPr>
          <w:rFonts w:hint="eastAsia" w:hAnsi="宋体" w:cs="宋体"/>
          <w:color w:val="000000"/>
          <w:sz w:val="24"/>
          <w:lang w:eastAsia="zh-CN"/>
        </w:rPr>
        <w:t>第十一条不可抗力：在合同履行过程中，双方的任何一方由于不可抗力的原因不能履行合同时应于该原因/事件发生后</w:t>
      </w:r>
      <w:r>
        <w:rPr>
          <w:rFonts w:hint="eastAsia" w:hAnsi="宋体" w:cs="宋体"/>
          <w:color w:val="000000"/>
          <w:sz w:val="24"/>
          <w:u w:val="single"/>
          <w:lang w:eastAsia="zh-CN"/>
        </w:rPr>
        <w:t>10</w:t>
      </w:r>
      <w:r>
        <w:rPr>
          <w:rFonts w:hint="eastAsia" w:hAnsi="宋体" w:cs="宋体"/>
          <w:color w:val="000000"/>
          <w:sz w:val="24"/>
          <w:lang w:eastAsia="zh-CN"/>
        </w:rPr>
        <w:t>日内向对方通报，并提供有效证明文件，并由双方协商是否全部或部分免除履行合同的责任或延期履行合同。</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第十二条 本合同经双方盖章后生效。本合同一式</w:t>
      </w:r>
      <w:r>
        <w:rPr>
          <w:rFonts w:hint="eastAsia" w:asciiTheme="majorEastAsia" w:hAnsiTheme="majorEastAsia" w:eastAsiaTheme="majorEastAsia"/>
          <w:sz w:val="24"/>
          <w:szCs w:val="24"/>
          <w:u w:val="single"/>
          <w:lang w:eastAsia="zh-CN"/>
        </w:rPr>
        <w:t xml:space="preserve"> 陆</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份，甲方执</w:t>
      </w:r>
      <w:r>
        <w:rPr>
          <w:rFonts w:hint="eastAsia" w:asciiTheme="majorEastAsia" w:hAnsiTheme="majorEastAsia" w:eastAsiaTheme="majorEastAsia"/>
          <w:sz w:val="24"/>
          <w:szCs w:val="24"/>
          <w:u w:val="single"/>
          <w:lang w:eastAsia="zh-CN"/>
        </w:rPr>
        <w:t xml:space="preserve"> 肆</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份，乙方执</w:t>
      </w:r>
      <w:r>
        <w:rPr>
          <w:rFonts w:hint="eastAsia" w:asciiTheme="majorEastAsia" w:hAnsiTheme="majorEastAsia" w:eastAsiaTheme="majorEastAsia"/>
          <w:sz w:val="24"/>
          <w:szCs w:val="24"/>
          <w:u w:val="single"/>
          <w:lang w:eastAsia="zh-CN"/>
        </w:rPr>
        <w:t xml:space="preserve"> 贰</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份，具有同等法律效力。</w:t>
      </w:r>
    </w:p>
    <w:p>
      <w:pPr>
        <w:widowControl/>
        <w:spacing w:line="360" w:lineRule="auto"/>
        <w:rPr>
          <w:color w:val="000000"/>
          <w:sz w:val="24"/>
          <w:lang w:eastAsia="zh-CN"/>
        </w:rPr>
      </w:pPr>
      <w:r>
        <w:rPr>
          <w:rFonts w:hint="eastAsia"/>
          <w:color w:val="000000"/>
          <w:sz w:val="24"/>
          <w:lang w:eastAsia="zh-CN"/>
        </w:rPr>
        <w:t>附件一、</w:t>
      </w:r>
      <w:r>
        <w:rPr>
          <w:rFonts w:hint="eastAsia" w:asciiTheme="majorEastAsia" w:hAnsiTheme="majorEastAsia" w:eastAsiaTheme="majorEastAsia"/>
          <w:sz w:val="24"/>
          <w:szCs w:val="24"/>
          <w:lang w:eastAsia="zh-CN"/>
        </w:rPr>
        <w:t>《UPS维修技术规范书》</w:t>
      </w:r>
    </w:p>
    <w:p>
      <w:pPr>
        <w:widowControl/>
        <w:spacing w:line="360" w:lineRule="auto"/>
        <w:rPr>
          <w:color w:val="000000"/>
          <w:sz w:val="24"/>
          <w:lang w:eastAsia="zh-CN"/>
        </w:rPr>
      </w:pPr>
      <w:r>
        <w:rPr>
          <w:rFonts w:hint="eastAsia"/>
          <w:color w:val="000000"/>
          <w:sz w:val="24"/>
          <w:lang w:eastAsia="zh-CN"/>
        </w:rPr>
        <w:t>附件二、《安全环保协议书》</w:t>
      </w:r>
    </w:p>
    <w:p>
      <w:pPr>
        <w:tabs>
          <w:tab w:val="left" w:pos="2010"/>
        </w:tabs>
        <w:spacing w:line="360" w:lineRule="auto"/>
        <w:ind w:firstLine="964" w:firstLineChars="400"/>
        <w:rPr>
          <w:rFonts w:cs="Arial"/>
          <w:b/>
          <w:sz w:val="24"/>
          <w:lang w:eastAsia="zh-CN"/>
        </w:rPr>
      </w:pPr>
      <w:r>
        <w:rPr>
          <w:rFonts w:hint="eastAsia" w:cs="Arial"/>
          <w:b/>
          <w:sz w:val="24"/>
          <w:lang w:eastAsia="zh-CN"/>
        </w:rPr>
        <w:t>（以下无正文）</w:t>
      </w: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受托</w:t>
      </w:r>
      <w:r>
        <w:rPr>
          <w:rFonts w:cs="Arial"/>
          <w:b/>
          <w:sz w:val="24"/>
          <w:lang w:eastAsia="zh-CN"/>
        </w:rPr>
        <w:t>方</w:t>
      </w:r>
      <w:r>
        <w:rPr>
          <w:rFonts w:hint="eastAsia" w:cs="Arial"/>
          <w:b/>
          <w:sz w:val="24"/>
          <w:lang w:eastAsia="zh-CN"/>
        </w:rPr>
        <w:t>（乙方）：</w:t>
      </w:r>
      <w:r>
        <w:rPr>
          <w:rFonts w:cs="Arial"/>
          <w:b/>
          <w:sz w:val="24"/>
          <w:lang w:eastAsia="zh-CN"/>
        </w:rPr>
        <w:t xml:space="preserve"> </w:t>
      </w:r>
    </w:p>
    <w:p>
      <w:pPr>
        <w:spacing w:line="360" w:lineRule="auto"/>
        <w:rPr>
          <w:b/>
          <w:sz w:val="24"/>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cs="Arial" w:asciiTheme="majorEastAsia" w:hAnsiTheme="majorEastAsia" w:eastAsiaTheme="majorEastAsia"/>
          <w:b/>
          <w:szCs w:val="21"/>
          <w:lang w:eastAsia="zh-CN"/>
        </w:rPr>
        <w:t>法定代表人/委托代理人</w:t>
      </w:r>
      <w:r>
        <w:rPr>
          <w:rFonts w:cs="Arial" w:asciiTheme="majorEastAsia" w:hAnsiTheme="majorEastAsia" w:eastAsiaTheme="majorEastAsia"/>
          <w:b/>
          <w:szCs w:val="21"/>
          <w:lang w:eastAsia="zh-CN"/>
        </w:rPr>
        <w:t>：</w:t>
      </w:r>
      <w:r>
        <w:rPr>
          <w:rFonts w:hint="eastAsia" w:cs="Arial" w:asciiTheme="majorEastAsia" w:hAnsiTheme="majorEastAsia" w:eastAsiaTheme="majorEastAsia"/>
          <w:b/>
          <w:szCs w:val="21"/>
          <w:lang w:eastAsia="zh-CN"/>
        </w:rPr>
        <w:t xml:space="preserve"> </w:t>
      </w:r>
      <w:r>
        <w:rPr>
          <w:rFonts w:hint="eastAsia" w:cs="Arial" w:asciiTheme="majorEastAsia" w:hAnsiTheme="majorEastAsia" w:eastAsiaTheme="majorEastAsia"/>
          <w:b/>
          <w:sz w:val="24"/>
          <w:lang w:eastAsia="zh-CN"/>
        </w:rPr>
        <w:t xml:space="preserve">               </w:t>
      </w:r>
      <w:r>
        <w:rPr>
          <w:rFonts w:hint="eastAsia" w:cs="Arial" w:asciiTheme="majorEastAsia" w:hAnsiTheme="majorEastAsia" w:eastAsiaTheme="majorEastAsia"/>
          <w:b/>
          <w:szCs w:val="21"/>
          <w:lang w:eastAsia="zh-CN"/>
        </w:rPr>
        <w:t xml:space="preserve">    法定代表人/委托代理人</w:t>
      </w:r>
      <w:r>
        <w:rPr>
          <w:rFonts w:cs="Arial" w:asciiTheme="majorEastAsia" w:hAnsiTheme="majorEastAsia" w:eastAsiaTheme="majorEastAsia"/>
          <w:b/>
          <w:szCs w:val="21"/>
          <w:lang w:eastAsia="zh-CN"/>
        </w:rPr>
        <w:t>：</w:t>
      </w:r>
    </w:p>
    <w:p>
      <w:pPr>
        <w:ind w:left="5940" w:hanging="5940" w:hangingChars="2700"/>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地</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址：</w:t>
      </w:r>
      <w:r>
        <w:rPr>
          <w:rFonts w:hint="eastAsia" w:cs="Courier New" w:asciiTheme="majorEastAsia" w:hAnsiTheme="majorEastAsia" w:eastAsiaTheme="majorEastAsia"/>
          <w:szCs w:val="21"/>
          <w:lang w:eastAsia="zh-CN"/>
        </w:rPr>
        <w:t>福建省漳州市古雷开发区腾龙路1号</w:t>
      </w:r>
      <w:r>
        <w:rPr>
          <w:rFonts w:hint="eastAsia" w:asciiTheme="majorEastAsia" w:hAnsiTheme="majorEastAsia" w:eastAsiaTheme="majorEastAsia"/>
          <w:szCs w:val="21"/>
          <w:lang w:eastAsia="zh-CN"/>
        </w:rPr>
        <w:t xml:space="preserve">     地</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 址：</w:t>
      </w:r>
      <w:r>
        <w:rPr>
          <w:rFonts w:asciiTheme="majorEastAsia" w:hAnsiTheme="majorEastAsia" w:eastAsiaTheme="majorEastAsia"/>
          <w:szCs w:val="21"/>
          <w:lang w:eastAsia="zh-CN"/>
        </w:rPr>
        <w:t xml:space="preserve"> </w:t>
      </w:r>
    </w:p>
    <w:p>
      <w:pPr>
        <w:ind w:left="1038" w:hanging="1038" w:hangingChars="472"/>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开</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户</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行：中国农业银行股份有限公司漳浦      开户行：</w:t>
      </w:r>
      <w:r>
        <w:rPr>
          <w:rFonts w:asciiTheme="majorEastAsia" w:hAnsiTheme="majorEastAsia" w:eastAsiaTheme="majorEastAsia"/>
          <w:szCs w:val="21"/>
          <w:lang w:eastAsia="zh-CN"/>
        </w:rPr>
        <w:t xml:space="preserve"> </w:t>
      </w:r>
    </w:p>
    <w:p>
      <w:pPr>
        <w:ind w:left="1034" w:leftChars="470" w:firstLine="110" w:firstLineChars="50"/>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 xml:space="preserve">古雷石化支行                                </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帐</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号： 13641501040004550                帐</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号： </w:t>
      </w:r>
      <w:r>
        <w:rPr>
          <w:rFonts w:hint="eastAsia"/>
          <w:szCs w:val="21"/>
          <w:lang w:eastAsia="zh-CN"/>
        </w:rPr>
        <w:t xml:space="preserve"> </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税</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号： 91350600717866709A</w:t>
      </w:r>
      <w:r>
        <w:rPr>
          <w:rFonts w:hint="eastAsia" w:asciiTheme="majorEastAsia" w:hAnsiTheme="majorEastAsia" w:eastAsiaTheme="majorEastAsia"/>
          <w:lang w:eastAsia="zh-CN"/>
        </w:rPr>
        <w:t xml:space="preserve"> </w:t>
      </w:r>
      <w:r>
        <w:rPr>
          <w:rFonts w:hint="eastAsia" w:asciiTheme="majorEastAsia" w:hAnsiTheme="majorEastAsia" w:eastAsiaTheme="majorEastAsia"/>
          <w:szCs w:val="21"/>
          <w:lang w:eastAsia="zh-CN"/>
        </w:rPr>
        <w:t xml:space="preserve">              税 </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号： </w:t>
      </w:r>
      <w:r>
        <w:rPr>
          <w:rFonts w:hint="eastAsia"/>
          <w:szCs w:val="21"/>
          <w:lang w:eastAsia="zh-CN"/>
        </w:rPr>
        <w:t xml:space="preserve"> </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电</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 xml:space="preserve">话：  0596-6311083                    电 </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话：</w:t>
      </w:r>
      <w:r>
        <w:rPr>
          <w:rFonts w:hint="eastAsia" w:asciiTheme="majorEastAsia" w:hAnsiTheme="majorEastAsia" w:eastAsiaTheme="majorEastAsia"/>
          <w:bCs/>
          <w:szCs w:val="21"/>
          <w:lang w:eastAsia="zh-CN"/>
        </w:rPr>
        <w:t xml:space="preserve"> </w:t>
      </w:r>
      <w:r>
        <w:rPr>
          <w:rFonts w:hint="eastAsia"/>
          <w:bCs/>
          <w:szCs w:val="21"/>
          <w:lang w:eastAsia="zh-CN"/>
        </w:rPr>
        <w:t xml:space="preserve"> </w:t>
      </w:r>
    </w:p>
    <w:p>
      <w:pPr>
        <w:spacing w:line="300" w:lineRule="exact"/>
        <w:rPr>
          <w:rFonts w:asciiTheme="majorEastAsia" w:hAnsiTheme="majorEastAsia" w:eastAsiaTheme="majorEastAsia"/>
          <w:lang w:eastAsia="zh-CN"/>
        </w:rPr>
      </w:pPr>
      <w:r>
        <w:rPr>
          <w:rFonts w:hint="eastAsia" w:asciiTheme="majorEastAsia" w:hAnsiTheme="majorEastAsia" w:eastAsiaTheme="majorEastAsia"/>
          <w:lang w:eastAsia="zh-CN"/>
        </w:rPr>
        <w:t xml:space="preserve">  </w:t>
      </w:r>
    </w:p>
    <w:p>
      <w:pPr>
        <w:spacing w:line="360" w:lineRule="auto"/>
        <w:rPr>
          <w:rFonts w:cs="Arial"/>
          <w:b/>
          <w:sz w:val="24"/>
          <w:lang w:eastAsia="zh-CN"/>
        </w:rPr>
      </w:pPr>
      <w:r>
        <w:rPr>
          <w:rFonts w:cs="Arial"/>
          <w:b/>
          <w:sz w:val="24"/>
          <w:lang w:eastAsia="zh-CN"/>
        </w:rPr>
        <w:t xml:space="preserve">____年____月____日 </w:t>
      </w:r>
      <w:r>
        <w:rPr>
          <w:rFonts w:hint="eastAsia" w:cs="Arial"/>
          <w:b/>
          <w:sz w:val="24"/>
          <w:lang w:eastAsia="zh-CN"/>
        </w:rPr>
        <w:t xml:space="preserve">                      </w:t>
      </w:r>
    </w:p>
    <w:p>
      <w:pPr>
        <w:spacing w:line="360" w:lineRule="auto"/>
        <w:rPr>
          <w:b/>
          <w:sz w:val="24"/>
          <w:lang w:eastAsia="zh-CN"/>
        </w:rPr>
      </w:pPr>
    </w:p>
    <w:p>
      <w:pPr>
        <w:spacing w:line="360" w:lineRule="auto"/>
        <w:rPr>
          <w:b/>
          <w:sz w:val="24"/>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b/>
          <w:sz w:val="24"/>
          <w:lang w:eastAsia="zh-CN"/>
        </w:rPr>
      </w:pPr>
      <w:r>
        <w:rPr>
          <w:rFonts w:hint="eastAsia"/>
          <w:b/>
          <w:sz w:val="24"/>
          <w:lang w:eastAsia="zh-CN"/>
        </w:rPr>
        <w:t>附件一：</w:t>
      </w:r>
    </w:p>
    <w:p>
      <w:pPr>
        <w:spacing w:line="360" w:lineRule="auto"/>
        <w:ind w:left="-110" w:leftChars="-50"/>
        <w:jc w:val="center"/>
        <w:rPr>
          <w:rFonts w:cs="仿宋" w:asciiTheme="majorEastAsia" w:hAnsiTheme="majorEastAsia" w:eastAsiaTheme="majorEastAsia"/>
          <w:b/>
          <w:bCs/>
          <w:sz w:val="32"/>
          <w:szCs w:val="32"/>
          <w:lang w:eastAsia="zh-CN"/>
        </w:rPr>
      </w:pPr>
      <w:r>
        <w:rPr>
          <w:rFonts w:hint="eastAsia" w:cs="仿宋" w:asciiTheme="majorEastAsia" w:hAnsiTheme="majorEastAsia" w:eastAsiaTheme="majorEastAsia"/>
          <w:b/>
          <w:bCs/>
          <w:sz w:val="32"/>
          <w:szCs w:val="32"/>
          <w:lang w:eastAsia="zh-CN"/>
        </w:rPr>
        <w:t>腾龙芳烃（漳州）有限公司</w:t>
      </w:r>
    </w:p>
    <w:p>
      <w:pPr>
        <w:spacing w:line="360" w:lineRule="auto"/>
        <w:ind w:left="-110" w:leftChars="-50"/>
        <w:jc w:val="center"/>
        <w:rPr>
          <w:rFonts w:asciiTheme="majorEastAsia" w:hAnsiTheme="majorEastAsia" w:eastAsiaTheme="majorEastAsia"/>
          <w:sz w:val="32"/>
          <w:szCs w:val="32"/>
          <w:lang w:eastAsia="zh-CN"/>
        </w:rPr>
      </w:pPr>
    </w:p>
    <w:p>
      <w:pPr>
        <w:spacing w:line="360" w:lineRule="auto"/>
        <w:ind w:left="-110" w:leftChars="-50"/>
        <w:jc w:val="center"/>
        <w:rPr>
          <w:rFonts w:cs="仿宋" w:asciiTheme="majorEastAsia" w:hAnsiTheme="majorEastAsia" w:eastAsiaTheme="majorEastAsia"/>
          <w:b/>
          <w:bCs/>
          <w:sz w:val="32"/>
          <w:szCs w:val="32"/>
          <w:lang w:eastAsia="zh-CN"/>
        </w:rPr>
      </w:pPr>
      <w:r>
        <w:rPr>
          <w:rFonts w:hint="eastAsia" w:cs="仿宋" w:asciiTheme="majorEastAsia" w:hAnsiTheme="majorEastAsia" w:eastAsiaTheme="majorEastAsia"/>
          <w:b/>
          <w:bCs/>
          <w:sz w:val="32"/>
          <w:szCs w:val="32"/>
          <w:lang w:eastAsia="zh-CN"/>
        </w:rPr>
        <w:t>热电厂UPS维修技术规范书</w:t>
      </w:r>
    </w:p>
    <w:p>
      <w:pPr>
        <w:spacing w:line="360" w:lineRule="auto"/>
        <w:ind w:left="-110" w:leftChars="-50"/>
        <w:rPr>
          <w:lang w:eastAsia="zh-CN"/>
        </w:rPr>
      </w:pPr>
    </w:p>
    <w:p>
      <w:pPr>
        <w:spacing w:line="360" w:lineRule="auto"/>
        <w:ind w:left="-110" w:leftChars="-50"/>
        <w:rPr>
          <w:lang w:eastAsia="zh-CN"/>
        </w:rPr>
      </w:pPr>
    </w:p>
    <w:p>
      <w:pPr>
        <w:spacing w:line="360" w:lineRule="auto"/>
        <w:ind w:left="-110" w:leftChars="-50"/>
        <w:rPr>
          <w:lang w:eastAsia="zh-CN"/>
        </w:rPr>
      </w:pPr>
    </w:p>
    <w:p>
      <w:pPr>
        <w:spacing w:line="360" w:lineRule="auto"/>
        <w:rPr>
          <w:rFonts w:ascii="仿宋" w:hAnsi="仿宋" w:eastAsia="仿宋"/>
          <w:sz w:val="32"/>
          <w:szCs w:val="32"/>
          <w:lang w:eastAsia="zh-CN"/>
        </w:rPr>
      </w:pPr>
    </w:p>
    <w:p>
      <w:pPr>
        <w:spacing w:line="900" w:lineRule="auto"/>
        <w:ind w:left="-110" w:leftChars="-50" w:firstLine="2088" w:firstLineChars="650"/>
        <w:rPr>
          <w:rFonts w:asciiTheme="majorEastAsia" w:hAnsiTheme="majorEastAsia" w:eastAsiaTheme="majorEastAsia"/>
          <w:b/>
          <w:sz w:val="30"/>
          <w:szCs w:val="30"/>
          <w:u w:val="single"/>
          <w:lang w:eastAsia="zh-CN"/>
        </w:rPr>
      </w:pPr>
      <w:r>
        <w:rPr>
          <w:rFonts w:hint="eastAsia" w:ascii="仿宋" w:hAnsi="仿宋" w:eastAsia="仿宋"/>
          <w:b/>
          <w:sz w:val="32"/>
          <w:szCs w:val="32"/>
          <w:lang w:eastAsia="zh-CN"/>
        </w:rPr>
        <w:t xml:space="preserve"> </w:t>
      </w:r>
      <w:r>
        <w:rPr>
          <w:rFonts w:hint="eastAsia" w:asciiTheme="majorEastAsia" w:hAnsiTheme="majorEastAsia" w:eastAsiaTheme="majorEastAsia"/>
          <w:b/>
          <w:sz w:val="30"/>
          <w:szCs w:val="30"/>
          <w:lang w:eastAsia="zh-CN"/>
        </w:rPr>
        <w:t>编制：</w:t>
      </w:r>
      <w:r>
        <w:rPr>
          <w:rFonts w:hint="eastAsia" w:asciiTheme="majorEastAsia" w:hAnsiTheme="majorEastAsia" w:eastAsiaTheme="majorEastAsia"/>
          <w:b/>
          <w:sz w:val="30"/>
          <w:szCs w:val="30"/>
          <w:u w:val="single"/>
          <w:lang w:eastAsia="zh-CN"/>
        </w:rPr>
        <w:t xml:space="preserve">                  </w:t>
      </w:r>
    </w:p>
    <w:p>
      <w:pPr>
        <w:spacing w:line="900" w:lineRule="auto"/>
        <w:ind w:left="-110" w:leftChars="-50" w:firstLine="2259" w:firstLineChars="750"/>
        <w:rPr>
          <w:rFonts w:asciiTheme="majorEastAsia" w:hAnsiTheme="majorEastAsia" w:eastAsiaTheme="majorEastAsia"/>
          <w:b/>
          <w:sz w:val="30"/>
          <w:szCs w:val="30"/>
          <w:u w:val="single"/>
          <w:lang w:eastAsia="zh-CN"/>
        </w:rPr>
      </w:pPr>
      <w:r>
        <w:rPr>
          <w:rFonts w:hint="eastAsia" w:asciiTheme="majorEastAsia" w:hAnsiTheme="majorEastAsia" w:eastAsiaTheme="majorEastAsia"/>
          <w:b/>
          <w:sz w:val="30"/>
          <w:szCs w:val="30"/>
          <w:lang w:eastAsia="zh-CN"/>
        </w:rPr>
        <w:t>初审：</w:t>
      </w:r>
      <w:r>
        <w:rPr>
          <w:rFonts w:hint="eastAsia" w:asciiTheme="majorEastAsia" w:hAnsiTheme="majorEastAsia" w:eastAsiaTheme="majorEastAsia"/>
          <w:b/>
          <w:sz w:val="30"/>
          <w:szCs w:val="30"/>
          <w:u w:val="single"/>
          <w:lang w:eastAsia="zh-CN"/>
        </w:rPr>
        <w:t xml:space="preserve">                  </w:t>
      </w:r>
    </w:p>
    <w:p>
      <w:pPr>
        <w:spacing w:line="900" w:lineRule="auto"/>
        <w:ind w:left="-110" w:leftChars="-50" w:firstLine="2259" w:firstLineChars="750"/>
        <w:rPr>
          <w:rFonts w:asciiTheme="majorEastAsia" w:hAnsiTheme="majorEastAsia" w:eastAsiaTheme="majorEastAsia"/>
          <w:b/>
          <w:sz w:val="30"/>
          <w:szCs w:val="30"/>
          <w:u w:val="single"/>
          <w:lang w:eastAsia="zh-CN"/>
        </w:rPr>
      </w:pPr>
      <w:r>
        <w:rPr>
          <w:rFonts w:hint="eastAsia" w:asciiTheme="majorEastAsia" w:hAnsiTheme="majorEastAsia" w:eastAsiaTheme="majorEastAsia"/>
          <w:b/>
          <w:sz w:val="30"/>
          <w:szCs w:val="30"/>
          <w:lang w:eastAsia="zh-CN"/>
        </w:rPr>
        <w:t>审定：</w:t>
      </w:r>
      <w:r>
        <w:rPr>
          <w:rFonts w:hint="eastAsia" w:asciiTheme="majorEastAsia" w:hAnsiTheme="majorEastAsia" w:eastAsiaTheme="majorEastAsia"/>
          <w:b/>
          <w:sz w:val="30"/>
          <w:szCs w:val="30"/>
          <w:u w:val="single"/>
          <w:lang w:eastAsia="zh-CN"/>
        </w:rPr>
        <w:t xml:space="preserve">                  </w:t>
      </w:r>
    </w:p>
    <w:p>
      <w:pPr>
        <w:spacing w:line="900" w:lineRule="auto"/>
        <w:ind w:left="-110" w:leftChars="-50" w:firstLine="2259" w:firstLineChars="750"/>
        <w:rPr>
          <w:rFonts w:ascii="仿宋" w:hAnsi="仿宋" w:eastAsia="仿宋"/>
          <w:b/>
          <w:sz w:val="32"/>
          <w:szCs w:val="32"/>
          <w:lang w:eastAsia="zh-CN"/>
        </w:rPr>
      </w:pPr>
      <w:r>
        <w:rPr>
          <w:rFonts w:hint="eastAsia" w:asciiTheme="majorEastAsia" w:hAnsiTheme="majorEastAsia" w:eastAsiaTheme="majorEastAsia"/>
          <w:b/>
          <w:sz w:val="30"/>
          <w:szCs w:val="30"/>
          <w:lang w:eastAsia="zh-CN"/>
        </w:rPr>
        <w:t>审核：</w:t>
      </w:r>
      <w:r>
        <w:rPr>
          <w:rFonts w:hint="eastAsia" w:asciiTheme="majorEastAsia" w:hAnsiTheme="majorEastAsia" w:eastAsiaTheme="majorEastAsia"/>
          <w:b/>
          <w:sz w:val="30"/>
          <w:szCs w:val="30"/>
          <w:u w:val="single"/>
          <w:lang w:eastAsia="zh-CN"/>
        </w:rPr>
        <w:t xml:space="preserve">                   </w:t>
      </w:r>
      <w:r>
        <w:rPr>
          <w:rFonts w:asciiTheme="majorEastAsia" w:hAnsiTheme="majorEastAsia" w:eastAsiaTheme="majorEastAsia"/>
          <w:b/>
          <w:sz w:val="30"/>
          <w:szCs w:val="30"/>
          <w:lang w:eastAsia="zh-CN"/>
        </w:rPr>
        <w:t xml:space="preserve">        </w:t>
      </w:r>
      <w:r>
        <w:rPr>
          <w:rFonts w:ascii="仿宋" w:hAnsi="仿宋" w:eastAsia="仿宋"/>
          <w:b/>
          <w:sz w:val="32"/>
          <w:szCs w:val="32"/>
          <w:lang w:eastAsia="zh-CN"/>
        </w:rPr>
        <w:t xml:space="preserve">          </w:t>
      </w:r>
    </w:p>
    <w:p>
      <w:pPr>
        <w:spacing w:line="360" w:lineRule="auto"/>
        <w:rPr>
          <w:lang w:eastAsia="zh-CN"/>
        </w:rPr>
      </w:pPr>
    </w:p>
    <w:p>
      <w:pPr>
        <w:spacing w:line="360" w:lineRule="auto"/>
        <w:rPr>
          <w:b/>
          <w:bCs/>
          <w:sz w:val="32"/>
          <w:szCs w:val="32"/>
          <w:lang w:eastAsia="zh-CN"/>
        </w:rPr>
      </w:pPr>
    </w:p>
    <w:p>
      <w:pPr>
        <w:spacing w:line="360" w:lineRule="auto"/>
        <w:rPr>
          <w:b/>
          <w:bCs/>
          <w:sz w:val="32"/>
          <w:szCs w:val="32"/>
          <w:lang w:eastAsia="zh-CN"/>
        </w:rPr>
      </w:pPr>
    </w:p>
    <w:p>
      <w:pPr>
        <w:spacing w:line="360" w:lineRule="auto"/>
        <w:rPr>
          <w:b/>
          <w:bCs/>
          <w:sz w:val="32"/>
          <w:szCs w:val="32"/>
          <w:lang w:eastAsia="zh-CN"/>
        </w:rPr>
      </w:pPr>
    </w:p>
    <w:p>
      <w:pPr>
        <w:spacing w:line="360" w:lineRule="auto"/>
        <w:jc w:val="center"/>
        <w:rPr>
          <w:rFonts w:ascii="仿宋" w:hAnsi="仿宋" w:eastAsia="仿宋" w:cs="仿宋"/>
          <w:b/>
          <w:bCs/>
          <w:sz w:val="32"/>
          <w:szCs w:val="32"/>
          <w:lang w:eastAsia="zh-CN"/>
        </w:rPr>
      </w:pPr>
    </w:p>
    <w:p>
      <w:pPr>
        <w:pStyle w:val="2"/>
      </w:pPr>
    </w:p>
    <w:p>
      <w:pPr>
        <w:spacing w:line="360" w:lineRule="auto"/>
        <w:jc w:val="center"/>
        <w:rPr>
          <w:rFonts w:ascii="仿宋" w:hAnsi="仿宋" w:eastAsia="仿宋" w:cs="仿宋"/>
          <w:b/>
          <w:bCs/>
          <w:sz w:val="32"/>
          <w:szCs w:val="32"/>
          <w:lang w:eastAsia="zh-CN"/>
        </w:rPr>
      </w:pP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1.总则</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 本技术规范仅适用于腾龙芳烃热电厂3台UPS的检测、维修、验收等方面的技术要求。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 本技术规范提出的是最低限度的要求，并未对一切细节做出规定，也未充分引述有关标准和规范的条文，供方保证提供符合本技术规范和有关最新工业标准的产品及其相应服务。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 承接方应执行本技术规范书所列标准，有不一致时，按较高标准执行。在签订合同之后，业主有权提出因规范标准和规程发生变化而产生的一些补充要求，具体项目由供需双方共同商定。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 如果投标方没有以书面的形式对本规范书的条文提出异议，则表示投标人提供的设备完全符合本规范书的要求；如有与本规范书要求不一致的地方，必须逐项在“差异表”中列出。如果没有不一致的地方，必须在“差异表”中写明为“无差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 投标方应保证在质保期内，仍然提供相应的技术指导及服务。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 本技术规范作为合同的附件，需双方确认后方具有同等的法律效力。本规范书未尽事宜，由合同签约双方在合同谈判时协商确定。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 投标人应提供现场技术服务。</w:t>
      </w:r>
    </w:p>
    <w:p>
      <w:pPr>
        <w:adjustRightInd w:val="0"/>
        <w:snapToGrid w:val="0"/>
        <w:spacing w:afterLines="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1.8 本工程为总包工程，承包方应到现场确认设备的状况，如维修过程中产生其它的工程量及费用，均视为优惠报价，不给予追加。</w:t>
      </w:r>
    </w:p>
    <w:p>
      <w:pPr>
        <w:adjustRightInd w:val="0"/>
        <w:snapToGrid w:val="0"/>
        <w:spacing w:afterLines="20"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1.9</w:t>
      </w:r>
      <w:r>
        <w:rPr>
          <w:rFonts w:hint="eastAsia" w:asciiTheme="majorEastAsia" w:hAnsiTheme="majorEastAsia" w:eastAsiaTheme="majorEastAsia"/>
          <w:sz w:val="24"/>
          <w:szCs w:val="24"/>
          <w:lang w:eastAsia="zh-CN"/>
        </w:rPr>
        <w:t xml:space="preserve"> 投标</w:t>
      </w:r>
      <w:r>
        <w:rPr>
          <w:rFonts w:asciiTheme="majorEastAsia" w:hAnsiTheme="majorEastAsia" w:eastAsiaTheme="majorEastAsia"/>
          <w:sz w:val="24"/>
          <w:szCs w:val="24"/>
          <w:lang w:eastAsia="zh-CN"/>
        </w:rPr>
        <w:t>方资质要求：UPS原生产厂家为美国PCM，承包方需满足PCM授权售后服务资质要求</w:t>
      </w:r>
      <w:r>
        <w:rPr>
          <w:rFonts w:hint="eastAsia" w:asciiTheme="majorEastAsia" w:hAnsiTheme="majorEastAsia" w:eastAsiaTheme="majorEastAsia"/>
          <w:sz w:val="24"/>
          <w:szCs w:val="24"/>
          <w:lang w:eastAsia="zh-CN"/>
        </w:rPr>
        <w:t>（提供相关证明）</w:t>
      </w:r>
      <w:r>
        <w:rPr>
          <w:rFonts w:asciiTheme="majorEastAsia" w:hAnsiTheme="majorEastAsia" w:eastAsiaTheme="majorEastAsia"/>
          <w:sz w:val="24"/>
          <w:szCs w:val="24"/>
          <w:lang w:eastAsia="zh-CN"/>
        </w:rPr>
        <w:t>。</w:t>
      </w:r>
    </w:p>
    <w:p>
      <w:pPr>
        <w:tabs>
          <w:tab w:val="left" w:pos="540"/>
        </w:tabs>
        <w:adjustRightInd w:val="0"/>
        <w:snapToGrid w:val="0"/>
        <w:spacing w:afterLines="20" w:line="360" w:lineRule="auto"/>
        <w:rPr>
          <w:rFonts w:asciiTheme="majorEastAsia" w:hAnsiTheme="majorEastAsia" w:eastAsiaTheme="majorEastAsia"/>
          <w:b/>
          <w:sz w:val="24"/>
          <w:szCs w:val="24"/>
          <w:lang w:eastAsia="zh-CN"/>
        </w:rPr>
      </w:pPr>
      <w:bookmarkStart w:id="9" w:name="_Toc249345109"/>
      <w:r>
        <w:rPr>
          <w:rFonts w:hint="eastAsia" w:asciiTheme="majorEastAsia" w:hAnsiTheme="majorEastAsia" w:eastAsiaTheme="majorEastAsia"/>
          <w:b/>
          <w:sz w:val="24"/>
          <w:szCs w:val="24"/>
          <w:lang w:eastAsia="zh-CN"/>
        </w:rPr>
        <w:t>2.工程内容</w:t>
      </w:r>
      <w:bookmarkEnd w:id="9"/>
    </w:p>
    <w:p>
      <w:pPr>
        <w:tabs>
          <w:tab w:val="left" w:pos="426"/>
        </w:tabs>
        <w:spacing w:after="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公用UPS不间断电源故障修复,包括：</w:t>
      </w:r>
    </w:p>
    <w:p>
      <w:pPr>
        <w:tabs>
          <w:tab w:val="left" w:pos="426"/>
        </w:tabs>
        <w:spacing w:after="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（1）对UPS主机做整台机的全面检测工作。</w:t>
      </w:r>
    </w:p>
    <w:p>
      <w:pPr>
        <w:tabs>
          <w:tab w:val="left" w:pos="426"/>
        </w:tabs>
        <w:spacing w:after="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（2）损坏、老化元件更换及损坏控制板更换，包括主控板、通信检测板、电源板、风扇、电容等，需经供热中心现场人员签字确认。</w:t>
      </w:r>
    </w:p>
    <w:p>
      <w:pPr>
        <w:tabs>
          <w:tab w:val="left" w:pos="426"/>
        </w:tabs>
        <w:spacing w:after="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（3）对整机要进行清扫、紧固等维护、保养。</w:t>
      </w:r>
    </w:p>
    <w:p>
      <w:pPr>
        <w:tabs>
          <w:tab w:val="left" w:pos="426"/>
        </w:tabs>
        <w:spacing w:after="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（4）质保期内无条件免费服务（含配件更换）。</w:t>
      </w:r>
    </w:p>
    <w:p>
      <w:pPr>
        <w:tabs>
          <w:tab w:val="left" w:pos="540"/>
        </w:tabs>
        <w:adjustRightInd w:val="0"/>
        <w:snapToGrid w:val="0"/>
        <w:spacing w:afterLines="20"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3.工程量：</w:t>
      </w:r>
    </w:p>
    <w:p>
      <w:pPr>
        <w:spacing w:after="20"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公用UPS故障维修如下：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34"/>
        <w:gridCol w:w="1134"/>
        <w:gridCol w:w="992"/>
        <w:gridCol w:w="1134"/>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Align w:val="center"/>
          </w:tcPr>
          <w:p>
            <w:pP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1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设备名称</w:t>
            </w:r>
          </w:p>
        </w:tc>
        <w:tc>
          <w:tcPr>
            <w:tcW w:w="11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容量</w:t>
            </w:r>
          </w:p>
        </w:tc>
        <w:tc>
          <w:tcPr>
            <w:tcW w:w="992"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1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维修内容</w:t>
            </w:r>
          </w:p>
        </w:tc>
        <w:tc>
          <w:tcPr>
            <w:tcW w:w="3027" w:type="dxa"/>
            <w:vAlign w:val="center"/>
          </w:tcPr>
          <w:p>
            <w:pP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1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UPS不间断电源</w:t>
            </w:r>
          </w:p>
        </w:tc>
        <w:tc>
          <w:tcPr>
            <w:tcW w:w="11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80KVA</w:t>
            </w:r>
          </w:p>
        </w:tc>
        <w:tc>
          <w:tcPr>
            <w:tcW w:w="992"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3台</w:t>
            </w:r>
          </w:p>
        </w:tc>
        <w:tc>
          <w:tcPr>
            <w:tcW w:w="1134" w:type="dxa"/>
            <w:vAlign w:val="center"/>
          </w:tcPr>
          <w:p>
            <w:pPr>
              <w:spacing w:line="24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USP故障修复、更换老化元器件</w:t>
            </w:r>
          </w:p>
        </w:tc>
        <w:tc>
          <w:tcPr>
            <w:tcW w:w="3027" w:type="dxa"/>
            <w:vAlign w:val="center"/>
          </w:tcPr>
          <w:p>
            <w:pPr>
              <w:spacing w:line="240" w:lineRule="atLeast"/>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包括：整机检测、维护；风扇及损坏元件的更换,老化元器件更换，包括主控板、通信检测板、电源板、风扇、电容等</w:t>
            </w:r>
          </w:p>
        </w:tc>
      </w:tr>
    </w:tbl>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4.标准及规范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YD/T 1970.4—2009   UPS维护规程；</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DL/T 1074-2007   电力用直流和交流一体化不间断电源设备</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YDT 1095-2008   通信用不间断电源（UPS）</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DLT 5136-2001   火力发电厂、变电所二次接线设计技术规程</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相关制造厂家产品说明书：《UPS装置技术说明书》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5.技术要求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5.1 按照要求对公用UPS系统进行检查。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5.2 因本厂公用UPS系统已投运，UPS检测、维修时带电作业，作业时应做好相应的预防事故措施和技术方案，并监督贯彻与实施。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5.3 对UPS主要电路板、部件、柜体等进行外观检查，用吸尘器、绝缘毛刷等器具清除各部灰尘，必要时用无水酒精或专用清洗剂清洗。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5.4 检查所有盘柜接线（含直流进出线及接地线）有无过热现象，必要时进行更换，并紧固所有螺栓。</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5.5 检查所有插件是否牢固，接触良好；对插件触点的氧化、污染进行处理。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5.6 更换损坏、老化元器件及损坏控制板跟换，包括主控板、通信检测板、电源板、风扇、电容等。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5.7 检测、维修后UPS应满足：</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（1）消除故障，主备电源切换正常。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（2）采样面板显示正确，采样输出信号正常。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（3）各种反馈信号正常，相关数据都正常。</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6.工期要求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6.1 合同签订后20天内完成。</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6.2 质保期为1年（检测、维修验收后1年）。</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7.施工条件及安全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7.1 在施工过程中，必须严格遵守相应的国家颁布的有关工艺规程和安全操作规程，杜绝一切事故。施工过程中如造成招标方设备损坏，应由施工单位负责赔偿或修复。</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7.2 施工单位应在批准的检修期内完成，并主动办理开工手续，履行腾龙芳烃（漳州）有限公司标准工作流程。</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7.3 施工单位的施工人员应遵纪守法，自觉遵守腾龙芳烃（漳州）有限公司的规章纪律。</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7.4 施工期间施工人员的疾病、人身事故、设备事故均自行负责。</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7.5 施工时间应严格遵守腾龙芳烃（漳州）有限公司设备检修时段，不能影响附近其他设备检修工作的正常开展。</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7.6 施工人员进入工作现场，必须穿戴合格工作服、工作鞋和其他劳保用具。</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7.7 进入工作现场的施工人员必须精神状态良好，不得饮酒、严禁吸烟。</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7.8 进入现场之前，施工单位施工负责人必须组织学习相关安全规程、学习技术方案及质量验收标准；交代所有施工人员工作任务、安全注意事项。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7.9 开工前必须办理工作票，严禁无票作业，工作时必须要有点检人员监护才能进行工作。</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7.10 施工人员必须遵守腾龙芳烃（漳州）有限公司有关新型冠状病毒肺炎疫情管控政策要求。</w:t>
      </w:r>
    </w:p>
    <w:p>
      <w:pPr>
        <w:spacing w:line="360" w:lineRule="auto"/>
        <w:rPr>
          <w:rFonts w:asciiTheme="majorEastAsia" w:hAnsiTheme="majorEastAsia" w:eastAsiaTheme="majorEastAsia"/>
          <w:b/>
          <w:bCs/>
          <w:sz w:val="24"/>
          <w:szCs w:val="24"/>
          <w:lang w:eastAsia="zh-CN"/>
        </w:rPr>
      </w:pPr>
      <w:bookmarkStart w:id="10" w:name="_Toc19198461"/>
      <w:r>
        <w:rPr>
          <w:rFonts w:hint="eastAsia" w:asciiTheme="majorEastAsia" w:hAnsiTheme="majorEastAsia" w:eastAsiaTheme="majorEastAsia"/>
          <w:b/>
          <w:bCs/>
          <w:sz w:val="24"/>
          <w:szCs w:val="24"/>
          <w:lang w:eastAsia="zh-CN"/>
        </w:rPr>
        <w:t>8.文明施工</w:t>
      </w:r>
      <w:bookmarkEnd w:id="10"/>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8.1 施工期间，要始终保持现场卫生干净整洁，及时清除废弃物等，不得随意乱扔、乱堆、乱放。</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8.2 施工期间，要保持检修现场以外其它生产区域环境卫生的干净整洁，不得随意污损。确因施工而难于避免，也应完工后及时清理恢复原貌。</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8.3 施工结束后进行整体验收前，对现场要进行彻底清扫，恢复原貌。</w:t>
      </w:r>
    </w:p>
    <w:p>
      <w:pPr>
        <w:spacing w:line="360" w:lineRule="auto"/>
        <w:rPr>
          <w:rFonts w:asciiTheme="majorEastAsia" w:hAnsiTheme="majorEastAsia" w:eastAsiaTheme="majorEastAsia"/>
          <w:b/>
          <w:bCs/>
          <w:sz w:val="24"/>
          <w:szCs w:val="24"/>
          <w:lang w:eastAsia="zh-CN"/>
        </w:rPr>
      </w:pPr>
      <w:bookmarkStart w:id="11" w:name="_Toc19198462"/>
      <w:r>
        <w:rPr>
          <w:rFonts w:hint="eastAsia" w:asciiTheme="majorEastAsia" w:hAnsiTheme="majorEastAsia" w:eastAsiaTheme="majorEastAsia"/>
          <w:b/>
          <w:bCs/>
          <w:sz w:val="24"/>
          <w:szCs w:val="24"/>
          <w:lang w:eastAsia="zh-CN"/>
        </w:rPr>
        <w:t>9.考核细则</w:t>
      </w:r>
      <w:bookmarkEnd w:id="11"/>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9.1 遵守招标方有关规章制度，如违反则按招标方相关制度考核。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9.2 施工时应严格按工艺进行，如违反，发现一次扣款200元。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9.3 三级验收一次合格率需达到98%，未达到该项指标按每项扣款500元。</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9.4 工期要求：施工方必须在协议工期内完成，每推迟一天扣工程款5000元（因业主调整生产时间除外）。</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9.5 施工所用人员、机械必须保证满足招标方工程的安全、质量、进度要求。如不能达到以上要求，招标方有权更换施工队伍并另行委托，其一切费用由投标方承担。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9.6 因工程质量问题进行返工所产生的一切费用均由投标方承担。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9.7 违反GB26164.1《电业安全工作规程》及腾龙芳烃（漳州）有限公司相关的安全管理规定，发现一次扣款500元，发现3次，停工整顿并扣合同款5%。</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10、验收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10.1 由投标方根据招标方的检修要求制定现场检修验收文件，认真执行三级检验制度，层层把关，责任到位，现场记录清楚、准确、完整。</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10.2 承接方在所有工作结束后，必须提供一份完整的现场检测、维修报告给招标方，一周内向业主方提供正式的检验报告纸质版及电子版、相关的签证文件。</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11.服务要求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11.1 在质保期内，所有更换的元器件、控制板如有故障，由投标方负责并免费提供更换服务。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11.2 投标方应提供24小时服务的支持电话，对于招标方提出的技术支持要求能保证在48小时内到达故障现场，并在最短时间内解决。</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11.3 投标方应派工程师提供现场技术服务。</w:t>
      </w:r>
    </w:p>
    <w:p>
      <w:pPr>
        <w:adjustRightInd w:val="0"/>
        <w:snapToGrid w:val="0"/>
        <w:spacing w:line="360" w:lineRule="auto"/>
        <w:ind w:left="-110" w:leftChars="-50" w:firstLine="118" w:firstLineChars="49"/>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12.差 异 表</w:t>
      </w:r>
    </w:p>
    <w:p>
      <w:pPr>
        <w:adjustRightInd w:val="0"/>
        <w:snapToGrid w:val="0"/>
        <w:spacing w:line="360" w:lineRule="auto"/>
        <w:ind w:left="-110" w:leftChars="-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投标人要将投标文件和招标文件的差异之处汇集成表。</w:t>
      </w:r>
    </w:p>
    <w:tbl>
      <w:tblPr>
        <w:tblStyle w:val="29"/>
        <w:tblW w:w="92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97"/>
        <w:gridCol w:w="767"/>
        <w:gridCol w:w="3337"/>
        <w:gridCol w:w="10"/>
        <w:gridCol w:w="928"/>
        <w:gridCol w:w="33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Merge w:val="restart"/>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4114" w:type="dxa"/>
            <w:gridSpan w:val="3"/>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招标文件</w:t>
            </w:r>
          </w:p>
        </w:tc>
        <w:tc>
          <w:tcPr>
            <w:tcW w:w="4314"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投标文件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Merge w:val="continue"/>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条目</w:t>
            </w: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简要内容</w:t>
            </w: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条目</w:t>
            </w: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r>
              <w:rPr>
                <w:rFonts w:hint="eastAsia" w:asciiTheme="majorEastAsia" w:hAnsiTheme="majorEastAsia" w:eastAsiaTheme="majorEastAsia"/>
                <w:sz w:val="21"/>
                <w:szCs w:val="21"/>
              </w:rPr>
              <w:t>简要内容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76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37" w:type="dxa"/>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938" w:type="dxa"/>
            <w:gridSpan w:val="2"/>
            <w:vAlign w:val="center"/>
          </w:tcPr>
          <w:p>
            <w:pPr>
              <w:adjustRightInd w:val="0"/>
              <w:snapToGrid w:val="0"/>
              <w:spacing w:line="360" w:lineRule="auto"/>
              <w:ind w:left="-110" w:leftChars="-50"/>
              <w:rPr>
                <w:rFonts w:asciiTheme="majorEastAsia" w:hAnsiTheme="majorEastAsia" w:eastAsiaTheme="majorEastAsia"/>
                <w:sz w:val="21"/>
                <w:szCs w:val="21"/>
              </w:rPr>
            </w:pPr>
          </w:p>
        </w:tc>
        <w:tc>
          <w:tcPr>
            <w:tcW w:w="3386" w:type="dxa"/>
            <w:vAlign w:val="center"/>
          </w:tcPr>
          <w:p>
            <w:pPr>
              <w:adjustRightInd w:val="0"/>
              <w:snapToGrid w:val="0"/>
              <w:spacing w:line="360" w:lineRule="auto"/>
              <w:ind w:left="-110" w:leftChars="-50"/>
              <w:rPr>
                <w:rFonts w:asciiTheme="majorEastAsia" w:hAnsiTheme="majorEastAsia" w:eastAsiaTheme="majorEastAsia"/>
                <w:sz w:val="21"/>
                <w:szCs w:val="21"/>
              </w:rPr>
            </w:pPr>
          </w:p>
        </w:tc>
      </w:tr>
    </w:tbl>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pPr>
        <w:spacing w:line="360" w:lineRule="auto"/>
        <w:rPr>
          <w:rFonts w:asciiTheme="majorEastAsia" w:hAnsiTheme="majorEastAsia" w:eastAsiaTheme="majorEastAsia"/>
          <w:b/>
          <w:sz w:val="24"/>
          <w:szCs w:val="24"/>
          <w:lang w:eastAsia="zh-CN"/>
        </w:rPr>
      </w:pPr>
    </w:p>
    <w:p>
      <w:pPr>
        <w:spacing w:line="360" w:lineRule="auto"/>
        <w:rPr>
          <w:rFonts w:asciiTheme="majorEastAsia" w:hAnsiTheme="majorEastAsia" w:eastAsiaTheme="majorEastAsia"/>
          <w:b/>
          <w:sz w:val="24"/>
          <w:szCs w:val="24"/>
          <w:lang w:eastAsia="zh-CN"/>
        </w:rPr>
      </w:pPr>
    </w:p>
    <w:p>
      <w:pPr>
        <w:spacing w:line="360" w:lineRule="auto"/>
        <w:rPr>
          <w:b/>
          <w:sz w:val="24"/>
          <w:lang w:eastAsia="zh-CN"/>
        </w:rPr>
      </w:pPr>
    </w:p>
    <w:p>
      <w:pPr>
        <w:spacing w:line="360" w:lineRule="auto"/>
        <w:rPr>
          <w:b/>
          <w:sz w:val="24"/>
          <w:lang w:eastAsia="zh-CN"/>
        </w:rPr>
      </w:pPr>
    </w:p>
    <w:p>
      <w:pPr>
        <w:spacing w:line="360" w:lineRule="auto"/>
        <w:rPr>
          <w:b/>
          <w:sz w:val="24"/>
          <w:lang w:eastAsia="zh-CN"/>
        </w:rPr>
      </w:pPr>
    </w:p>
    <w:p>
      <w:pPr>
        <w:spacing w:line="360" w:lineRule="auto"/>
        <w:rPr>
          <w:b/>
          <w:sz w:val="24"/>
          <w:lang w:eastAsia="zh-CN"/>
        </w:rPr>
      </w:pPr>
      <w:r>
        <w:rPr>
          <w:rFonts w:hint="eastAsia"/>
          <w:b/>
          <w:sz w:val="24"/>
          <w:lang w:eastAsia="zh-CN"/>
        </w:rPr>
        <w:t>附件二：</w:t>
      </w:r>
    </w:p>
    <w:p>
      <w:pPr>
        <w:snapToGrid w:val="0"/>
        <w:spacing w:afterLines="100"/>
        <w:jc w:val="center"/>
        <w:outlineLvl w:val="0"/>
        <w:rPr>
          <w:rFonts w:ascii="黑体" w:eastAsia="黑体"/>
          <w:b/>
          <w:sz w:val="52"/>
          <w:szCs w:val="52"/>
          <w:lang w:eastAsia="zh-CN"/>
        </w:rPr>
      </w:pPr>
      <w:r>
        <w:rPr>
          <w:rFonts w:hint="eastAsia" w:ascii="黑体" w:eastAsia="黑体"/>
          <w:b/>
          <w:sz w:val="52"/>
          <w:szCs w:val="52"/>
          <w:lang w:eastAsia="zh-CN"/>
        </w:rPr>
        <w:t>安全环保协议书</w:t>
      </w:r>
    </w:p>
    <w:p>
      <w:pPr>
        <w:tabs>
          <w:tab w:val="left" w:pos="420"/>
        </w:tabs>
        <w:rPr>
          <w:color w:val="222222"/>
          <w:szCs w:val="21"/>
          <w:lang w:eastAsia="zh-CN"/>
        </w:rPr>
      </w:pPr>
      <w:r>
        <w:rPr>
          <w:rFonts w:hint="eastAsia"/>
          <w:color w:val="222222"/>
          <w:szCs w:val="21"/>
          <w:lang w:eastAsia="zh-CN"/>
        </w:rPr>
        <w:t>发包方（甲方）</w:t>
      </w:r>
      <w:r>
        <w:rPr>
          <w:color w:val="222222"/>
          <w:szCs w:val="21"/>
          <w:lang w:eastAsia="zh-CN"/>
        </w:rPr>
        <w:t>：</w:t>
      </w:r>
      <w:r>
        <w:rPr>
          <w:rFonts w:hint="eastAsia"/>
          <w:color w:val="222222"/>
          <w:szCs w:val="21"/>
          <w:lang w:eastAsia="zh-CN"/>
        </w:rPr>
        <w:t>腾龙芳烃（漳州）有限公司</w:t>
      </w:r>
    </w:p>
    <w:p>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 xml:space="preserve">： </w:t>
      </w:r>
    </w:p>
    <w:p>
      <w:pPr>
        <w:spacing w:line="480" w:lineRule="exact"/>
        <w:ind w:firstLine="440" w:firstLineChars="200"/>
        <w:rPr>
          <w:rFonts w:ascii="仿宋_GB2312" w:eastAsia="新宋体"/>
          <w:szCs w:val="21"/>
          <w:lang w:eastAsia="zh-CN"/>
        </w:rPr>
      </w:pPr>
      <w:r>
        <w:rPr>
          <w:rFonts w:hint="eastAsia" w:ascii="仿宋_GB2312" w:eastAsia="新宋体"/>
          <w:szCs w:val="21"/>
          <w:lang w:eastAsia="zh-CN"/>
        </w:rPr>
        <w:t>甲乙双方针对</w:t>
      </w:r>
      <w:r>
        <w:rPr>
          <w:rFonts w:hint="eastAsia" w:ascii="仿宋_GB2312" w:eastAsia="新宋体"/>
          <w:szCs w:val="21"/>
          <w:u w:val="single"/>
          <w:lang w:eastAsia="zh-CN"/>
        </w:rPr>
        <w:t xml:space="preserve"> 不间断电源UPS检维修项目 签</w:t>
      </w:r>
      <w:r>
        <w:rPr>
          <w:rFonts w:hint="eastAsia" w:ascii="仿宋_GB2312" w:eastAsia="新宋体"/>
          <w:szCs w:val="21"/>
          <w:lang w:eastAsia="zh-CN"/>
        </w:rPr>
        <w:t>订了</w:t>
      </w:r>
      <w:r>
        <w:rPr>
          <w:rFonts w:hint="eastAsia" w:ascii="仿宋_GB2312" w:eastAsia="新宋体"/>
          <w:szCs w:val="21"/>
          <w:u w:val="single"/>
          <w:lang w:eastAsia="zh-CN"/>
        </w:rPr>
        <w:t xml:space="preserve"> 技术服务 </w:t>
      </w:r>
      <w:r>
        <w:rPr>
          <w:rFonts w:hint="eastAsia" w:ascii="仿宋_GB2312" w:eastAsia="新宋体"/>
          <w:szCs w:val="21"/>
          <w:lang w:eastAsia="zh-CN"/>
        </w:rPr>
        <w:t>合同，</w:t>
      </w:r>
      <w:r>
        <w:rPr>
          <w:rFonts w:hint="eastAsia" w:asciiTheme="minorEastAsia" w:hAnsiTheme="minorEastAsia" w:eastAsiaTheme="minorEastAsia"/>
          <w:szCs w:val="21"/>
          <w:lang w:eastAsia="zh-CN"/>
        </w:rPr>
        <w:t>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numPr>
          <w:ilvl w:val="0"/>
          <w:numId w:val="5"/>
        </w:numPr>
        <w:tabs>
          <w:tab w:val="left" w:pos="540"/>
        </w:tabs>
        <w:autoSpaceDE/>
        <w:autoSpaceDN/>
        <w:spacing w:afterLines="50" w:line="360" w:lineRule="auto"/>
        <w:jc w:val="both"/>
        <w:rPr>
          <w:b/>
          <w:szCs w:val="21"/>
        </w:rPr>
      </w:pPr>
      <w:r>
        <w:rPr>
          <w:rFonts w:hint="eastAsia"/>
          <w:b/>
          <w:szCs w:val="21"/>
        </w:rPr>
        <w:t>甲方的权利和义务</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甲方必须严格遵守政府或行业协会颁布实施的法律、法规、标准、规范等，对乙方的安全生产管理工作不定期进行安全检查，发现安全问题的，及时督促整改。</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工程项目开始施工前，甲方必须对乙方单位、人员、设备的资质和条件等进行审查，审查合格方可准许乙方施工人员和设备入厂施工。</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在乙方进场施工前，甲方必须对乙方全体施工人员、技术人员、管理人员等入厂人员进行安全、文明施工教育培训和考核，并要求乙方人员办理出入证。</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甲方可以随时对乙方的施工、办公现场进行监督、检查，并有权责令乙方清除、整改不安全隐患，对存在严重隐患的，有权要求乙方立即停工整顿，因此所造成的一切损失由乙方承担。</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甲方有权检查乙方自带或外租机械设备、小型电动工具、临时用电设施以及个人防护用品(如安全帽、安全带等)的安全性能，对如上不合格的物品有权责令停止使用。</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甲方根据相关规定对乙方进行安全技术交底，并定期检查安全技术交底执行情况。</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乙方在施工过程中因违反相关安全规定而发生的安全事故，甲方将不承担事故所造成的任何损失。</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甲方有权依据相关规定对乙方违反安全生产、环保、消防、治安、文明施工规定的行为进行经济处罚。</w:t>
      </w:r>
    </w:p>
    <w:p>
      <w:pPr>
        <w:numPr>
          <w:ilvl w:val="1"/>
          <w:numId w:val="5"/>
        </w:numPr>
        <w:tabs>
          <w:tab w:val="left" w:pos="426"/>
          <w:tab w:val="clear" w:pos="780"/>
        </w:tabs>
        <w:autoSpaceDE/>
        <w:autoSpaceDN/>
        <w:spacing w:afterLines="50" w:line="360" w:lineRule="auto"/>
        <w:ind w:left="426" w:hanging="426"/>
        <w:jc w:val="both"/>
        <w:rPr>
          <w:szCs w:val="21"/>
          <w:lang w:eastAsia="zh-CN"/>
        </w:rPr>
      </w:pPr>
      <w:r>
        <w:rPr>
          <w:rFonts w:hint="eastAsia"/>
          <w:szCs w:val="21"/>
          <w:lang w:eastAsia="zh-CN"/>
        </w:rPr>
        <w:t>因乙方严重违反国家、地方政府及甲方的相关环安规定的，甲方有权终止合同，所造成的一切损失由乙方负责。</w:t>
      </w:r>
    </w:p>
    <w:p>
      <w:pPr>
        <w:numPr>
          <w:ilvl w:val="0"/>
          <w:numId w:val="5"/>
        </w:numPr>
        <w:tabs>
          <w:tab w:val="left" w:pos="540"/>
        </w:tabs>
        <w:autoSpaceDE/>
        <w:autoSpaceDN/>
        <w:spacing w:afterLines="50" w:line="360" w:lineRule="auto"/>
        <w:jc w:val="both"/>
        <w:rPr>
          <w:b/>
          <w:szCs w:val="21"/>
        </w:rPr>
      </w:pPr>
      <w:r>
        <w:rPr>
          <w:rFonts w:hint="eastAsia"/>
          <w:b/>
          <w:szCs w:val="21"/>
        </w:rPr>
        <w:t>乙方的权利和义务</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乙方必须严格遵守政府或行业协会颁布实施的法律、法规、标准、规范等，并严格遵守甲方的相关安全管理制度和要求。</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乙方必须按有关规定，采取严格的安全环保防范措施。由于未执行相关法律法规、规章制度和自身安全措施不力而造成事故的责任和因此而发生的费用由乙方承担。</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乙方必须按照规定提供相关文件、资料，接受甲方的安全资质和条件审查，签订安全环保协议书。乙方必须保证所提交的文件、资料符合国家有关规定，并对其真实性负责。</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乙方应按《中华人民共和国劳动法》等法律、法规、规定用工，严禁使用未成年工和有职业禁忌的人员进行施工作业。</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乙方必须按国家有关规定，为施工人员办理工伤保险、意外伤害保险。</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乙方必须按国家有关规定，为施工人员配备合格的劳动防护用品及安全用具，并保证施工工具、器械使用安全。</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制定并认真执行符合安全施工要求的安全管理制度、安全责任制度和安全操作规程及突发事件应急救援预案。在施工前对所有施工人员进行安全、文明施工教育，让其了解相关管理要求。乙方还需对本单位管理和施工人员进行经常性的安全环保教育，以增强安全意识及自我保护能力，增强遵守安全生产制度的自觉性。</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乙方相关负责人、管理人员、工程技术人员、施工作业人员和特种作业人员的配置及持证必须符合安全生产要求。</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配备的机械、工器具、安全防护设施、安全用具必须满足安全施工的要求，涉及定期试验的工器具、绝缘用具、施工机具、安全防护用品等，必须提供具有检验、试验资质部门出具的合格检验报告。开工前乙方应组织技术人员对施工机械、工器具及安全防护设施进行检查，确保符合安全规定并不超过检验周期。</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入厂前，乙方必须组织全体施工作业人员办理出入证，乙方施工人员在进出厂时主动出示出入证，没有出入证的承包商人员不准进入厂区。卡牌损坏或遗失的，承包商负责人应立即联系甲方进行补办并承担相应的费用。乙方施工人员有任何的新进人员，必须立即报甲方监工单位进行相关培训，合格后才能入厂。乙方负责人必须确保：没有经过安全环保培训和安全交底的施工人员不得进入厂区进行施工。</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对所承担的工程项目，应制订施工作业方案，对危险性较大的分部分项工程，还应制定专项安全施工方案。乙方必须严格按照方案要求贯彻实施，并随时检查施工人员落实情况，予以经常性的督促、指导，确保施工安全。</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乙方在施工期间应自觉接受甲方的监督和指导。对甲方检查提出的安全整改通知，必须按照甲方要求及时整改。施工中一旦发生人身事故或危及生产运行的不安全因素，必须立即报告甲方。</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乙方必须认真执行安全事故隐患排查制度，定期对作业环境、设施设备的安全状态、作业人员安全素质进行认真的排查，对检查发现的安全事故隐患，应及时制定并落实整改措施并上报甲方环安部。</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发现、发生生产安全事故时，乙方必须及时向甲方报告。同时根据指令迅速组织实施现场人员疏散和抢救工作、采取相应的措施保护好现场，并要积极配合甲方或上级有关部门对事故的调查和现场勘查。凡因乙方隐瞒不报、做伪证或擅自破坏事故现场，所造成的一切后果由乙方承担。</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施工人员、施工车辆、施工设施等进、出甲方厂区，必须接受甲方守卫的检查，不得刁难或辱骂检查人员。施工车辆载重量应符合甲方道路要求，行驶时速不得超过限速要求。对超速行使和辱骂检查人员的，甲方视情节严重情况可对乙方给予罚款；造成甲方公共设施损坏的，乙方应给予修复或等价赔偿。</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在甲方厂区内进行的检修作业、动火作业、进入受限空间作业、登高作业、动土作业、占道作业、临时用电作业、吊装作业、放射作业、盲板抽堵作业等必须按照甲方相关规定、得到甲方主管部门的批准，办理作业票证后方可施工。乙方因擅自作业造成的损失全部由乙方承担。对违反规定的，甲方可根据公司相关管理制度对乙方给予相应的罚款。</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甲方厂区配备的消防设施、维修工具、物件等乙方严禁动用，因施工需要应向甲方申请，获得同意后方可使用。</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乙方所有人员在甲方厂区内必须严格遵守吸烟管理规定和其它相关烟火管理规定。</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乙方在施工时应避免造成大量的扬尘；所产生的危险废弃物，应与一般废弃物分开收集存放，收集存放过程必须符合法定和甲方环保、安全管理体系的相关要求。</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在乙方施工过程中，如果甲方工作人员有违章指挥、强令冒险作业的行为，乙方有权拒绝执行，并可向甲方环安部检举。</w:t>
      </w:r>
    </w:p>
    <w:p>
      <w:pPr>
        <w:numPr>
          <w:ilvl w:val="0"/>
          <w:numId w:val="5"/>
        </w:numPr>
        <w:tabs>
          <w:tab w:val="left" w:pos="540"/>
        </w:tabs>
        <w:autoSpaceDE/>
        <w:autoSpaceDN/>
        <w:spacing w:afterLines="50" w:line="360" w:lineRule="auto"/>
        <w:jc w:val="both"/>
        <w:rPr>
          <w:b/>
          <w:szCs w:val="21"/>
        </w:rPr>
      </w:pPr>
      <w:r>
        <w:rPr>
          <w:rFonts w:hint="eastAsia"/>
          <w:b/>
          <w:szCs w:val="21"/>
        </w:rPr>
        <w:t>其它约定</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乙方不得将工程违法转包、分包。</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任何物资出厂，乙方需到甲方行政部门开具出门证，经甲方工程主管人员签字确认，方可放行，物资出入手续不全者，不予放行。</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发生安全生产事故的，由甲方或者上级安全监察机构按事故调查规程处理，乙方参与调查。因乙方主要责任造成的人身伤亡、设备损坏事故及其造成的经济损失,一切责任及损失由乙方承担，并由乙方上报有关政府部门调查处理、统计上报。</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协议双方必须遵守协议条款内容，对施工过程中违反本协议的行为，采用教育为主，处罚为辅的方式。</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其它未尽事宜，双方将本着平等、友好的态度与进行协商，协商不成，提交甲方住所地人民法院裁决。</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本协议自签订之日起而生效，项目结束后自然失效。</w:t>
      </w:r>
    </w:p>
    <w:p>
      <w:pPr>
        <w:numPr>
          <w:ilvl w:val="1"/>
          <w:numId w:val="5"/>
        </w:numPr>
        <w:tabs>
          <w:tab w:val="left" w:pos="284"/>
          <w:tab w:val="clear" w:pos="780"/>
        </w:tabs>
        <w:autoSpaceDE/>
        <w:autoSpaceDN/>
        <w:spacing w:afterLines="50" w:line="360" w:lineRule="auto"/>
        <w:ind w:left="426" w:hanging="426"/>
        <w:jc w:val="both"/>
        <w:rPr>
          <w:szCs w:val="21"/>
          <w:lang w:eastAsia="zh-CN"/>
        </w:rPr>
      </w:pPr>
      <w:r>
        <w:rPr>
          <w:rFonts w:hint="eastAsia"/>
          <w:szCs w:val="21"/>
          <w:lang w:eastAsia="zh-CN"/>
        </w:rPr>
        <w:t>本协议一式三份，甲方监工部门、甲方环安部门、乙方各持一份，具有同等的法律效力。</w:t>
      </w:r>
    </w:p>
    <w:p>
      <w:pPr>
        <w:pStyle w:val="17"/>
        <w:spacing w:afterLines="150" w:line="276" w:lineRule="auto"/>
        <w:rPr>
          <w:rFonts w:hAnsi="宋体"/>
          <w:lang w:eastAsia="zh-CN"/>
        </w:rPr>
      </w:pPr>
    </w:p>
    <w:p>
      <w:pPr>
        <w:pStyle w:val="17"/>
        <w:spacing w:afterLines="150" w:line="276" w:lineRule="auto"/>
        <w:rPr>
          <w:rFonts w:hAnsi="宋体"/>
          <w:lang w:eastAsia="zh-CN"/>
        </w:rPr>
      </w:pPr>
      <w:r>
        <w:rPr>
          <w:rFonts w:hint="eastAsia" w:hAnsi="宋体"/>
          <w:lang w:eastAsia="zh-CN"/>
        </w:rPr>
        <w:t>甲方：（盖章）                             乙方：（盖章）</w:t>
      </w:r>
    </w:p>
    <w:p>
      <w:pPr>
        <w:pStyle w:val="17"/>
        <w:spacing w:afterLines="150" w:line="276" w:lineRule="auto"/>
        <w:rPr>
          <w:rFonts w:hAnsi="宋体"/>
          <w:lang w:eastAsia="zh-CN"/>
        </w:rPr>
      </w:pPr>
      <w:r>
        <w:rPr>
          <w:rFonts w:hint="eastAsia" w:hAnsi="宋体"/>
          <w:lang w:eastAsia="zh-CN"/>
        </w:rPr>
        <w:t xml:space="preserve">腾龙芳烃（漳州）有限公司                           </w:t>
      </w:r>
    </w:p>
    <w:p>
      <w:pPr>
        <w:spacing w:line="360" w:lineRule="auto"/>
        <w:rPr>
          <w:szCs w:val="21"/>
          <w:lang w:eastAsia="zh-CN"/>
        </w:rPr>
      </w:pPr>
      <w:r>
        <w:rPr>
          <w:rFonts w:hint="eastAsia"/>
          <w:lang w:eastAsia="zh-CN"/>
        </w:rPr>
        <w:t xml:space="preserve">日期：                                    </w:t>
      </w:r>
    </w:p>
    <w:p>
      <w:pPr>
        <w:spacing w:line="360" w:lineRule="auto"/>
        <w:rPr>
          <w:szCs w:val="21"/>
          <w:lang w:eastAsia="zh-CN"/>
        </w:rPr>
      </w:pPr>
    </w:p>
    <w:p>
      <w:pPr>
        <w:rPr>
          <w:lang w:eastAsia="zh-CN"/>
        </w:rPr>
      </w:pPr>
    </w:p>
    <w:p>
      <w:pPr>
        <w:tabs>
          <w:tab w:val="left" w:pos="2010"/>
        </w:tabs>
        <w:spacing w:line="360" w:lineRule="auto"/>
        <w:rPr>
          <w:rFonts w:asciiTheme="majorEastAsia" w:hAnsiTheme="majorEastAsia" w:eastAsiaTheme="majorEastAsia"/>
          <w:sz w:val="24"/>
          <w:lang w:eastAsia="zh-CN"/>
        </w:rPr>
      </w:pPr>
    </w:p>
    <w:p>
      <w:pPr>
        <w:pStyle w:val="17"/>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12"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南部供热中心不间断电源UPS装置检维修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12"/>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ajorEastAsia" w:hAnsiTheme="majorEastAsia" w:eastAsiaTheme="majorEastAsia"/>
          <w:sz w:val="24"/>
          <w:szCs w:val="24"/>
          <w:u w:val="single"/>
          <w:lang w:eastAsia="zh-CN"/>
        </w:rPr>
        <w:t>南部供热中心不间断电源UPS装置检维修</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南部供热中心不间断电源UPS装置检维修</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r>
        <w:rPr>
          <w:rFonts w:hint="eastAsia"/>
          <w:sz w:val="24"/>
          <w:szCs w:val="24"/>
        </w:rPr>
        <w:t>附件5、</w:t>
      </w:r>
    </w:p>
    <w:p>
      <w:pPr>
        <w:pStyle w:val="2"/>
        <w:rPr>
          <w:sz w:val="24"/>
          <w:szCs w:val="24"/>
        </w:rPr>
      </w:pPr>
    </w:p>
    <w:p>
      <w:pPr>
        <w:pStyle w:val="2"/>
        <w:rPr>
          <w:sz w:val="24"/>
          <w:szCs w:val="24"/>
        </w:rPr>
      </w:pP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南部供热中心不间断电源UPS装置检维修项目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元 （具体见附表）</w:t>
      </w:r>
    </w:p>
    <w:p>
      <w:pPr>
        <w:pStyle w:val="2"/>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13%  </w:t>
      </w:r>
      <w:r>
        <w:rPr>
          <w:rFonts w:hint="eastAsia"/>
          <w:sz w:val="24"/>
          <w:szCs w:val="24"/>
        </w:rPr>
        <w:t xml:space="preserve"> ；</w:t>
      </w:r>
    </w:p>
    <w:p>
      <w:pPr>
        <w:pStyle w:val="2"/>
        <w:spacing w:line="360" w:lineRule="auto"/>
        <w:ind w:left="3480" w:hanging="3480" w:hangingChars="1450"/>
        <w:rPr>
          <w:sz w:val="24"/>
          <w:szCs w:val="24"/>
        </w:rPr>
      </w:pPr>
      <w:r>
        <w:rPr>
          <w:rFonts w:hint="eastAsia"/>
          <w:sz w:val="24"/>
          <w:szCs w:val="24"/>
        </w:rPr>
        <w:t xml:space="preserve">               2、付款方式：</w:t>
      </w:r>
      <w:r>
        <w:rPr>
          <w:rFonts w:hint="eastAsia"/>
          <w:sz w:val="24"/>
          <w:szCs w:val="24"/>
          <w:u w:val="single"/>
        </w:rPr>
        <w:t xml:space="preserve"> 无预付款，工作完成验收合格后支付90%，质保款10% </w:t>
      </w:r>
      <w:r>
        <w:rPr>
          <w:rFonts w:hint="eastAsia"/>
          <w:sz w:val="24"/>
          <w:szCs w:val="24"/>
        </w:rPr>
        <w:t>；</w:t>
      </w:r>
    </w:p>
    <w:p>
      <w:pPr>
        <w:pStyle w:val="2"/>
        <w:spacing w:line="360" w:lineRule="auto"/>
        <w:rPr>
          <w:sz w:val="24"/>
          <w:szCs w:val="24"/>
          <w:u w:val="single"/>
        </w:rPr>
      </w:pPr>
      <w:r>
        <w:rPr>
          <w:rFonts w:hint="eastAsia"/>
          <w:sz w:val="24"/>
          <w:szCs w:val="24"/>
        </w:rPr>
        <w:t xml:space="preserve">               3、检维修期限：</w:t>
      </w:r>
      <w:r>
        <w:rPr>
          <w:rFonts w:hint="eastAsia"/>
          <w:sz w:val="24"/>
          <w:szCs w:val="24"/>
          <w:u w:val="single"/>
        </w:rPr>
        <w:t xml:space="preserve">  20天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17"/>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附表：</w:t>
      </w:r>
    </w:p>
    <w:tbl>
      <w:tblPr>
        <w:tblStyle w:val="29"/>
        <w:tblW w:w="9199"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2835"/>
        <w:gridCol w:w="851"/>
        <w:gridCol w:w="850"/>
        <w:gridCol w:w="1276"/>
        <w:gridCol w:w="1418"/>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Align w:val="center"/>
          </w:tcPr>
          <w:p>
            <w:pPr>
              <w:widowControl/>
              <w:spacing w:line="360" w:lineRule="auto"/>
              <w:jc w:val="center"/>
              <w:rPr>
                <w:color w:val="000000"/>
                <w:szCs w:val="21"/>
              </w:rPr>
            </w:pPr>
            <w:r>
              <w:rPr>
                <w:rFonts w:hint="eastAsia"/>
                <w:color w:val="000000"/>
                <w:szCs w:val="21"/>
              </w:rPr>
              <w:t>序号</w:t>
            </w:r>
          </w:p>
        </w:tc>
        <w:tc>
          <w:tcPr>
            <w:tcW w:w="2835" w:type="dxa"/>
            <w:vAlign w:val="center"/>
          </w:tcPr>
          <w:p>
            <w:pPr>
              <w:widowControl/>
              <w:spacing w:line="360" w:lineRule="auto"/>
              <w:jc w:val="center"/>
              <w:rPr>
                <w:color w:val="000000"/>
                <w:szCs w:val="21"/>
              </w:rPr>
            </w:pPr>
            <w:r>
              <w:rPr>
                <w:rFonts w:hint="eastAsia"/>
                <w:color w:val="000000"/>
                <w:szCs w:val="21"/>
              </w:rPr>
              <w:t>产品名称</w:t>
            </w:r>
          </w:p>
        </w:tc>
        <w:tc>
          <w:tcPr>
            <w:tcW w:w="851" w:type="dxa"/>
            <w:vAlign w:val="center"/>
          </w:tcPr>
          <w:p>
            <w:pPr>
              <w:widowControl/>
              <w:spacing w:line="360" w:lineRule="auto"/>
              <w:jc w:val="center"/>
              <w:rPr>
                <w:color w:val="000000"/>
                <w:szCs w:val="21"/>
                <w:lang w:eastAsia="zh-CN"/>
              </w:rPr>
            </w:pPr>
            <w:r>
              <w:rPr>
                <w:rFonts w:hint="eastAsia"/>
                <w:color w:val="000000"/>
                <w:szCs w:val="21"/>
                <w:lang w:eastAsia="zh-CN"/>
              </w:rPr>
              <w:t>容量</w:t>
            </w:r>
          </w:p>
        </w:tc>
        <w:tc>
          <w:tcPr>
            <w:tcW w:w="850" w:type="dxa"/>
            <w:vAlign w:val="center"/>
          </w:tcPr>
          <w:p>
            <w:pPr>
              <w:widowControl/>
              <w:spacing w:line="360" w:lineRule="auto"/>
              <w:jc w:val="center"/>
              <w:rPr>
                <w:color w:val="000000"/>
                <w:szCs w:val="21"/>
              </w:rPr>
            </w:pPr>
            <w:r>
              <w:rPr>
                <w:rFonts w:hint="eastAsia"/>
                <w:color w:val="000000"/>
                <w:szCs w:val="21"/>
              </w:rPr>
              <w:t>数量</w:t>
            </w:r>
          </w:p>
        </w:tc>
        <w:tc>
          <w:tcPr>
            <w:tcW w:w="1276" w:type="dxa"/>
            <w:vAlign w:val="center"/>
          </w:tcPr>
          <w:p>
            <w:pPr>
              <w:widowControl/>
              <w:spacing w:line="240" w:lineRule="atLeast"/>
              <w:jc w:val="center"/>
              <w:rPr>
                <w:color w:val="000000"/>
                <w:szCs w:val="21"/>
              </w:rPr>
            </w:pPr>
            <w:r>
              <w:rPr>
                <w:rFonts w:hint="eastAsia"/>
                <w:color w:val="000000"/>
                <w:szCs w:val="21"/>
              </w:rPr>
              <w:t>单价（元）</w:t>
            </w:r>
          </w:p>
        </w:tc>
        <w:tc>
          <w:tcPr>
            <w:tcW w:w="1418" w:type="dxa"/>
            <w:vAlign w:val="center"/>
          </w:tcPr>
          <w:p>
            <w:pPr>
              <w:widowControl/>
              <w:spacing w:line="360" w:lineRule="auto"/>
              <w:jc w:val="center"/>
              <w:rPr>
                <w:color w:val="000000"/>
                <w:szCs w:val="21"/>
              </w:rPr>
            </w:pPr>
            <w:r>
              <w:rPr>
                <w:rFonts w:hint="eastAsia"/>
                <w:color w:val="000000"/>
                <w:szCs w:val="21"/>
              </w:rPr>
              <w:t>金额（元）</w:t>
            </w:r>
          </w:p>
        </w:tc>
        <w:tc>
          <w:tcPr>
            <w:tcW w:w="1275" w:type="dxa"/>
            <w:vAlign w:val="center"/>
          </w:tcPr>
          <w:p>
            <w:pPr>
              <w:widowControl/>
              <w:spacing w:line="360" w:lineRule="auto"/>
              <w:jc w:val="center"/>
              <w:rPr>
                <w:color w:val="000000"/>
                <w:szCs w:val="21"/>
              </w:rPr>
            </w:pPr>
            <w:r>
              <w:rPr>
                <w:rFonts w:hint="eastAsia"/>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vAlign w:val="center"/>
          </w:tcPr>
          <w:p>
            <w:pPr>
              <w:widowControl/>
              <w:spacing w:line="360" w:lineRule="auto"/>
              <w:jc w:val="center"/>
              <w:rPr>
                <w:color w:val="000000"/>
                <w:szCs w:val="21"/>
              </w:rPr>
            </w:pPr>
            <w:r>
              <w:rPr>
                <w:rFonts w:hint="eastAsia"/>
                <w:color w:val="000000"/>
                <w:szCs w:val="21"/>
              </w:rPr>
              <w:t>1</w:t>
            </w:r>
          </w:p>
        </w:tc>
        <w:tc>
          <w:tcPr>
            <w:tcW w:w="2835" w:type="dxa"/>
            <w:vAlign w:val="center"/>
          </w:tcPr>
          <w:p>
            <w:pPr>
              <w:widowControl/>
              <w:spacing w:line="240" w:lineRule="atLeast"/>
              <w:jc w:val="center"/>
              <w:rPr>
                <w:color w:val="000000"/>
                <w:szCs w:val="21"/>
              </w:rPr>
            </w:pPr>
            <w:r>
              <w:rPr>
                <w:rFonts w:hint="eastAsia"/>
                <w:color w:val="000000"/>
                <w:szCs w:val="21"/>
              </w:rPr>
              <w:t>不间断电源UPS</w:t>
            </w:r>
          </w:p>
        </w:tc>
        <w:tc>
          <w:tcPr>
            <w:tcW w:w="851" w:type="dxa"/>
            <w:vAlign w:val="center"/>
          </w:tcPr>
          <w:p>
            <w:pPr>
              <w:widowControl/>
              <w:spacing w:line="360" w:lineRule="auto"/>
              <w:jc w:val="center"/>
              <w:rPr>
                <w:color w:val="000000"/>
                <w:szCs w:val="21"/>
              </w:rPr>
            </w:pPr>
            <w:r>
              <w:rPr>
                <w:rFonts w:hint="eastAsia"/>
                <w:color w:val="000000"/>
                <w:szCs w:val="21"/>
              </w:rPr>
              <w:t>80KVA</w:t>
            </w:r>
          </w:p>
        </w:tc>
        <w:tc>
          <w:tcPr>
            <w:tcW w:w="850" w:type="dxa"/>
            <w:vAlign w:val="center"/>
          </w:tcPr>
          <w:p>
            <w:pPr>
              <w:widowControl/>
              <w:spacing w:line="360" w:lineRule="auto"/>
              <w:jc w:val="center"/>
              <w:rPr>
                <w:color w:val="000000"/>
                <w:szCs w:val="21"/>
              </w:rPr>
            </w:pPr>
            <w:r>
              <w:rPr>
                <w:rFonts w:hint="eastAsia"/>
                <w:color w:val="000000"/>
                <w:szCs w:val="21"/>
                <w:lang w:eastAsia="zh-CN"/>
              </w:rPr>
              <w:t>3</w:t>
            </w:r>
            <w:r>
              <w:rPr>
                <w:rFonts w:hint="eastAsia"/>
                <w:color w:val="000000"/>
                <w:szCs w:val="21"/>
              </w:rPr>
              <w:t>台套</w:t>
            </w:r>
          </w:p>
        </w:tc>
        <w:tc>
          <w:tcPr>
            <w:tcW w:w="1276" w:type="dxa"/>
            <w:vAlign w:val="center"/>
          </w:tcPr>
          <w:p>
            <w:pPr>
              <w:widowControl/>
              <w:spacing w:line="360" w:lineRule="auto"/>
              <w:jc w:val="center"/>
              <w:rPr>
                <w:color w:val="000000"/>
                <w:szCs w:val="21"/>
              </w:rPr>
            </w:pPr>
          </w:p>
        </w:tc>
        <w:tc>
          <w:tcPr>
            <w:tcW w:w="1418" w:type="dxa"/>
            <w:vAlign w:val="center"/>
          </w:tcPr>
          <w:p>
            <w:pPr>
              <w:widowControl/>
              <w:spacing w:line="360" w:lineRule="auto"/>
              <w:jc w:val="center"/>
              <w:rPr>
                <w:color w:val="000000"/>
                <w:szCs w:val="21"/>
              </w:rPr>
            </w:pPr>
          </w:p>
        </w:tc>
        <w:tc>
          <w:tcPr>
            <w:tcW w:w="1275" w:type="dxa"/>
            <w:vAlign w:val="center"/>
          </w:tcPr>
          <w:p>
            <w:pPr>
              <w:widowControl/>
              <w:spacing w:line="360" w:lineRule="auto"/>
              <w:jc w:val="center"/>
              <w:rPr>
                <w:color w:val="000000"/>
                <w:szCs w:val="21"/>
              </w:rPr>
            </w:pPr>
            <w:r>
              <w:rPr>
                <w:rFonts w:hint="eastAsia"/>
                <w:color w:val="000000"/>
                <w:szCs w:val="21"/>
              </w:rPr>
              <w:t>PCM品牌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94" w:type="dxa"/>
            <w:vAlign w:val="center"/>
          </w:tcPr>
          <w:p>
            <w:pPr>
              <w:widowControl/>
              <w:spacing w:line="360" w:lineRule="auto"/>
              <w:jc w:val="center"/>
              <w:rPr>
                <w:color w:val="000000"/>
                <w:szCs w:val="21"/>
              </w:rPr>
            </w:pPr>
          </w:p>
        </w:tc>
        <w:tc>
          <w:tcPr>
            <w:tcW w:w="2835" w:type="dxa"/>
            <w:vAlign w:val="center"/>
          </w:tcPr>
          <w:p>
            <w:pPr>
              <w:widowControl/>
              <w:spacing w:line="240" w:lineRule="atLeast"/>
              <w:jc w:val="center"/>
              <w:rPr>
                <w:color w:val="000000"/>
                <w:szCs w:val="21"/>
              </w:rPr>
            </w:pPr>
          </w:p>
        </w:tc>
        <w:tc>
          <w:tcPr>
            <w:tcW w:w="851" w:type="dxa"/>
            <w:vAlign w:val="center"/>
          </w:tcPr>
          <w:p>
            <w:pPr>
              <w:widowControl/>
              <w:spacing w:line="360" w:lineRule="auto"/>
              <w:jc w:val="center"/>
              <w:rPr>
                <w:color w:val="000000"/>
                <w:szCs w:val="21"/>
              </w:rPr>
            </w:pPr>
          </w:p>
        </w:tc>
        <w:tc>
          <w:tcPr>
            <w:tcW w:w="850" w:type="dxa"/>
            <w:vAlign w:val="center"/>
          </w:tcPr>
          <w:p>
            <w:pPr>
              <w:widowControl/>
              <w:spacing w:line="360" w:lineRule="auto"/>
              <w:jc w:val="center"/>
              <w:rPr>
                <w:color w:val="000000"/>
                <w:szCs w:val="21"/>
              </w:rPr>
            </w:pPr>
          </w:p>
        </w:tc>
        <w:tc>
          <w:tcPr>
            <w:tcW w:w="1276" w:type="dxa"/>
            <w:vAlign w:val="center"/>
          </w:tcPr>
          <w:p>
            <w:pPr>
              <w:widowControl/>
              <w:spacing w:line="360" w:lineRule="auto"/>
              <w:jc w:val="center"/>
              <w:rPr>
                <w:color w:val="000000"/>
                <w:szCs w:val="21"/>
              </w:rPr>
            </w:pPr>
          </w:p>
        </w:tc>
        <w:tc>
          <w:tcPr>
            <w:tcW w:w="1418" w:type="dxa"/>
            <w:vAlign w:val="center"/>
          </w:tcPr>
          <w:p>
            <w:pPr>
              <w:widowControl/>
              <w:spacing w:line="360" w:lineRule="auto"/>
              <w:jc w:val="center"/>
              <w:rPr>
                <w:color w:val="000000"/>
                <w:szCs w:val="21"/>
              </w:rPr>
            </w:pPr>
          </w:p>
        </w:tc>
        <w:tc>
          <w:tcPr>
            <w:tcW w:w="1275" w:type="dxa"/>
            <w:vAlign w:val="center"/>
          </w:tcPr>
          <w:p>
            <w:pPr>
              <w:widowControl/>
              <w:spacing w:line="360" w:lineRule="auto"/>
              <w:jc w:val="center"/>
              <w:rPr>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6" w:type="dxa"/>
            <w:gridSpan w:val="5"/>
            <w:vAlign w:val="center"/>
          </w:tcPr>
          <w:p>
            <w:pPr>
              <w:widowControl/>
              <w:spacing w:line="360" w:lineRule="auto"/>
              <w:jc w:val="center"/>
              <w:rPr>
                <w:color w:val="000000"/>
                <w:szCs w:val="21"/>
                <w:lang w:eastAsia="zh-CN"/>
              </w:rPr>
            </w:pPr>
            <w:r>
              <w:rPr>
                <w:rFonts w:hint="eastAsia"/>
                <w:color w:val="000000"/>
                <w:szCs w:val="21"/>
                <w:lang w:eastAsia="zh-CN"/>
              </w:rPr>
              <w:t>合计：大写人民币</w:t>
            </w:r>
            <w:r>
              <w:rPr>
                <w:rFonts w:hint="eastAsia"/>
                <w:color w:val="000000"/>
                <w:szCs w:val="21"/>
                <w:u w:val="single"/>
                <w:lang w:eastAsia="zh-CN"/>
              </w:rPr>
              <w:t xml:space="preserve">       </w:t>
            </w:r>
            <w:r>
              <w:rPr>
                <w:rFonts w:hint="eastAsia"/>
                <w:color w:val="000000"/>
                <w:szCs w:val="21"/>
                <w:lang w:eastAsia="zh-CN"/>
              </w:rPr>
              <w:t>元整</w:t>
            </w:r>
          </w:p>
        </w:tc>
        <w:tc>
          <w:tcPr>
            <w:tcW w:w="2693" w:type="dxa"/>
            <w:gridSpan w:val="2"/>
            <w:vAlign w:val="center"/>
          </w:tcPr>
          <w:p>
            <w:pPr>
              <w:widowControl/>
              <w:spacing w:line="360" w:lineRule="auto"/>
              <w:jc w:val="center"/>
              <w:rPr>
                <w:color w:val="000000"/>
                <w:szCs w:val="21"/>
              </w:rPr>
            </w:pPr>
            <w:r>
              <w:rPr>
                <w:rFonts w:hint="eastAsia"/>
                <w:color w:val="000000"/>
                <w:szCs w:val="21"/>
              </w:rPr>
              <w:t>元</w:t>
            </w:r>
          </w:p>
        </w:tc>
      </w:tr>
    </w:tbl>
    <w:p>
      <w:pPr>
        <w:pStyle w:val="2"/>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1"/>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14"/>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23760F88"/>
    <w:multiLevelType w:val="multilevel"/>
    <w:tmpl w:val="23760F88"/>
    <w:lvl w:ilvl="0" w:tentative="0">
      <w:start w:val="1"/>
      <w:numFmt w:val="japaneseCounting"/>
      <w:lvlText w:val="%1、"/>
      <w:lvlJc w:val="left"/>
      <w:pPr>
        <w:tabs>
          <w:tab w:val="left" w:pos="420"/>
        </w:tabs>
        <w:ind w:left="420" w:hanging="420"/>
      </w:pPr>
      <w:rPr>
        <w:rFonts w:ascii="Times New Roman" w:hAnsi="Times New Roman" w:eastAsia="宋体" w:cs="Times New Roman"/>
      </w:rPr>
    </w:lvl>
    <w:lvl w:ilvl="1" w:tentative="0">
      <w:start w:val="1"/>
      <w:numFmt w:val="decimal"/>
      <w:lvlText w:val="%2、"/>
      <w:lvlJc w:val="left"/>
      <w:pPr>
        <w:tabs>
          <w:tab w:val="left" w:pos="780"/>
        </w:tabs>
        <w:ind w:left="780" w:hanging="360"/>
      </w:pPr>
      <w:rPr>
        <w:rFonts w:hint="eastAsia"/>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07D43"/>
    <w:rsid w:val="0001014A"/>
    <w:rsid w:val="00011115"/>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4F1"/>
    <w:rsid w:val="000539A9"/>
    <w:rsid w:val="000566C1"/>
    <w:rsid w:val="000574D8"/>
    <w:rsid w:val="00057B80"/>
    <w:rsid w:val="00061920"/>
    <w:rsid w:val="00065211"/>
    <w:rsid w:val="0007163D"/>
    <w:rsid w:val="00074021"/>
    <w:rsid w:val="00077B9D"/>
    <w:rsid w:val="00082CB7"/>
    <w:rsid w:val="00083424"/>
    <w:rsid w:val="00083E6F"/>
    <w:rsid w:val="00092A16"/>
    <w:rsid w:val="00094E76"/>
    <w:rsid w:val="000964EC"/>
    <w:rsid w:val="000978A0"/>
    <w:rsid w:val="000A1AAC"/>
    <w:rsid w:val="000A3EC0"/>
    <w:rsid w:val="000A7610"/>
    <w:rsid w:val="000A790C"/>
    <w:rsid w:val="000B32D4"/>
    <w:rsid w:val="000B453A"/>
    <w:rsid w:val="000C072B"/>
    <w:rsid w:val="000C1165"/>
    <w:rsid w:val="000C300F"/>
    <w:rsid w:val="000C394F"/>
    <w:rsid w:val="000C5F12"/>
    <w:rsid w:val="000C64A8"/>
    <w:rsid w:val="000D11B0"/>
    <w:rsid w:val="000D26B0"/>
    <w:rsid w:val="000E01DA"/>
    <w:rsid w:val="000E3D99"/>
    <w:rsid w:val="000E6345"/>
    <w:rsid w:val="000E76E8"/>
    <w:rsid w:val="000F1F09"/>
    <w:rsid w:val="000F58B5"/>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24B5"/>
    <w:rsid w:val="00173025"/>
    <w:rsid w:val="00174354"/>
    <w:rsid w:val="00174EC0"/>
    <w:rsid w:val="00177533"/>
    <w:rsid w:val="00180783"/>
    <w:rsid w:val="0018226E"/>
    <w:rsid w:val="0018241B"/>
    <w:rsid w:val="001879E4"/>
    <w:rsid w:val="00187E02"/>
    <w:rsid w:val="00192B7D"/>
    <w:rsid w:val="00193817"/>
    <w:rsid w:val="00195099"/>
    <w:rsid w:val="001A36B1"/>
    <w:rsid w:val="001A49C9"/>
    <w:rsid w:val="001A7C6F"/>
    <w:rsid w:val="001B4666"/>
    <w:rsid w:val="001B5F95"/>
    <w:rsid w:val="001B677C"/>
    <w:rsid w:val="001B698B"/>
    <w:rsid w:val="001C3B4E"/>
    <w:rsid w:val="001C430C"/>
    <w:rsid w:val="001C73C4"/>
    <w:rsid w:val="001D129E"/>
    <w:rsid w:val="001D16B9"/>
    <w:rsid w:val="001D2040"/>
    <w:rsid w:val="001D7B51"/>
    <w:rsid w:val="001E058A"/>
    <w:rsid w:val="001E7BAD"/>
    <w:rsid w:val="001F29F9"/>
    <w:rsid w:val="001F6DCE"/>
    <w:rsid w:val="00205007"/>
    <w:rsid w:val="00205139"/>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4E07"/>
    <w:rsid w:val="00255354"/>
    <w:rsid w:val="00255631"/>
    <w:rsid w:val="00260E35"/>
    <w:rsid w:val="00261F6C"/>
    <w:rsid w:val="0028289E"/>
    <w:rsid w:val="002830BE"/>
    <w:rsid w:val="00283E18"/>
    <w:rsid w:val="0028469F"/>
    <w:rsid w:val="0028558B"/>
    <w:rsid w:val="00285A20"/>
    <w:rsid w:val="00295585"/>
    <w:rsid w:val="002A0C8B"/>
    <w:rsid w:val="002A26D4"/>
    <w:rsid w:val="002B075A"/>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07655"/>
    <w:rsid w:val="003218EF"/>
    <w:rsid w:val="00322549"/>
    <w:rsid w:val="00323A48"/>
    <w:rsid w:val="003301EA"/>
    <w:rsid w:val="00333E2A"/>
    <w:rsid w:val="003352AA"/>
    <w:rsid w:val="0034037A"/>
    <w:rsid w:val="00342D1B"/>
    <w:rsid w:val="00353DDB"/>
    <w:rsid w:val="00353FD4"/>
    <w:rsid w:val="00361ABB"/>
    <w:rsid w:val="00365AFE"/>
    <w:rsid w:val="00367B55"/>
    <w:rsid w:val="00370C38"/>
    <w:rsid w:val="00371CA0"/>
    <w:rsid w:val="00372FA5"/>
    <w:rsid w:val="00376F9A"/>
    <w:rsid w:val="0038590D"/>
    <w:rsid w:val="00390950"/>
    <w:rsid w:val="003914FA"/>
    <w:rsid w:val="00392AAD"/>
    <w:rsid w:val="003A1FDF"/>
    <w:rsid w:val="003A256E"/>
    <w:rsid w:val="003A327F"/>
    <w:rsid w:val="003A57FC"/>
    <w:rsid w:val="003B2BCD"/>
    <w:rsid w:val="003B2D77"/>
    <w:rsid w:val="003B3BF2"/>
    <w:rsid w:val="003B4363"/>
    <w:rsid w:val="003B57B9"/>
    <w:rsid w:val="003B5EF7"/>
    <w:rsid w:val="003B6081"/>
    <w:rsid w:val="003D2806"/>
    <w:rsid w:val="003D77B7"/>
    <w:rsid w:val="003E52E7"/>
    <w:rsid w:val="003F1446"/>
    <w:rsid w:val="003F1FAC"/>
    <w:rsid w:val="003F7C2E"/>
    <w:rsid w:val="0040273C"/>
    <w:rsid w:val="00403AFA"/>
    <w:rsid w:val="0040417A"/>
    <w:rsid w:val="0040778F"/>
    <w:rsid w:val="00423584"/>
    <w:rsid w:val="0043796A"/>
    <w:rsid w:val="0044287E"/>
    <w:rsid w:val="004455DF"/>
    <w:rsid w:val="00446F80"/>
    <w:rsid w:val="004508A4"/>
    <w:rsid w:val="00453EA6"/>
    <w:rsid w:val="0045672D"/>
    <w:rsid w:val="004611B5"/>
    <w:rsid w:val="00461200"/>
    <w:rsid w:val="00464030"/>
    <w:rsid w:val="00470A44"/>
    <w:rsid w:val="00471E39"/>
    <w:rsid w:val="0047282D"/>
    <w:rsid w:val="00474FAE"/>
    <w:rsid w:val="004763D4"/>
    <w:rsid w:val="00477E26"/>
    <w:rsid w:val="0048261B"/>
    <w:rsid w:val="00482B42"/>
    <w:rsid w:val="004835AF"/>
    <w:rsid w:val="004875CA"/>
    <w:rsid w:val="004919EE"/>
    <w:rsid w:val="0049286C"/>
    <w:rsid w:val="00497CEA"/>
    <w:rsid w:val="004A14CA"/>
    <w:rsid w:val="004A2A3A"/>
    <w:rsid w:val="004A4779"/>
    <w:rsid w:val="004A68E8"/>
    <w:rsid w:val="004A6E67"/>
    <w:rsid w:val="004B4A9E"/>
    <w:rsid w:val="004B7603"/>
    <w:rsid w:val="004C1159"/>
    <w:rsid w:val="004C20FD"/>
    <w:rsid w:val="004C3761"/>
    <w:rsid w:val="004C4941"/>
    <w:rsid w:val="004D1023"/>
    <w:rsid w:val="004D16FD"/>
    <w:rsid w:val="004D2C58"/>
    <w:rsid w:val="004D7D03"/>
    <w:rsid w:val="004E0E75"/>
    <w:rsid w:val="004F5E72"/>
    <w:rsid w:val="0050268E"/>
    <w:rsid w:val="00502ADE"/>
    <w:rsid w:val="00503354"/>
    <w:rsid w:val="00503A1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3FC9"/>
    <w:rsid w:val="005A4B0B"/>
    <w:rsid w:val="005A7BB0"/>
    <w:rsid w:val="005B104C"/>
    <w:rsid w:val="005B35AA"/>
    <w:rsid w:val="005B4BA0"/>
    <w:rsid w:val="005B5E44"/>
    <w:rsid w:val="005B66C2"/>
    <w:rsid w:val="005B77AC"/>
    <w:rsid w:val="005C02BC"/>
    <w:rsid w:val="005C4060"/>
    <w:rsid w:val="005C43E3"/>
    <w:rsid w:val="005C49AB"/>
    <w:rsid w:val="005C5BF1"/>
    <w:rsid w:val="005C6606"/>
    <w:rsid w:val="005D12E3"/>
    <w:rsid w:val="005D19AE"/>
    <w:rsid w:val="005D4648"/>
    <w:rsid w:val="005D6EE8"/>
    <w:rsid w:val="005D7E6C"/>
    <w:rsid w:val="005E0672"/>
    <w:rsid w:val="005E626D"/>
    <w:rsid w:val="005E7CDE"/>
    <w:rsid w:val="005F1947"/>
    <w:rsid w:val="005F2CCA"/>
    <w:rsid w:val="005F2E5C"/>
    <w:rsid w:val="005F5FA0"/>
    <w:rsid w:val="005F63E8"/>
    <w:rsid w:val="00601441"/>
    <w:rsid w:val="0060334B"/>
    <w:rsid w:val="00605BBD"/>
    <w:rsid w:val="006103A6"/>
    <w:rsid w:val="00610D2B"/>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3426"/>
    <w:rsid w:val="00753B12"/>
    <w:rsid w:val="00754486"/>
    <w:rsid w:val="007563C8"/>
    <w:rsid w:val="007626D4"/>
    <w:rsid w:val="007627D8"/>
    <w:rsid w:val="007646B1"/>
    <w:rsid w:val="00764844"/>
    <w:rsid w:val="0076787A"/>
    <w:rsid w:val="0077094C"/>
    <w:rsid w:val="007760C7"/>
    <w:rsid w:val="00786185"/>
    <w:rsid w:val="007868C2"/>
    <w:rsid w:val="00786E3C"/>
    <w:rsid w:val="0078787D"/>
    <w:rsid w:val="00794601"/>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59A6"/>
    <w:rsid w:val="00807905"/>
    <w:rsid w:val="0081139D"/>
    <w:rsid w:val="008148FE"/>
    <w:rsid w:val="00815E73"/>
    <w:rsid w:val="00817559"/>
    <w:rsid w:val="00820E36"/>
    <w:rsid w:val="00831E2E"/>
    <w:rsid w:val="0083228F"/>
    <w:rsid w:val="00836D8C"/>
    <w:rsid w:val="00837C7C"/>
    <w:rsid w:val="0084094D"/>
    <w:rsid w:val="008427A4"/>
    <w:rsid w:val="00842866"/>
    <w:rsid w:val="00844CFA"/>
    <w:rsid w:val="008465E3"/>
    <w:rsid w:val="00850FEC"/>
    <w:rsid w:val="00853DDB"/>
    <w:rsid w:val="008714A0"/>
    <w:rsid w:val="008736F1"/>
    <w:rsid w:val="008769E8"/>
    <w:rsid w:val="00884265"/>
    <w:rsid w:val="00884873"/>
    <w:rsid w:val="00886356"/>
    <w:rsid w:val="00886AD4"/>
    <w:rsid w:val="00892302"/>
    <w:rsid w:val="00896532"/>
    <w:rsid w:val="00897CED"/>
    <w:rsid w:val="008A06E6"/>
    <w:rsid w:val="008A4205"/>
    <w:rsid w:val="008A5545"/>
    <w:rsid w:val="008B177E"/>
    <w:rsid w:val="008C06B2"/>
    <w:rsid w:val="008C0A12"/>
    <w:rsid w:val="008C21B5"/>
    <w:rsid w:val="008C488E"/>
    <w:rsid w:val="008D05C7"/>
    <w:rsid w:val="008D4C06"/>
    <w:rsid w:val="008D7465"/>
    <w:rsid w:val="008D7CBD"/>
    <w:rsid w:val="008E1DB0"/>
    <w:rsid w:val="008F1C5D"/>
    <w:rsid w:val="008F47A3"/>
    <w:rsid w:val="008F6566"/>
    <w:rsid w:val="008F6946"/>
    <w:rsid w:val="008F7732"/>
    <w:rsid w:val="00901C7B"/>
    <w:rsid w:val="00902CEE"/>
    <w:rsid w:val="00902E21"/>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C38B3"/>
    <w:rsid w:val="009C3BE2"/>
    <w:rsid w:val="009C76EB"/>
    <w:rsid w:val="009D1BFC"/>
    <w:rsid w:val="009D510E"/>
    <w:rsid w:val="009D6569"/>
    <w:rsid w:val="009F1737"/>
    <w:rsid w:val="009F186E"/>
    <w:rsid w:val="009F1CFE"/>
    <w:rsid w:val="009F41CE"/>
    <w:rsid w:val="00A00F4B"/>
    <w:rsid w:val="00A07586"/>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5663E"/>
    <w:rsid w:val="00A638CC"/>
    <w:rsid w:val="00A66C05"/>
    <w:rsid w:val="00A67DD9"/>
    <w:rsid w:val="00A72D69"/>
    <w:rsid w:val="00A7709F"/>
    <w:rsid w:val="00A77229"/>
    <w:rsid w:val="00A81C9C"/>
    <w:rsid w:val="00A84167"/>
    <w:rsid w:val="00A84580"/>
    <w:rsid w:val="00A86721"/>
    <w:rsid w:val="00A867E8"/>
    <w:rsid w:val="00A9710D"/>
    <w:rsid w:val="00A976BF"/>
    <w:rsid w:val="00A97D0E"/>
    <w:rsid w:val="00AA062F"/>
    <w:rsid w:val="00AA6D81"/>
    <w:rsid w:val="00AB798A"/>
    <w:rsid w:val="00AC019C"/>
    <w:rsid w:val="00AC29D1"/>
    <w:rsid w:val="00AE0225"/>
    <w:rsid w:val="00AE058E"/>
    <w:rsid w:val="00AE14F2"/>
    <w:rsid w:val="00AE2BAD"/>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329B"/>
    <w:rsid w:val="00B152CD"/>
    <w:rsid w:val="00B15FF6"/>
    <w:rsid w:val="00B20863"/>
    <w:rsid w:val="00B26192"/>
    <w:rsid w:val="00B27085"/>
    <w:rsid w:val="00B307F2"/>
    <w:rsid w:val="00B330EC"/>
    <w:rsid w:val="00B37788"/>
    <w:rsid w:val="00B40A6E"/>
    <w:rsid w:val="00B4479C"/>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AA"/>
    <w:rsid w:val="00B85CDD"/>
    <w:rsid w:val="00B905D2"/>
    <w:rsid w:val="00B92675"/>
    <w:rsid w:val="00B93FAE"/>
    <w:rsid w:val="00B966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3440"/>
    <w:rsid w:val="00C3555D"/>
    <w:rsid w:val="00C368A0"/>
    <w:rsid w:val="00C37CA6"/>
    <w:rsid w:val="00C42299"/>
    <w:rsid w:val="00C4529B"/>
    <w:rsid w:val="00C5640F"/>
    <w:rsid w:val="00C60594"/>
    <w:rsid w:val="00C61DB8"/>
    <w:rsid w:val="00C73BF4"/>
    <w:rsid w:val="00C74C62"/>
    <w:rsid w:val="00C771EB"/>
    <w:rsid w:val="00C81B27"/>
    <w:rsid w:val="00C845B7"/>
    <w:rsid w:val="00C8684E"/>
    <w:rsid w:val="00C900D2"/>
    <w:rsid w:val="00C929E9"/>
    <w:rsid w:val="00C97478"/>
    <w:rsid w:val="00CA1DD5"/>
    <w:rsid w:val="00CA2C40"/>
    <w:rsid w:val="00CA3ADB"/>
    <w:rsid w:val="00CA5CF2"/>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2CD2"/>
    <w:rsid w:val="00D239A4"/>
    <w:rsid w:val="00D252B3"/>
    <w:rsid w:val="00D40F30"/>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2E64"/>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34172"/>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39DD"/>
    <w:rsid w:val="00EE735B"/>
    <w:rsid w:val="00EF0F5B"/>
    <w:rsid w:val="00EF5DFE"/>
    <w:rsid w:val="00F03A3C"/>
    <w:rsid w:val="00F060A9"/>
    <w:rsid w:val="00F06CFC"/>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66E5B"/>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B5B0F"/>
    <w:rsid w:val="00FC0F19"/>
    <w:rsid w:val="00FC2CF1"/>
    <w:rsid w:val="00FC4D4F"/>
    <w:rsid w:val="00FD1A6E"/>
    <w:rsid w:val="00FD2FD3"/>
    <w:rsid w:val="00FD31B4"/>
    <w:rsid w:val="00FD53E1"/>
    <w:rsid w:val="00FD5BEF"/>
    <w:rsid w:val="00FE0EA3"/>
    <w:rsid w:val="00FE3B64"/>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6612ABC"/>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9"/>
    <w:semiHidden/>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qFormat/>
    <w:uiPriority w:val="0"/>
    <w:pPr>
      <w:ind w:left="2520" w:leftChars="1200"/>
    </w:pPr>
  </w:style>
  <w:style w:type="paragraph" w:styleId="9">
    <w:name w:val="Normal Indent"/>
    <w:basedOn w:val="1"/>
    <w:next w:val="10"/>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Document Map"/>
    <w:basedOn w:val="1"/>
    <w:link w:val="64"/>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2">
    <w:name w:val="annotation text"/>
    <w:basedOn w:val="1"/>
    <w:link w:val="56"/>
    <w:qFormat/>
    <w:uiPriority w:val="0"/>
    <w:pPr>
      <w:autoSpaceDE/>
      <w:autoSpaceDN/>
      <w:jc w:val="both"/>
    </w:pPr>
    <w:rPr>
      <w:rFonts w:ascii="Times New Roman" w:hAnsi="Times New Roman" w:cs="Times New Roman"/>
      <w:kern w:val="2"/>
      <w:sz w:val="21"/>
      <w:szCs w:val="20"/>
      <w:lang w:eastAsia="zh-CN"/>
    </w:rPr>
  </w:style>
  <w:style w:type="paragraph" w:styleId="13">
    <w:name w:val="Closing"/>
    <w:basedOn w:val="1"/>
    <w:link w:val="59"/>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40"/>
    <w:qFormat/>
    <w:uiPriority w:val="1"/>
    <w:rPr>
      <w:sz w:val="24"/>
      <w:szCs w:val="24"/>
    </w:rPr>
  </w:style>
  <w:style w:type="paragraph" w:styleId="15">
    <w:name w:val="Body Text Indent"/>
    <w:basedOn w:val="1"/>
    <w:link w:val="60"/>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41"/>
    <w:qFormat/>
    <w:uiPriority w:val="0"/>
    <w:rPr>
      <w:rFonts w:hAnsi="Courier New" w:cs="Courier New"/>
      <w:szCs w:val="21"/>
    </w:rPr>
  </w:style>
  <w:style w:type="paragraph" w:styleId="18">
    <w:name w:val="Date"/>
    <w:basedOn w:val="1"/>
    <w:next w:val="1"/>
    <w:link w:val="48"/>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2"/>
    <w:qFormat/>
    <w:uiPriority w:val="0"/>
    <w:rPr>
      <w:sz w:val="18"/>
      <w:szCs w:val="18"/>
    </w:rPr>
  </w:style>
  <w:style w:type="paragraph" w:styleId="21">
    <w:name w:val="footer"/>
    <w:basedOn w:val="1"/>
    <w:link w:val="42"/>
    <w:qFormat/>
    <w:uiPriority w:val="99"/>
    <w:pPr>
      <w:tabs>
        <w:tab w:val="center" w:pos="4153"/>
        <w:tab w:val="right" w:pos="8306"/>
      </w:tabs>
      <w:snapToGrid w:val="0"/>
    </w:pPr>
    <w:rPr>
      <w:sz w:val="18"/>
      <w:szCs w:val="18"/>
    </w:rPr>
  </w:style>
  <w:style w:type="paragraph" w:styleId="22">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qFormat/>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2"/>
    <w:qFormat/>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7">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8">
    <w:name w:val="annotation subject"/>
    <w:basedOn w:val="12"/>
    <w:next w:val="12"/>
    <w:link w:val="61"/>
    <w:qFormat/>
    <w:uiPriority w:val="0"/>
    <w:pPr>
      <w:adjustRightInd w:val="0"/>
      <w:spacing w:line="360" w:lineRule="atLeast"/>
      <w:jc w:val="left"/>
      <w:textAlignment w:val="baseline"/>
    </w:pPr>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qFormat/>
    <w:uiPriority w:val="0"/>
    <w:rPr>
      <w:color w:val="800080"/>
      <w:u w:val="single"/>
    </w:rPr>
  </w:style>
  <w:style w:type="character" w:styleId="35">
    <w:name w:val="Hyperlink"/>
    <w:basedOn w:val="31"/>
    <w:qFormat/>
    <w:uiPriority w:val="0"/>
    <w:rPr>
      <w:color w:val="0000FF"/>
      <w:u w:val="single"/>
    </w:rPr>
  </w:style>
  <w:style w:type="character" w:customStyle="1" w:styleId="36">
    <w:name w:val="标题 1 Char"/>
    <w:link w:val="3"/>
    <w:qFormat/>
    <w:uiPriority w:val="0"/>
    <w:rPr>
      <w:rFonts w:ascii="宋体" w:hAnsi="宋体" w:cs="宋体"/>
      <w:b/>
      <w:bCs/>
      <w:sz w:val="28"/>
      <w:szCs w:val="28"/>
      <w:lang w:eastAsia="en-US"/>
    </w:rPr>
  </w:style>
  <w:style w:type="character" w:customStyle="1" w:styleId="37">
    <w:name w:val="标题 2 Char"/>
    <w:basedOn w:val="31"/>
    <w:link w:val="4"/>
    <w:qFormat/>
    <w:uiPriority w:val="0"/>
    <w:rPr>
      <w:rFonts w:ascii="宋体" w:hAnsi="宋体" w:cs="宋体"/>
      <w:b/>
      <w:bCs/>
      <w:sz w:val="24"/>
      <w:szCs w:val="24"/>
      <w:lang w:eastAsia="en-US"/>
    </w:rPr>
  </w:style>
  <w:style w:type="character" w:customStyle="1" w:styleId="38">
    <w:name w:val="标题 3 Char"/>
    <w:basedOn w:val="31"/>
    <w:link w:val="5"/>
    <w:qFormat/>
    <w:uiPriority w:val="0"/>
    <w:rPr>
      <w:rFonts w:ascii="宋体" w:hAnsi="宋体" w:cs="宋体"/>
      <w:b/>
      <w:bCs/>
      <w:sz w:val="32"/>
      <w:szCs w:val="32"/>
      <w:lang w:eastAsia="en-US"/>
    </w:rPr>
  </w:style>
  <w:style w:type="character" w:customStyle="1" w:styleId="39">
    <w:name w:val="标题 4 Char"/>
    <w:basedOn w:val="31"/>
    <w:link w:val="6"/>
    <w:semiHidden/>
    <w:uiPriority w:val="0"/>
    <w:rPr>
      <w:rFonts w:asciiTheme="majorHAnsi" w:hAnsiTheme="majorHAnsi" w:eastAsiaTheme="majorEastAsia" w:cstheme="majorBidi"/>
      <w:b/>
      <w:bCs/>
      <w:sz w:val="28"/>
      <w:szCs w:val="28"/>
      <w:lang w:eastAsia="en-US"/>
    </w:rPr>
  </w:style>
  <w:style w:type="character" w:customStyle="1" w:styleId="40">
    <w:name w:val="正文文本 Char"/>
    <w:basedOn w:val="31"/>
    <w:link w:val="14"/>
    <w:qFormat/>
    <w:uiPriority w:val="0"/>
    <w:rPr>
      <w:rFonts w:ascii="宋体" w:hAnsi="宋体" w:cs="宋体"/>
      <w:sz w:val="24"/>
      <w:szCs w:val="24"/>
      <w:lang w:eastAsia="en-US"/>
    </w:rPr>
  </w:style>
  <w:style w:type="character" w:customStyle="1" w:styleId="41">
    <w:name w:val="纯文本 Char1"/>
    <w:link w:val="17"/>
    <w:qFormat/>
    <w:uiPriority w:val="0"/>
    <w:rPr>
      <w:rFonts w:ascii="宋体" w:hAnsi="Courier New" w:cs="Courier New"/>
      <w:sz w:val="22"/>
      <w:szCs w:val="21"/>
      <w:lang w:eastAsia="en-US"/>
    </w:rPr>
  </w:style>
  <w:style w:type="character" w:customStyle="1" w:styleId="42">
    <w:name w:val="页脚 Char"/>
    <w:basedOn w:val="31"/>
    <w:link w:val="21"/>
    <w:uiPriority w:val="99"/>
    <w:rPr>
      <w:rFonts w:ascii="宋体" w:hAnsi="宋体" w:cs="宋体"/>
      <w:sz w:val="18"/>
      <w:szCs w:val="18"/>
      <w:lang w:eastAsia="en-US"/>
    </w:rPr>
  </w:style>
  <w:style w:type="character" w:customStyle="1" w:styleId="43">
    <w:name w:val="页眉 Char"/>
    <w:basedOn w:val="31"/>
    <w:link w:val="10"/>
    <w:qFormat/>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34"/>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1"/>
    <w:link w:val="18"/>
    <w:qFormat/>
    <w:uiPriority w:val="0"/>
    <w:rPr>
      <w:rFonts w:asciiTheme="minorHAnsi" w:hAnsiTheme="minorHAnsi" w:eastAsiaTheme="minorEastAsia" w:cstheme="minorBidi"/>
      <w:kern w:val="2"/>
      <w:sz w:val="21"/>
      <w:szCs w:val="22"/>
    </w:rPr>
  </w:style>
  <w:style w:type="paragraph" w:customStyle="1" w:styleId="4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1"/>
    <w:qFormat/>
    <w:uiPriority w:val="0"/>
    <w:rPr>
      <w:color w:val="0000FF"/>
      <w:sz w:val="18"/>
      <w:szCs w:val="18"/>
      <w:u w:val="none"/>
      <w:bdr w:val="single" w:color="DCDCDC" w:sz="8" w:space="0"/>
      <w:shd w:val="clear" w:color="auto" w:fill="FFFFFF"/>
    </w:rPr>
  </w:style>
  <w:style w:type="character" w:customStyle="1" w:styleId="52">
    <w:name w:val="批注框文本 Char"/>
    <w:basedOn w:val="31"/>
    <w:link w:val="20"/>
    <w:qFormat/>
    <w:uiPriority w:val="0"/>
    <w:rPr>
      <w:rFonts w:ascii="宋体" w:hAnsi="宋体" w:cs="宋体"/>
      <w:sz w:val="18"/>
      <w:szCs w:val="18"/>
      <w:lang w:eastAsia="en-US"/>
    </w:rPr>
  </w:style>
  <w:style w:type="paragraph" w:customStyle="1" w:styleId="53">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1"/>
    <w:qFormat/>
    <w:uiPriority w:val="0"/>
  </w:style>
  <w:style w:type="paragraph" w:customStyle="1" w:styleId="55">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1"/>
    <w:link w:val="12"/>
    <w:qFormat/>
    <w:uiPriority w:val="0"/>
    <w:rPr>
      <w:kern w:val="2"/>
      <w:sz w:val="21"/>
    </w:rPr>
  </w:style>
  <w:style w:type="paragraph" w:customStyle="1" w:styleId="57">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1"/>
    <w:link w:val="19"/>
    <w:qFormat/>
    <w:uiPriority w:val="0"/>
    <w:rPr>
      <w:rFonts w:ascii="宋体" w:hAnsi="宋体" w:cs="宋体"/>
      <w:sz w:val="22"/>
      <w:szCs w:val="22"/>
      <w:lang w:eastAsia="en-US"/>
    </w:rPr>
  </w:style>
  <w:style w:type="character" w:customStyle="1" w:styleId="59">
    <w:name w:val="结束语 Char"/>
    <w:basedOn w:val="31"/>
    <w:link w:val="13"/>
    <w:qFormat/>
    <w:uiPriority w:val="99"/>
    <w:rPr>
      <w:b/>
      <w:kern w:val="2"/>
      <w:sz w:val="21"/>
    </w:rPr>
  </w:style>
  <w:style w:type="character" w:customStyle="1" w:styleId="60">
    <w:name w:val="正文文本缩进 Char"/>
    <w:basedOn w:val="31"/>
    <w:link w:val="15"/>
    <w:qFormat/>
    <w:uiPriority w:val="0"/>
    <w:rPr>
      <w:rFonts w:ascii="宋体" w:hAnsi="宋体" w:cs="宋体"/>
      <w:sz w:val="22"/>
      <w:szCs w:val="22"/>
      <w:lang w:eastAsia="en-US"/>
    </w:rPr>
  </w:style>
  <w:style w:type="character" w:customStyle="1" w:styleId="61">
    <w:name w:val="批注主题 Char"/>
    <w:basedOn w:val="56"/>
    <w:link w:val="28"/>
    <w:qFormat/>
    <w:uiPriority w:val="0"/>
    <w:rPr>
      <w:b/>
      <w:bCs/>
    </w:rPr>
  </w:style>
  <w:style w:type="character" w:customStyle="1" w:styleId="62">
    <w:name w:val="Book Title"/>
    <w:basedOn w:val="31"/>
    <w:qFormat/>
    <w:uiPriority w:val="33"/>
    <w:rPr>
      <w:b/>
      <w:bCs/>
      <w:smallCaps/>
      <w:spacing w:val="5"/>
    </w:rPr>
  </w:style>
  <w:style w:type="paragraph" w:customStyle="1" w:styleId="63">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1"/>
    <w:link w:val="11"/>
    <w:qFormat/>
    <w:uiPriority w:val="0"/>
    <w:rPr>
      <w:kern w:val="2"/>
      <w:sz w:val="21"/>
      <w:szCs w:val="24"/>
      <w:shd w:val="clear" w:color="auto" w:fill="000080"/>
    </w:rPr>
  </w:style>
  <w:style w:type="paragraph" w:customStyle="1" w:styleId="65">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69">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1"/>
    <w:link w:val="24"/>
    <w:qFormat/>
    <w:uiPriority w:val="0"/>
    <w:rPr>
      <w:rFonts w:ascii="宋体" w:hAnsi="宋体"/>
      <w:kern w:val="2"/>
      <w:sz w:val="24"/>
      <w:szCs w:val="24"/>
    </w:rPr>
  </w:style>
  <w:style w:type="paragraph" w:customStyle="1" w:styleId="73">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4">
    <w:name w:val="font21"/>
    <w:qFormat/>
    <w:uiPriority w:val="0"/>
    <w:rPr>
      <w:rFonts w:hint="eastAsia" w:ascii="宋体" w:hAnsi="宋体" w:eastAsia="宋体" w:cs="宋体"/>
      <w:color w:val="000000"/>
      <w:sz w:val="20"/>
      <w:szCs w:val="20"/>
      <w:u w:val="none"/>
    </w:rPr>
  </w:style>
  <w:style w:type="character" w:customStyle="1" w:styleId="75">
    <w:name w:val="font01"/>
    <w:basedOn w:val="31"/>
    <w:qFormat/>
    <w:uiPriority w:val="0"/>
    <w:rPr>
      <w:rFonts w:hint="eastAsia" w:ascii="宋体" w:hAnsi="宋体" w:eastAsia="宋体" w:cs="宋体"/>
      <w:color w:val="000000"/>
      <w:sz w:val="24"/>
      <w:szCs w:val="24"/>
      <w:u w:val="single"/>
    </w:rPr>
  </w:style>
  <w:style w:type="character" w:customStyle="1" w:styleId="76">
    <w:name w:val="普通文字 Char2"/>
    <w:basedOn w:val="31"/>
    <w:qFormat/>
    <w:uiPriority w:val="99"/>
    <w:rPr>
      <w:rFonts w:ascii="宋体" w:hAnsi="Courier New" w:cs="Courier New"/>
      <w:sz w:val="22"/>
      <w:szCs w:val="21"/>
      <w:lang w:eastAsia="en-US"/>
    </w:rPr>
  </w:style>
  <w:style w:type="character" w:customStyle="1" w:styleId="77">
    <w:name w:val="正文文本 Char1"/>
    <w:basedOn w:val="31"/>
    <w:qFormat/>
    <w:uiPriority w:val="1"/>
    <w:rPr>
      <w:rFonts w:ascii="宋体" w:hAnsi="宋体" w:cs="宋体"/>
      <w:sz w:val="24"/>
      <w:szCs w:val="24"/>
      <w:lang w:eastAsia="en-US"/>
    </w:rPr>
  </w:style>
  <w:style w:type="character" w:customStyle="1" w:styleId="78">
    <w:name w:val="正文缩进 Char"/>
    <w:link w:val="9"/>
    <w:qFormat/>
    <w:uiPriority w:val="0"/>
    <w:rPr>
      <w:kern w:val="2"/>
      <w:sz w:val="21"/>
    </w:rPr>
  </w:style>
  <w:style w:type="character" w:customStyle="1" w:styleId="79">
    <w:name w:val="标题 5 Char"/>
    <w:basedOn w:val="31"/>
    <w:link w:val="7"/>
    <w:qFormat/>
    <w:uiPriority w:val="0"/>
    <w:rPr>
      <w:rFonts w:ascii="宋体" w:hAnsi="宋体" w:cs="宋体"/>
      <w:b/>
      <w:bCs/>
      <w:sz w:val="28"/>
      <w:szCs w:val="28"/>
      <w:lang w:eastAsia="en-US"/>
    </w:rPr>
  </w:style>
  <w:style w:type="character" w:customStyle="1" w:styleId="8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D1CCE-8BAA-4CA4-B232-4B0D67FEE96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3017</Words>
  <Characters>17203</Characters>
  <Lines>143</Lines>
  <Paragraphs>40</Paragraphs>
  <TotalTime>73</TotalTime>
  <ScaleCrop>false</ScaleCrop>
  <LinksUpToDate>false</LinksUpToDate>
  <CharactersWithSpaces>20180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2021-01-26T08:21:00Z</dcterms:created>
  <dc:creator>CGC</dc:creator>
  <cp:lastModifiedBy>潘骏</cp:lastModifiedBy>
  <dcterms:modified xsi:type="dcterms:W3CDTF">2021-02-02T01:47:05Z</dcterms:modified>
  <dc:title>公开招标文件（货物服务类）</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