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42"/>
        </w:tabs>
        <w:rPr>
          <w:rFonts w:ascii="Times New Roman"/>
          <w:sz w:val="20"/>
          <w:lang w:eastAsia="zh-CN"/>
        </w:rPr>
      </w:pPr>
    </w:p>
    <w:p>
      <w:pPr>
        <w:pStyle w:val="20"/>
        <w:rPr>
          <w:rFonts w:ascii="Times New Roman"/>
          <w:sz w:val="20"/>
        </w:rPr>
      </w:pPr>
    </w:p>
    <w:p>
      <w:pPr>
        <w:pStyle w:val="20"/>
        <w:spacing w:before="5"/>
        <w:rPr>
          <w:rFonts w:ascii="Times New Roman"/>
          <w:sz w:val="20"/>
          <w:lang w:eastAsia="zh-CN"/>
        </w:rPr>
      </w:pPr>
    </w:p>
    <w:p>
      <w:pPr>
        <w:pStyle w:val="20"/>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ind w:left="169"/>
        <w:jc w:val="center"/>
        <w:rPr>
          <w:rFonts w:ascii="微软雅黑" w:eastAsia="微软雅黑"/>
          <w:b/>
          <w:sz w:val="52"/>
          <w:szCs w:val="52"/>
          <w:u w:val="single"/>
          <w:lang w:eastAsia="zh-CN"/>
        </w:rPr>
      </w:pPr>
      <w:r>
        <w:rPr>
          <w:rFonts w:hint="eastAsia" w:ascii="微软雅黑" w:eastAsia="微软雅黑"/>
          <w:b/>
          <w:sz w:val="52"/>
          <w:szCs w:val="52"/>
          <w:u w:val="single"/>
          <w:lang w:eastAsia="zh-CN"/>
        </w:rPr>
        <w:t>风向袋年约采购</w:t>
      </w:r>
    </w:p>
    <w:p>
      <w:pPr>
        <w:pStyle w:val="20"/>
        <w:jc w:val="center"/>
        <w:rPr>
          <w:rFonts w:ascii="微软雅黑" w:eastAsia="微软雅黑"/>
          <w:b/>
          <w:sz w:val="72"/>
          <w:szCs w:val="72"/>
          <w:u w:val="single"/>
          <w:lang w:eastAsia="zh-CN"/>
        </w:rPr>
      </w:pPr>
    </w:p>
    <w:p>
      <w:pPr>
        <w:pStyle w:val="20"/>
        <w:jc w:val="center"/>
        <w:rPr>
          <w:rFonts w:ascii="微软雅黑" w:eastAsia="微软雅黑"/>
          <w:b/>
          <w:sz w:val="72"/>
          <w:szCs w:val="72"/>
          <w:u w:val="single"/>
          <w:lang w:eastAsia="zh-CN"/>
        </w:rPr>
      </w:pPr>
    </w:p>
    <w:p>
      <w:pPr>
        <w:pStyle w:val="20"/>
        <w:jc w:val="center"/>
        <w:rPr>
          <w:rFonts w:ascii="微软雅黑" w:eastAsia="微软雅黑"/>
          <w:b/>
          <w:sz w:val="72"/>
          <w:szCs w:val="72"/>
          <w:u w:val="single"/>
          <w:lang w:eastAsia="zh-CN"/>
        </w:rPr>
      </w:pPr>
      <w:r>
        <w:rPr>
          <w:rFonts w:hint="eastAsia" w:ascii="微软雅黑" w:eastAsia="微软雅黑"/>
          <w:b/>
          <w:sz w:val="72"/>
          <w:szCs w:val="72"/>
          <w:u w:val="single"/>
          <w:lang w:eastAsia="zh-CN"/>
        </w:rPr>
        <w:t>比选文件</w:t>
      </w:r>
    </w:p>
    <w:p>
      <w:pPr>
        <w:pStyle w:val="20"/>
        <w:jc w:val="center"/>
        <w:rPr>
          <w:rFonts w:ascii="微软雅黑" w:eastAsia="微软雅黑"/>
          <w:b/>
          <w:sz w:val="72"/>
          <w:szCs w:val="72"/>
          <w:u w:val="single"/>
          <w:lang w:eastAsia="zh-CN"/>
        </w:rPr>
      </w:pPr>
    </w:p>
    <w:p>
      <w:pPr>
        <w:pStyle w:val="2"/>
        <w:jc w:val="center"/>
        <w:rPr>
          <w:sz w:val="28"/>
          <w:szCs w:val="28"/>
        </w:rPr>
      </w:pPr>
      <w:r>
        <w:rPr>
          <w:rFonts w:hint="eastAsia"/>
          <w:sz w:val="28"/>
          <w:szCs w:val="28"/>
        </w:rPr>
        <w:t>（项目编号：</w:t>
      </w:r>
      <w:r>
        <w:rPr>
          <w:rFonts w:cs="宋体" w:asciiTheme="minorEastAsia" w:hAnsiTheme="minorEastAsia" w:eastAsiaTheme="minorEastAsia"/>
          <w:sz w:val="24"/>
          <w:szCs w:val="24"/>
          <w:u w:val="single"/>
        </w:rPr>
        <w:t>FHC-PTCG20201216003</w:t>
      </w:r>
      <w:r>
        <w:rPr>
          <w:rFonts w:hint="eastAsia"/>
          <w:sz w:val="28"/>
          <w:szCs w:val="28"/>
        </w:rPr>
        <w:t>）</w:t>
      </w:r>
    </w:p>
    <w:p>
      <w:pPr>
        <w:pStyle w:val="20"/>
        <w:rPr>
          <w:rFonts w:ascii="微软雅黑"/>
          <w:b/>
          <w:sz w:val="94"/>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二〇二一年一月</w:t>
      </w:r>
    </w:p>
    <w:p>
      <w:pPr>
        <w:spacing w:line="271" w:lineRule="auto"/>
        <w:jc w:val="center"/>
        <w:rPr>
          <w:rFonts w:ascii="微软雅黑" w:eastAsia="微软雅黑"/>
          <w:sz w:val="32"/>
          <w:lang w:eastAsia="zh-CN"/>
        </w:rPr>
        <w:sectPr>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62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20" w:lineRule="exact"/>
        <w:ind w:firstLine="480" w:firstLineChars="200"/>
        <w:rPr>
          <w:sz w:val="24"/>
          <w:szCs w:val="24"/>
          <w:lang w:eastAsia="zh-CN"/>
        </w:rPr>
      </w:pPr>
      <w:r>
        <w:rPr>
          <w:sz w:val="24"/>
          <w:szCs w:val="24"/>
          <w:lang w:eastAsia="zh-CN"/>
        </w:rPr>
        <w:t>附件二：参选文件（范本）</w:t>
      </w:r>
    </w:p>
    <w:p>
      <w:pPr>
        <w:spacing w:line="62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pStyle w:val="4"/>
        <w:jc w:val="center"/>
        <w:rPr>
          <w:lang w:eastAsia="zh-CN"/>
        </w:rPr>
      </w:pPr>
      <w:r>
        <w:rPr>
          <w:rFonts w:hint="eastAsia"/>
          <w:lang w:eastAsia="zh-CN"/>
        </w:rPr>
        <w:t xml:space="preserve">    </w:t>
      </w: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75"/>
        <w:numPr>
          <w:ilvl w:val="0"/>
          <w:numId w:val="6"/>
        </w:numPr>
        <w:tabs>
          <w:tab w:val="left" w:pos="1272"/>
        </w:tabs>
        <w:spacing w:line="480" w:lineRule="exact"/>
        <w:rPr>
          <w:rFonts w:asciiTheme="minorEastAsia" w:hAnsiTheme="minorEastAsia" w:eastAsiaTheme="minorEastAsia"/>
          <w:b/>
          <w:w w:val="95"/>
          <w:sz w:val="24"/>
          <w:szCs w:val="24"/>
          <w:lang w:eastAsia="zh-CN"/>
        </w:rPr>
      </w:pPr>
      <w:r>
        <w:rPr>
          <w:rFonts w:asciiTheme="minorEastAsia" w:hAnsiTheme="minorEastAsia" w:eastAsiaTheme="minorEastAsia"/>
          <w:b/>
          <w:spacing w:val="-1"/>
          <w:w w:val="95"/>
          <w:sz w:val="24"/>
          <w:szCs w:val="24"/>
          <w:lang w:eastAsia="zh-CN"/>
        </w:rPr>
        <w:t>比选公</w:t>
      </w:r>
      <w:r>
        <w:rPr>
          <w:rFonts w:asciiTheme="minorEastAsia" w:hAnsiTheme="minorEastAsia" w:eastAsiaTheme="minorEastAsia"/>
          <w:b/>
          <w:w w:val="95"/>
          <w:sz w:val="24"/>
          <w:szCs w:val="24"/>
          <w:lang w:eastAsia="zh-CN"/>
        </w:rPr>
        <w:t>告</w:t>
      </w:r>
    </w:p>
    <w:p>
      <w:pPr>
        <w:spacing w:line="480" w:lineRule="exact"/>
        <w:ind w:left="169"/>
        <w:rPr>
          <w:rFonts w:asciiTheme="minorEastAsia" w:hAnsiTheme="minorEastAsia" w:eastAsiaTheme="minorEastAsia"/>
          <w:b/>
          <w:sz w:val="24"/>
          <w:szCs w:val="24"/>
          <w:u w:val="single"/>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u w:val="single"/>
          <w:lang w:eastAsia="zh-CN"/>
        </w:rPr>
        <w:t>风向袋年约采购</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z w:val="24"/>
          <w:szCs w:val="24"/>
          <w:lang w:eastAsia="zh-CN"/>
        </w:rPr>
        <w:t>项目编号：</w:t>
      </w:r>
      <w:r>
        <w:rPr>
          <w:rFonts w:asciiTheme="minorEastAsia" w:hAnsiTheme="minorEastAsia" w:eastAsiaTheme="minorEastAsia"/>
          <w:sz w:val="24"/>
          <w:szCs w:val="24"/>
          <w:u w:val="single"/>
          <w:lang w:eastAsia="zh-CN"/>
        </w:rPr>
        <w:t>FHC-PTCG20201216003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numPr>
          <w:ilvl w:val="0"/>
          <w:numId w:val="7"/>
        </w:num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项目名称：风向袋年约采购。</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采购预估数量：1100个。</w:t>
      </w:r>
    </w:p>
    <w:p>
      <w:pPr>
        <w:pStyle w:val="2"/>
        <w:numPr>
          <w:ilvl w:val="0"/>
          <w:numId w:val="7"/>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autoSpaceDE/>
        <w:autoSpaceDN/>
        <w:spacing w:line="48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spacing w:line="480" w:lineRule="exact"/>
        <w:ind w:firstLine="480" w:firstLineChars="200"/>
        <w:rPr>
          <w:rFonts w:asciiTheme="minorEastAsia" w:hAnsiTheme="minorEastAsia" w:eastAsiaTheme="minorEastAsia"/>
          <w:color w:val="000000" w:themeColor="text1"/>
          <w:sz w:val="24"/>
          <w:szCs w:val="24"/>
          <w:lang w:eastAsia="zh-CN"/>
        </w:rPr>
      </w:pPr>
      <w:r>
        <w:rPr>
          <w:rFonts w:hint="eastAsia" w:asciiTheme="minorEastAsia" w:hAnsiTheme="minorEastAsia" w:eastAsiaTheme="minorEastAsia"/>
          <w:sz w:val="24"/>
          <w:szCs w:val="24"/>
          <w:lang w:eastAsia="zh-CN"/>
        </w:rPr>
        <w:t>2、</w:t>
      </w:r>
      <w:r>
        <w:rPr>
          <w:rFonts w:hint="eastAsia"/>
          <w:sz w:val="24"/>
          <w:szCs w:val="24"/>
          <w:lang w:eastAsia="zh-CN"/>
        </w:rPr>
        <w:t>风向袋必须遵守《安全色》（GB2893-2008</w:t>
      </w:r>
      <w:r>
        <w:rPr>
          <w:sz w:val="24"/>
          <w:szCs w:val="24"/>
          <w:lang w:eastAsia="zh-CN"/>
        </w:rPr>
        <w:t>）</w:t>
      </w:r>
      <w:r>
        <w:rPr>
          <w:rFonts w:hint="eastAsia"/>
          <w:sz w:val="24"/>
          <w:szCs w:val="24"/>
          <w:lang w:eastAsia="zh-CN"/>
        </w:rPr>
        <w:t>等标准和规范要求。</w:t>
      </w:r>
    </w:p>
    <w:p>
      <w:pPr>
        <w:pStyle w:val="2"/>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3、报价时需要提供样品进行审核。</w:t>
      </w:r>
    </w:p>
    <w:p>
      <w:pPr>
        <w:pStyle w:val="2"/>
        <w:spacing w:line="48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8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5、</w:t>
      </w:r>
      <w:r>
        <w:rPr>
          <w:rFonts w:hint="eastAsia" w:asciiTheme="minorEastAsia" w:hAnsiTheme="minorEastAsia" w:eastAsiaTheme="minorEastAsia"/>
          <w:bCs/>
          <w:color w:val="000000" w:themeColor="text1"/>
          <w:sz w:val="24"/>
          <w:szCs w:val="24"/>
          <w:lang w:eastAsia="zh-CN"/>
        </w:rPr>
        <w:t>与比选人无诉讼纠纷。</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报名时间：2021年</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日至2021年</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日（共10天）</w:t>
      </w:r>
    </w:p>
    <w:p>
      <w:pPr>
        <w:spacing w:line="480" w:lineRule="exact"/>
        <w:ind w:left="724" w:leftChars="22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2、获取比选文件：</w:t>
      </w:r>
      <w:r>
        <w:rPr>
          <w:rFonts w:hint="eastAsia" w:asciiTheme="minorEastAsia" w:hAnsiTheme="minorEastAsia" w:eastAsiaTheme="minorEastAsia"/>
          <w:snapToGrid w:val="0"/>
          <w:spacing w:val="8"/>
          <w:sz w:val="24"/>
          <w:szCs w:val="24"/>
        </w:rPr>
        <w:t>本比选文件自比选公告发布之日起发放，同时在福建石油化工集团有限公司官网（</w:t>
      </w:r>
      <w:r>
        <w:fldChar w:fldCharType="begin"/>
      </w:r>
      <w:r>
        <w:instrText xml:space="preserve"> HYPERLINK "http://www.fjpec.com/" </w:instrText>
      </w:r>
      <w:r>
        <w:fldChar w:fldCharType="separate"/>
      </w:r>
      <w:r>
        <w:rPr>
          <w:rStyle w:val="55"/>
          <w:rFonts w:hint="eastAsia" w:asciiTheme="minorEastAsia" w:hAnsiTheme="minorEastAsia" w:eastAsiaTheme="minorEastAsia"/>
          <w:snapToGrid w:val="0"/>
          <w:spacing w:val="8"/>
          <w:sz w:val="24"/>
          <w:szCs w:val="24"/>
        </w:rPr>
        <w:t>http://www.fjpec.com/</w:t>
      </w:r>
      <w:r>
        <w:rPr>
          <w:rStyle w:val="55"/>
          <w:rFonts w:hint="eastAsia" w:asciiTheme="minorEastAsia" w:hAnsiTheme="minorEastAsia" w:eastAsiaTheme="minorEastAsia"/>
          <w:snapToGrid w:val="0"/>
          <w:spacing w:val="8"/>
          <w:sz w:val="24"/>
          <w:szCs w:val="24"/>
        </w:rPr>
        <w:fldChar w:fldCharType="end"/>
      </w:r>
      <w:r>
        <w:rPr>
          <w:rFonts w:hint="eastAsia" w:asciiTheme="minorEastAsia" w:hAnsiTheme="minorEastAsia" w:eastAsiaTheme="minorEastAsia"/>
          <w:snapToGrid w:val="0"/>
          <w:spacing w:val="8"/>
          <w:sz w:val="24"/>
          <w:szCs w:val="24"/>
        </w:rPr>
        <w:t>）上公示，有意向的参选人可自行下载比选文件。</w:t>
      </w:r>
    </w:p>
    <w:p>
      <w:pPr>
        <w:autoSpaceDE/>
        <w:autoSpaceDN/>
        <w:spacing w:line="480" w:lineRule="exact"/>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480" w:lineRule="exact"/>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480" w:lineRule="exact"/>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pacing w:val="8"/>
          <w:sz w:val="24"/>
          <w:szCs w:val="24"/>
          <w:lang w:eastAsia="zh-CN"/>
        </w:rPr>
        <w:t>参选文件递交截止时间（以送达时间为准）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pacing w:val="8"/>
          <w:sz w:val="24"/>
          <w:szCs w:val="24"/>
          <w:u w:val="single"/>
          <w:lang w:eastAsia="zh-CN"/>
        </w:rPr>
        <w:t>2021年</w:t>
      </w:r>
      <w:r>
        <w:rPr>
          <w:rFonts w:hint="eastAsia" w:asciiTheme="minorEastAsia" w:hAnsiTheme="minorEastAsia" w:eastAsiaTheme="minorEastAsia"/>
          <w:spacing w:val="8"/>
          <w:sz w:val="24"/>
          <w:szCs w:val="24"/>
          <w:u w:val="single"/>
          <w:lang w:val="en-US" w:eastAsia="zh-CN"/>
        </w:rPr>
        <w:t>1</w:t>
      </w:r>
      <w:r>
        <w:rPr>
          <w:rFonts w:hint="eastAsia" w:asciiTheme="minorEastAsia" w:hAnsiTheme="minorEastAsia" w:eastAsiaTheme="minorEastAsia"/>
          <w:spacing w:val="8"/>
          <w:sz w:val="24"/>
          <w:szCs w:val="24"/>
          <w:u w:val="single"/>
          <w:lang w:eastAsia="zh-CN"/>
        </w:rPr>
        <w:t>月</w:t>
      </w:r>
      <w:r>
        <w:rPr>
          <w:rFonts w:hint="eastAsia" w:asciiTheme="minorEastAsia" w:hAnsiTheme="minorEastAsia" w:eastAsiaTheme="minorEastAsia"/>
          <w:spacing w:val="8"/>
          <w:sz w:val="24"/>
          <w:szCs w:val="24"/>
          <w:u w:val="single"/>
          <w:lang w:val="en-US" w:eastAsia="zh-CN"/>
        </w:rPr>
        <w:t>18</w:t>
      </w:r>
      <w:bookmarkStart w:id="1" w:name="_GoBack"/>
      <w:bookmarkEnd w:id="1"/>
      <w:r>
        <w:rPr>
          <w:rFonts w:hint="eastAsia" w:asciiTheme="minorEastAsia" w:hAnsiTheme="minorEastAsia" w:eastAsiaTheme="minorEastAsia"/>
          <w:spacing w:val="8"/>
          <w:sz w:val="24"/>
          <w:szCs w:val="24"/>
          <w:u w:val="single"/>
          <w:lang w:eastAsia="zh-CN"/>
        </w:rPr>
        <w:t>日17时00分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333333"/>
          <w:sz w:val="24"/>
          <w:szCs w:val="24"/>
          <w:lang w:eastAsia="zh-CN"/>
        </w:rPr>
        <w:t>（注：公告发出之日起第11天）。</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480" w:lineRule="exact"/>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48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纪检监察室电话：0596-6311774  邮箱：</w:t>
      </w:r>
      <w:r>
        <w:fldChar w:fldCharType="begin"/>
      </w:r>
      <w:r>
        <w:instrText xml:space="preserve">HYPERLINK "mailto:qlin@fhcpec.com.cn"</w:instrText>
      </w:r>
      <w:r>
        <w:fldChar w:fldCharType="separate"/>
      </w:r>
      <w:r>
        <w:rPr>
          <w:rStyle w:val="55"/>
          <w:rFonts w:cs="宋体" w:asciiTheme="minorEastAsia" w:hAnsiTheme="minorEastAsia" w:eastAsiaTheme="minorEastAsia"/>
          <w:bCs/>
          <w:color w:val="000000" w:themeColor="text1"/>
          <w:szCs w:val="24"/>
        </w:rPr>
        <w:t>qlin@fhcpec.com.cn</w:t>
      </w:r>
      <w:r>
        <w:fldChar w:fldCharType="end"/>
      </w:r>
    </w:p>
    <w:p>
      <w:pPr>
        <w:pStyle w:val="10"/>
        <w:snapToGrid w:val="0"/>
        <w:spacing w:line="48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20"/>
        <w:spacing w:line="460" w:lineRule="exact"/>
        <w:ind w:right="121" w:firstLine="360" w:firstLineChars="150"/>
        <w:jc w:val="both"/>
        <w:rPr>
          <w:rFonts w:asciiTheme="minorEastAsia" w:hAnsiTheme="minorEastAsia" w:eastAsiaTheme="minorEastAsia"/>
          <w:lang w:eastAsia="zh-CN"/>
        </w:rPr>
      </w:pPr>
      <w:r>
        <w:rPr>
          <w:rFonts w:hint="eastAsia"/>
          <w:lang w:eastAsia="zh-CN"/>
        </w:rPr>
        <w:t>1、项目</w:t>
      </w:r>
      <w:r>
        <w:rPr>
          <w:lang w:eastAsia="zh-CN"/>
        </w:rPr>
        <w:t>名称：</w:t>
      </w:r>
      <w:r>
        <w:rPr>
          <w:rFonts w:hint="eastAsia" w:asciiTheme="minorEastAsia" w:hAnsiTheme="minorEastAsia" w:eastAsiaTheme="minorEastAsia"/>
          <w:lang w:eastAsia="zh-CN"/>
        </w:rPr>
        <w:t>风向袋年约采购</w:t>
      </w:r>
    </w:p>
    <w:p>
      <w:pPr>
        <w:pStyle w:val="20"/>
        <w:spacing w:line="460" w:lineRule="exact"/>
        <w:ind w:right="121" w:firstLine="360" w:firstLineChars="150"/>
        <w:jc w:val="both"/>
        <w:rPr>
          <w:lang w:eastAsia="zh-CN"/>
        </w:rPr>
      </w:pPr>
      <w:r>
        <w:rPr>
          <w:rFonts w:hint="eastAsia"/>
          <w:lang w:eastAsia="zh-CN"/>
        </w:rPr>
        <w:t>2、项目</w:t>
      </w:r>
      <w:r>
        <w:rPr>
          <w:lang w:eastAsia="zh-CN"/>
        </w:rPr>
        <w:t>地点：</w:t>
      </w:r>
      <w:r>
        <w:rPr>
          <w:rFonts w:hint="eastAsia"/>
          <w:lang w:eastAsia="zh-CN"/>
        </w:rPr>
        <w:t>福建古雷</w:t>
      </w:r>
    </w:p>
    <w:p>
      <w:pPr>
        <w:pStyle w:val="20"/>
        <w:spacing w:line="460" w:lineRule="exact"/>
        <w:ind w:left="723" w:leftChars="165" w:right="121" w:hanging="360" w:hangingChars="150"/>
        <w:jc w:val="both"/>
        <w:rPr>
          <w:lang w:eastAsia="zh-CN"/>
        </w:rPr>
      </w:pPr>
      <w:r>
        <w:rPr>
          <w:rFonts w:hint="eastAsia"/>
          <w:lang w:eastAsia="zh-CN"/>
        </w:rPr>
        <w:t>3、合同期限：两年</w:t>
      </w:r>
    </w:p>
    <w:p>
      <w:pPr>
        <w:pStyle w:val="4"/>
        <w:spacing w:line="460" w:lineRule="exact"/>
        <w:ind w:left="0" w:firstLine="352" w:firstLineChars="147"/>
        <w:rPr>
          <w:b w:val="0"/>
          <w:lang w:eastAsia="zh-CN"/>
        </w:rPr>
      </w:pPr>
      <w:r>
        <w:rPr>
          <w:rFonts w:hint="eastAsia"/>
          <w:b w:val="0"/>
          <w:lang w:eastAsia="zh-CN"/>
        </w:rPr>
        <w:t>4、</w:t>
      </w:r>
      <w:r>
        <w:rPr>
          <w:b w:val="0"/>
          <w:lang w:eastAsia="zh-CN"/>
        </w:rPr>
        <w:t>技术和服务要求</w:t>
      </w:r>
      <w:r>
        <w:rPr>
          <w:rFonts w:hint="eastAsia"/>
          <w:b w:val="0"/>
          <w:lang w:eastAsia="zh-CN"/>
        </w:rPr>
        <w:t>：</w:t>
      </w:r>
      <w:r>
        <w:rPr>
          <w:rFonts w:hint="eastAsia"/>
          <w:b w:val="0"/>
          <w:color w:val="000000"/>
          <w:szCs w:val="21"/>
          <w:lang w:eastAsia="zh-CN"/>
        </w:rPr>
        <w:t xml:space="preserve">详见附件四发包说明。 </w:t>
      </w:r>
    </w:p>
    <w:p>
      <w:pPr>
        <w:pStyle w:val="78"/>
        <w:spacing w:line="460" w:lineRule="exact"/>
        <w:ind w:firstLine="360" w:firstLineChars="150"/>
        <w:rPr>
          <w:rFonts w:hAnsi="宋体"/>
          <w:bCs/>
        </w:rPr>
      </w:pPr>
      <w:r>
        <w:rPr>
          <w:rFonts w:hint="eastAsia"/>
        </w:rPr>
        <w:t>5、项目联系人</w:t>
      </w:r>
    </w:p>
    <w:p>
      <w:pPr>
        <w:pStyle w:val="20"/>
        <w:spacing w:line="460" w:lineRule="exact"/>
        <w:ind w:right="121" w:firstLine="720" w:firstLineChars="300"/>
        <w:jc w:val="both"/>
        <w:rPr>
          <w:lang w:eastAsia="zh-CN"/>
        </w:rPr>
      </w:pPr>
      <w:r>
        <w:rPr>
          <w:rFonts w:hint="eastAsia"/>
          <w:lang w:eastAsia="zh-CN"/>
        </w:rPr>
        <w:t>技术联系人：黄小玲  0596-6311102</w:t>
      </w:r>
    </w:p>
    <w:p>
      <w:pPr>
        <w:pStyle w:val="20"/>
        <w:spacing w:line="460" w:lineRule="exact"/>
        <w:ind w:right="121" w:firstLine="720" w:firstLineChars="300"/>
        <w:jc w:val="both"/>
        <w:rPr>
          <w:lang w:eastAsia="zh-CN"/>
        </w:rPr>
      </w:pPr>
      <w:r>
        <w:rPr>
          <w:rFonts w:hint="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20"/>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20"/>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20"/>
        <w:spacing w:line="460" w:lineRule="exact"/>
        <w:ind w:right="121"/>
        <w:jc w:val="both"/>
        <w:rPr>
          <w:b/>
          <w:w w:val="95"/>
          <w:lang w:eastAsia="zh-CN"/>
        </w:rPr>
      </w:pPr>
      <w:r>
        <w:rPr>
          <w:b/>
          <w:w w:val="95"/>
          <w:lang w:eastAsia="zh-CN"/>
        </w:rPr>
        <w:t>六、参选人资格</w:t>
      </w:r>
    </w:p>
    <w:p>
      <w:pPr>
        <w:autoSpaceDE/>
        <w:autoSpaceDN/>
        <w:spacing w:line="48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spacing w:line="480" w:lineRule="exact"/>
        <w:ind w:firstLine="480" w:firstLineChars="200"/>
        <w:rPr>
          <w:rFonts w:asciiTheme="minorEastAsia" w:hAnsiTheme="minorEastAsia" w:eastAsiaTheme="minorEastAsia"/>
          <w:color w:val="000000" w:themeColor="text1"/>
          <w:sz w:val="24"/>
          <w:szCs w:val="24"/>
          <w:lang w:eastAsia="zh-CN"/>
        </w:rPr>
      </w:pPr>
      <w:r>
        <w:rPr>
          <w:rFonts w:hint="eastAsia" w:asciiTheme="minorEastAsia" w:hAnsiTheme="minorEastAsia" w:eastAsiaTheme="minorEastAsia"/>
          <w:sz w:val="24"/>
          <w:szCs w:val="24"/>
          <w:lang w:eastAsia="zh-CN"/>
        </w:rPr>
        <w:t>2、</w:t>
      </w:r>
      <w:r>
        <w:rPr>
          <w:rFonts w:hint="eastAsia"/>
          <w:sz w:val="24"/>
          <w:szCs w:val="24"/>
          <w:lang w:eastAsia="zh-CN"/>
        </w:rPr>
        <w:t>风向袋必须遵守《安全色》（GB2893-2008</w:t>
      </w:r>
      <w:r>
        <w:rPr>
          <w:sz w:val="24"/>
          <w:szCs w:val="24"/>
          <w:lang w:eastAsia="zh-CN"/>
        </w:rPr>
        <w:t>）</w:t>
      </w:r>
      <w:r>
        <w:rPr>
          <w:rFonts w:hint="eastAsia"/>
          <w:sz w:val="24"/>
          <w:szCs w:val="24"/>
          <w:lang w:eastAsia="zh-CN"/>
        </w:rPr>
        <w:t>等标准和规范要求。</w:t>
      </w:r>
    </w:p>
    <w:p>
      <w:pPr>
        <w:pStyle w:val="2"/>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3、报价时需要提供样品进行审核。</w:t>
      </w:r>
    </w:p>
    <w:p>
      <w:pPr>
        <w:pStyle w:val="2"/>
        <w:spacing w:line="48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8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5、</w:t>
      </w:r>
      <w:r>
        <w:rPr>
          <w:rFonts w:hint="eastAsia" w:asciiTheme="minorEastAsia" w:hAnsiTheme="minorEastAsia" w:eastAsiaTheme="minorEastAsia"/>
          <w:bCs/>
          <w:color w:val="000000" w:themeColor="text1"/>
          <w:sz w:val="24"/>
          <w:szCs w:val="24"/>
          <w:lang w:eastAsia="zh-CN"/>
        </w:rPr>
        <w:t>与比选人无诉讼纠纷。</w:t>
      </w:r>
    </w:p>
    <w:p>
      <w:pPr>
        <w:spacing w:line="460" w:lineRule="exact"/>
        <w:rPr>
          <w:b/>
          <w:w w:val="95"/>
          <w:sz w:val="24"/>
          <w:szCs w:val="24"/>
          <w:lang w:eastAsia="zh-CN"/>
        </w:rPr>
      </w:pPr>
      <w:r>
        <w:rPr>
          <w:b/>
          <w:w w:val="95"/>
          <w:sz w:val="24"/>
          <w:szCs w:val="24"/>
          <w:lang w:eastAsia="zh-CN"/>
        </w:rPr>
        <w:t>七、参选保证金</w:t>
      </w:r>
    </w:p>
    <w:p>
      <w:pPr>
        <w:pStyle w:val="2"/>
        <w:spacing w:line="460" w:lineRule="exact"/>
        <w:rPr>
          <w:sz w:val="24"/>
          <w:szCs w:val="24"/>
        </w:rPr>
      </w:pPr>
      <w:r>
        <w:rPr>
          <w:rFonts w:hint="eastAsia"/>
        </w:rPr>
        <w:t xml:space="preserve">   </w:t>
      </w:r>
      <w:r>
        <w:rPr>
          <w:rFonts w:hint="eastAsia"/>
          <w:sz w:val="24"/>
          <w:szCs w:val="24"/>
        </w:rPr>
        <w:t>无</w:t>
      </w:r>
    </w:p>
    <w:p>
      <w:pPr>
        <w:spacing w:line="460" w:lineRule="exact"/>
        <w:rPr>
          <w:b/>
          <w:w w:val="95"/>
          <w:sz w:val="24"/>
          <w:szCs w:val="24"/>
          <w:lang w:eastAsia="zh-CN"/>
        </w:rPr>
      </w:pPr>
      <w:r>
        <w:rPr>
          <w:b/>
          <w:w w:val="95"/>
          <w:sz w:val="24"/>
          <w:szCs w:val="24"/>
          <w:lang w:eastAsia="zh-CN"/>
        </w:rPr>
        <w:t>八、参选文件的递交</w:t>
      </w:r>
    </w:p>
    <w:p>
      <w:pPr>
        <w:pStyle w:val="4"/>
        <w:tabs>
          <w:tab w:val="left" w:pos="6879"/>
        </w:tabs>
        <w:spacing w:before="107" w:line="46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w:t>
      </w:r>
      <w:r>
        <w:rPr>
          <w:rFonts w:hint="eastAsia"/>
          <w:color w:val="000000" w:themeColor="text1"/>
          <w:lang w:eastAsia="zh-CN"/>
        </w:rPr>
        <w:t>1年  月   日17时00分</w:t>
      </w:r>
      <w:r>
        <w:rPr>
          <w:rFonts w:hint="eastAsia"/>
          <w:lang w:eastAsia="zh-CN"/>
        </w:rPr>
        <w:t>。</w:t>
      </w:r>
    </w:p>
    <w:p>
      <w:pPr>
        <w:pStyle w:val="4"/>
        <w:tabs>
          <w:tab w:val="left" w:pos="6879"/>
        </w:tabs>
        <w:spacing w:before="107" w:line="46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46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20"/>
        <w:spacing w:line="460" w:lineRule="exact"/>
        <w:ind w:right="121" w:firstLine="480" w:firstLineChars="200"/>
        <w:jc w:val="both"/>
        <w:rPr>
          <w:lang w:eastAsia="zh-CN"/>
        </w:rPr>
      </w:pPr>
      <w:r>
        <w:rPr>
          <w:lang w:eastAsia="zh-CN"/>
        </w:rPr>
        <w:t>3</w:t>
      </w:r>
      <w:r>
        <w:rPr>
          <w:rFonts w:hint="eastAsia"/>
          <w:lang w:eastAsia="zh-CN"/>
        </w:rPr>
        <w:t>、</w:t>
      </w:r>
      <w:r>
        <w:rPr>
          <w:lang w:eastAsia="zh-CN"/>
        </w:rPr>
        <w:t>只允许参选人有一个参选方案，否则将被视为无效参选。</w:t>
      </w:r>
    </w:p>
    <w:p>
      <w:pPr>
        <w:pStyle w:val="20"/>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20"/>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20"/>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075"/>
        </w:tabs>
        <w:spacing w:line="355" w:lineRule="exact"/>
        <w:ind w:left="539" w:leftChars="245" w:firstLine="2502" w:firstLineChars="890"/>
        <w:rPr>
          <w:lang w:eastAsia="zh-CN"/>
        </w:rPr>
      </w:pPr>
      <w:bookmarkStart w:id="0" w:name="_Toc251742852"/>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20"/>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20"/>
        <w:spacing w:line="480" w:lineRule="exact"/>
        <w:ind w:right="121" w:firstLine="360" w:firstLineChars="150"/>
        <w:jc w:val="both"/>
        <w:rPr>
          <w:lang w:eastAsia="zh-CN"/>
        </w:rPr>
      </w:pPr>
      <w:r>
        <w:rPr>
          <w:rFonts w:hint="eastAsia"/>
          <w:lang w:eastAsia="zh-CN"/>
        </w:rPr>
        <w:t>1、技术参选文件</w:t>
      </w:r>
    </w:p>
    <w:p>
      <w:pPr>
        <w:pStyle w:val="20"/>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3</w:t>
      </w:r>
      <w:r>
        <w:rPr>
          <w:lang w:eastAsia="zh-CN"/>
        </w:rPr>
        <w:t>年业绩）</w:t>
      </w:r>
      <w:r>
        <w:rPr>
          <w:rFonts w:hint="eastAsia"/>
          <w:lang w:eastAsia="zh-CN"/>
        </w:rPr>
        <w:t>、</w:t>
      </w:r>
      <w:r>
        <w:rPr>
          <w:lang w:eastAsia="zh-CN"/>
        </w:rPr>
        <w:t>营业执照、组织机构代码证、税务登记证（经年检或年审合格的）等。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20"/>
        <w:spacing w:line="480" w:lineRule="exact"/>
        <w:ind w:right="121" w:firstLine="360" w:firstLineChars="150"/>
        <w:jc w:val="both"/>
        <w:rPr>
          <w:lang w:eastAsia="zh-CN"/>
        </w:rPr>
      </w:pPr>
      <w:r>
        <w:rPr>
          <w:rFonts w:hint="eastAsia"/>
          <w:lang w:eastAsia="zh-CN"/>
        </w:rPr>
        <w:t>2、商务参选文件</w:t>
      </w:r>
    </w:p>
    <w:p>
      <w:pPr>
        <w:pStyle w:val="20"/>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20"/>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20"/>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20"/>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20"/>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20"/>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0"/>
        <w:spacing w:line="480" w:lineRule="exact"/>
        <w:ind w:right="121" w:firstLine="480" w:firstLineChars="200"/>
        <w:jc w:val="both"/>
        <w:rPr>
          <w:lang w:eastAsia="zh-CN"/>
        </w:rPr>
      </w:pPr>
      <w:r>
        <w:rPr>
          <w:rFonts w:hint="eastAsia"/>
          <w:lang w:eastAsia="zh-CN"/>
        </w:rPr>
        <w:t>本项目设置最高控制价</w:t>
      </w:r>
      <w:r>
        <w:rPr>
          <w:rFonts w:hint="eastAsia" w:ascii="inherit" w:hAnsi="inherit"/>
          <w:sz w:val="22"/>
          <w:szCs w:val="22"/>
          <w:lang w:eastAsia="zh-CN"/>
        </w:rPr>
        <w:t>“47,000.00元”。</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"mailto:如参选人对控制价存疑请于报价截止前发邮件至ybchen@fhcpec.com.cn" </w:instrText>
      </w:r>
      <w:r>
        <w:fldChar w:fldCharType="separate"/>
      </w:r>
      <w:r>
        <w:rPr>
          <w:rStyle w:val="55"/>
          <w:rFonts w:hint="eastAsia"/>
          <w:lang w:eastAsia="zh-CN"/>
        </w:rPr>
        <w:t>如参选人对控制价存疑请于报价截止前发邮件至ybchen@fhcpec.com.cn</w:t>
      </w:r>
      <w:r>
        <w:rPr>
          <w:rStyle w:val="55"/>
          <w:rFonts w:hint="eastAsia"/>
          <w:lang w:eastAsia="zh-CN"/>
        </w:rPr>
        <w:fldChar w:fldCharType="end"/>
      </w:r>
      <w:r>
        <w:rPr>
          <w:rFonts w:hint="eastAsia"/>
          <w:lang w:eastAsia="zh-CN"/>
        </w:rPr>
        <w:t>。</w:t>
      </w:r>
    </w:p>
    <w:p>
      <w:pPr>
        <w:spacing w:line="480" w:lineRule="exact"/>
        <w:ind w:firstLine="482" w:firstLineChars="201"/>
        <w:rPr>
          <w:rFonts w:asciiTheme="minorEastAsia" w:hAnsiTheme="minorEastAsia"/>
          <w:sz w:val="24"/>
          <w:szCs w:val="24"/>
          <w:lang w:eastAsia="zh-CN"/>
        </w:rPr>
      </w:pPr>
      <w:r>
        <w:rPr>
          <w:rFonts w:hint="eastAsia" w:asciiTheme="minorEastAsia" w:hAnsiTheme="minorEastAsia"/>
          <w:sz w:val="24"/>
          <w:szCs w:val="24"/>
          <w:lang w:eastAsia="zh-CN"/>
        </w:rPr>
        <w:t>本项目采用综合评分法，以评审后得分由高到低顺序排列，满分100分。综合得分最高者作为中选单位。最高综合得分仍相同的，报价最低者中选。</w:t>
      </w:r>
    </w:p>
    <w:tbl>
      <w:tblPr>
        <w:tblStyle w:val="4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8"/>
        <w:gridCol w:w="808"/>
        <w:gridCol w:w="4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gridSpan w:val="3"/>
            <w:vAlign w:val="center"/>
          </w:tcPr>
          <w:p>
            <w:pPr>
              <w:rPr>
                <w:b/>
              </w:rPr>
            </w:pPr>
            <w:r>
              <w:rPr>
                <w:rFonts w:hint="eastAsia"/>
                <w:b/>
              </w:rPr>
              <w:t>一、价格部分（</w:t>
            </w:r>
            <w:r>
              <w:rPr>
                <w:rFonts w:hint="eastAsia"/>
                <w:b/>
                <w:lang w:eastAsia="zh-CN"/>
              </w:rPr>
              <w:t>40</w:t>
            </w:r>
            <w:r>
              <w:rPr>
                <w:rFonts w:hint="eastAsia"/>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vAlign w:val="center"/>
          </w:tcPr>
          <w:p>
            <w:pPr>
              <w:jc w:val="center"/>
              <w:rPr>
                <w:b/>
              </w:rPr>
            </w:pPr>
            <w:r>
              <w:rPr>
                <w:rFonts w:hint="eastAsia"/>
                <w:b/>
              </w:rPr>
              <w:t>项目</w:t>
            </w:r>
          </w:p>
        </w:tc>
        <w:tc>
          <w:tcPr>
            <w:tcW w:w="808" w:type="dxa"/>
            <w:vAlign w:val="center"/>
          </w:tcPr>
          <w:p>
            <w:pPr>
              <w:jc w:val="center"/>
              <w:rPr>
                <w:b/>
              </w:rPr>
            </w:pPr>
            <w:r>
              <w:rPr>
                <w:rFonts w:hint="eastAsia"/>
                <w:b/>
              </w:rPr>
              <w:t>分值</w:t>
            </w:r>
          </w:p>
        </w:tc>
        <w:tc>
          <w:tcPr>
            <w:tcW w:w="4986" w:type="dxa"/>
            <w:vAlign w:val="center"/>
          </w:tcPr>
          <w:p>
            <w:pPr>
              <w:jc w:val="center"/>
              <w:rPr>
                <w:b/>
              </w:rPr>
            </w:pPr>
            <w:r>
              <w:rPr>
                <w:rFonts w:hint="eastAsia"/>
                <w:b/>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528" w:type="dxa"/>
            <w:vAlign w:val="center"/>
          </w:tcPr>
          <w:p>
            <w:pPr>
              <w:jc w:val="center"/>
            </w:pPr>
            <w:r>
              <w:rPr>
                <w:rFonts w:hint="eastAsia"/>
              </w:rPr>
              <w:t>价格评审</w:t>
            </w:r>
          </w:p>
        </w:tc>
        <w:tc>
          <w:tcPr>
            <w:tcW w:w="808" w:type="dxa"/>
            <w:vAlign w:val="center"/>
          </w:tcPr>
          <w:p>
            <w:pPr>
              <w:jc w:val="center"/>
            </w:pPr>
            <w:r>
              <w:rPr>
                <w:rFonts w:hint="eastAsia"/>
                <w:lang w:eastAsia="zh-CN"/>
              </w:rPr>
              <w:t>40</w:t>
            </w:r>
            <w:r>
              <w:rPr>
                <w:rFonts w:hint="eastAsia"/>
              </w:rPr>
              <w:t>分</w:t>
            </w:r>
          </w:p>
        </w:tc>
        <w:tc>
          <w:tcPr>
            <w:tcW w:w="4986" w:type="dxa"/>
          </w:tcPr>
          <w:p>
            <w:pPr>
              <w:ind w:left="125" w:leftChars="57"/>
              <w:rPr>
                <w:lang w:eastAsia="zh-CN"/>
              </w:rPr>
            </w:pPr>
            <w:r>
              <w:rPr>
                <w:rFonts w:hint="eastAsia"/>
                <w:lang w:eastAsia="zh-CN"/>
              </w:rPr>
              <w:t>以最低有效报价价格作为基准价，其价格分为满分。有效报价高于基准价的计算公式：价格分=40-（有效报价价格-基准价）/基准价*100。以上计算保留小数点后两位。</w:t>
            </w:r>
          </w:p>
          <w:p>
            <w:pPr>
              <w:ind w:left="125" w:leftChars="57"/>
              <w:rPr>
                <w:lang w:eastAsia="zh-CN"/>
              </w:rPr>
            </w:pPr>
            <w:r>
              <w:rPr>
                <w:rFonts w:hint="eastAsia"/>
                <w:lang w:eastAsia="zh-CN"/>
              </w:rPr>
              <w:t>注：如报价人的有效报价中所含增值税税率不同，按统一去除增值税税率后进行计算价格分。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322" w:type="dxa"/>
            <w:gridSpan w:val="3"/>
            <w:vAlign w:val="center"/>
          </w:tcPr>
          <w:p>
            <w:pPr>
              <w:rPr>
                <w:b/>
                <w:bCs/>
              </w:rPr>
            </w:pPr>
            <w:r>
              <w:rPr>
                <w:rFonts w:hint="eastAsia"/>
                <w:b/>
                <w:bCs/>
              </w:rPr>
              <w:t>二、技术部分（</w:t>
            </w:r>
            <w:r>
              <w:rPr>
                <w:rFonts w:hint="eastAsia"/>
                <w:b/>
                <w:bCs/>
                <w:lang w:eastAsia="zh-CN"/>
              </w:rPr>
              <w:t>60</w:t>
            </w:r>
            <w:r>
              <w:rPr>
                <w:rFonts w:hint="eastAsia"/>
                <w:b/>
                <w:bC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528" w:type="dxa"/>
            <w:vAlign w:val="center"/>
          </w:tcPr>
          <w:p>
            <w:pPr>
              <w:jc w:val="center"/>
              <w:rPr>
                <w:b/>
              </w:rPr>
            </w:pPr>
            <w:r>
              <w:rPr>
                <w:rFonts w:hint="eastAsia"/>
                <w:b/>
              </w:rPr>
              <w:t>项目</w:t>
            </w:r>
          </w:p>
        </w:tc>
        <w:tc>
          <w:tcPr>
            <w:tcW w:w="808" w:type="dxa"/>
            <w:vAlign w:val="center"/>
          </w:tcPr>
          <w:p>
            <w:pPr>
              <w:jc w:val="center"/>
              <w:rPr>
                <w:b/>
              </w:rPr>
            </w:pPr>
            <w:r>
              <w:rPr>
                <w:rFonts w:hint="eastAsia"/>
                <w:b/>
              </w:rPr>
              <w:t>分值</w:t>
            </w:r>
          </w:p>
        </w:tc>
        <w:tc>
          <w:tcPr>
            <w:tcW w:w="4986" w:type="dxa"/>
            <w:vAlign w:val="center"/>
          </w:tcPr>
          <w:p>
            <w:pPr>
              <w:ind w:firstLine="1840" w:firstLineChars="833"/>
              <w:rPr>
                <w:b/>
                <w:bCs/>
              </w:rPr>
            </w:pPr>
            <w:r>
              <w:rPr>
                <w:rFonts w:hint="eastAsia"/>
                <w:b/>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528" w:type="dxa"/>
            <w:vAlign w:val="center"/>
          </w:tcPr>
          <w:p>
            <w:pPr>
              <w:jc w:val="center"/>
              <w:rPr>
                <w:lang w:eastAsia="zh-CN"/>
              </w:rPr>
            </w:pPr>
            <w:r>
              <w:rPr>
                <w:rFonts w:hint="eastAsia"/>
                <w:lang w:eastAsia="zh-CN"/>
              </w:rPr>
              <w:t>面料</w:t>
            </w:r>
            <w:r>
              <w:rPr>
                <w:rFonts w:hint="eastAsia"/>
                <w:bCs/>
                <w:lang w:eastAsia="zh-CN"/>
              </w:rPr>
              <w:t>性能</w:t>
            </w:r>
          </w:p>
        </w:tc>
        <w:tc>
          <w:tcPr>
            <w:tcW w:w="808" w:type="dxa"/>
            <w:vAlign w:val="center"/>
          </w:tcPr>
          <w:p>
            <w:pPr>
              <w:jc w:val="center"/>
              <w:rPr>
                <w:lang w:eastAsia="zh-CN"/>
              </w:rPr>
            </w:pPr>
            <w:r>
              <w:t>18</w:t>
            </w:r>
            <w:r>
              <w:rPr>
                <w:rFonts w:hint="eastAsia"/>
                <w:lang w:eastAsia="zh-CN"/>
              </w:rPr>
              <w:t>分</w:t>
            </w:r>
          </w:p>
        </w:tc>
        <w:tc>
          <w:tcPr>
            <w:tcW w:w="4986" w:type="dxa"/>
            <w:vAlign w:val="center"/>
          </w:tcPr>
          <w:p>
            <w:pPr>
              <w:rPr>
                <w:bCs/>
                <w:lang w:eastAsia="zh-CN"/>
              </w:rPr>
            </w:pPr>
            <w:r>
              <w:rPr>
                <w:rFonts w:hint="eastAsia"/>
                <w:bCs/>
                <w:lang w:eastAsia="zh-CN"/>
              </w:rPr>
              <w:t>从主面料纱支、密度、质量进行横向比较。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528" w:type="dxa"/>
            <w:vAlign w:val="center"/>
          </w:tcPr>
          <w:p>
            <w:pPr>
              <w:jc w:val="center"/>
              <w:rPr>
                <w:lang w:eastAsia="zh-CN"/>
              </w:rPr>
            </w:pPr>
            <w:r>
              <w:rPr>
                <w:rFonts w:hint="eastAsia"/>
                <w:lang w:eastAsia="zh-CN"/>
              </w:rPr>
              <w:t>防水性</w:t>
            </w:r>
            <w:r>
              <w:rPr>
                <w:rFonts w:hint="eastAsia"/>
                <w:bCs/>
                <w:lang w:eastAsia="zh-CN"/>
              </w:rPr>
              <w:t>性能</w:t>
            </w:r>
          </w:p>
        </w:tc>
        <w:tc>
          <w:tcPr>
            <w:tcW w:w="808" w:type="dxa"/>
            <w:vAlign w:val="center"/>
          </w:tcPr>
          <w:p>
            <w:pPr>
              <w:jc w:val="center"/>
              <w:rPr>
                <w:lang w:eastAsia="zh-CN"/>
              </w:rPr>
            </w:pPr>
            <w:r>
              <w:rPr>
                <w:lang w:eastAsia="zh-CN"/>
              </w:rPr>
              <w:t>10</w:t>
            </w:r>
            <w:r>
              <w:rPr>
                <w:rFonts w:hint="eastAsia"/>
                <w:lang w:eastAsia="zh-CN"/>
              </w:rPr>
              <w:t>分</w:t>
            </w:r>
          </w:p>
        </w:tc>
        <w:tc>
          <w:tcPr>
            <w:tcW w:w="4986" w:type="dxa"/>
            <w:vAlign w:val="center"/>
          </w:tcPr>
          <w:p>
            <w:pPr>
              <w:rPr>
                <w:bCs/>
                <w:lang w:eastAsia="zh-CN"/>
              </w:rPr>
            </w:pPr>
            <w:r>
              <w:rPr>
                <w:rFonts w:hint="eastAsia"/>
                <w:bCs/>
                <w:lang w:eastAsia="zh-CN"/>
              </w:rPr>
              <w:t>从布料防水防污能力等方面进行横向比较。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528" w:type="dxa"/>
            <w:vAlign w:val="center"/>
          </w:tcPr>
          <w:p>
            <w:pPr>
              <w:jc w:val="center"/>
              <w:rPr>
                <w:lang w:eastAsia="zh-CN"/>
              </w:rPr>
            </w:pPr>
            <w:r>
              <w:rPr>
                <w:rFonts w:hint="eastAsia"/>
                <w:lang w:eastAsia="zh-CN"/>
              </w:rPr>
              <w:t>清晰度性能</w:t>
            </w:r>
          </w:p>
        </w:tc>
        <w:tc>
          <w:tcPr>
            <w:tcW w:w="808" w:type="dxa"/>
            <w:vAlign w:val="center"/>
          </w:tcPr>
          <w:p>
            <w:pPr>
              <w:jc w:val="center"/>
              <w:rPr>
                <w:lang w:eastAsia="zh-CN"/>
              </w:rPr>
            </w:pPr>
            <w:r>
              <w:rPr>
                <w:lang w:eastAsia="zh-CN"/>
              </w:rPr>
              <w:t>10</w:t>
            </w:r>
            <w:r>
              <w:rPr>
                <w:rFonts w:hint="eastAsia"/>
                <w:lang w:eastAsia="zh-CN"/>
              </w:rPr>
              <w:t>分</w:t>
            </w:r>
          </w:p>
        </w:tc>
        <w:tc>
          <w:tcPr>
            <w:tcW w:w="4986" w:type="dxa"/>
            <w:vAlign w:val="center"/>
          </w:tcPr>
          <w:p>
            <w:pPr>
              <w:rPr>
                <w:bCs/>
                <w:lang w:eastAsia="zh-CN"/>
              </w:rPr>
            </w:pPr>
            <w:r>
              <w:rPr>
                <w:rFonts w:hint="eastAsia"/>
                <w:bCs/>
                <w:lang w:eastAsia="zh-CN"/>
              </w:rPr>
              <w:t>线迹清晰饱满、均匀，针距合适，无跳针、无断线与接线、牢固度等现象进行横向比较。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528" w:type="dxa"/>
            <w:vAlign w:val="center"/>
          </w:tcPr>
          <w:p>
            <w:pPr>
              <w:jc w:val="center"/>
              <w:rPr>
                <w:lang w:eastAsia="zh-CN"/>
              </w:rPr>
            </w:pPr>
            <w:r>
              <w:rPr>
                <w:rFonts w:hint="eastAsia"/>
                <w:bCs/>
                <w:lang w:eastAsia="zh-CN"/>
              </w:rPr>
              <w:t>挂钩性能</w:t>
            </w:r>
          </w:p>
        </w:tc>
        <w:tc>
          <w:tcPr>
            <w:tcW w:w="808" w:type="dxa"/>
            <w:vAlign w:val="center"/>
          </w:tcPr>
          <w:p>
            <w:pPr>
              <w:jc w:val="center"/>
              <w:rPr>
                <w:lang w:eastAsia="zh-CN"/>
              </w:rPr>
            </w:pPr>
            <w:r>
              <w:rPr>
                <w:lang w:eastAsia="zh-CN"/>
              </w:rPr>
              <w:t>10</w:t>
            </w:r>
            <w:r>
              <w:rPr>
                <w:rFonts w:hint="eastAsia"/>
                <w:lang w:eastAsia="zh-CN"/>
              </w:rPr>
              <w:t>分</w:t>
            </w:r>
          </w:p>
        </w:tc>
        <w:tc>
          <w:tcPr>
            <w:tcW w:w="4986" w:type="dxa"/>
            <w:vAlign w:val="center"/>
          </w:tcPr>
          <w:p>
            <w:pPr>
              <w:rPr>
                <w:bCs/>
                <w:lang w:eastAsia="zh-CN"/>
              </w:rPr>
            </w:pPr>
            <w:r>
              <w:rPr>
                <w:rFonts w:hint="eastAsia"/>
                <w:bCs/>
                <w:lang w:eastAsia="zh-CN"/>
              </w:rPr>
              <w:t>从挂钩、孔眼等配件质量进行横向比较。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528" w:type="dxa"/>
            <w:vAlign w:val="center"/>
          </w:tcPr>
          <w:p>
            <w:pPr>
              <w:jc w:val="center"/>
              <w:rPr>
                <w:lang w:eastAsia="zh-CN"/>
              </w:rPr>
            </w:pPr>
            <w:r>
              <w:rPr>
                <w:rFonts w:hint="eastAsia"/>
                <w:bCs/>
                <w:lang w:eastAsia="zh-CN"/>
              </w:rPr>
              <w:t>荧光条性能</w:t>
            </w:r>
          </w:p>
        </w:tc>
        <w:tc>
          <w:tcPr>
            <w:tcW w:w="808" w:type="dxa"/>
            <w:vAlign w:val="center"/>
          </w:tcPr>
          <w:p>
            <w:pPr>
              <w:jc w:val="center"/>
              <w:rPr>
                <w:lang w:eastAsia="zh-CN"/>
              </w:rPr>
            </w:pPr>
            <w:r>
              <w:rPr>
                <w:lang w:eastAsia="zh-CN"/>
              </w:rPr>
              <w:t>10</w:t>
            </w:r>
            <w:r>
              <w:rPr>
                <w:rFonts w:hint="eastAsia"/>
                <w:lang w:eastAsia="zh-CN"/>
              </w:rPr>
              <w:t>分</w:t>
            </w:r>
          </w:p>
        </w:tc>
        <w:tc>
          <w:tcPr>
            <w:tcW w:w="4986" w:type="dxa"/>
            <w:vAlign w:val="center"/>
          </w:tcPr>
          <w:p>
            <w:pPr>
              <w:rPr>
                <w:bCs/>
                <w:lang w:eastAsia="zh-CN"/>
              </w:rPr>
            </w:pPr>
            <w:r>
              <w:rPr>
                <w:rFonts w:hint="eastAsia"/>
                <w:bCs/>
                <w:lang w:eastAsia="zh-CN"/>
              </w:rPr>
              <w:t>从荧光条夜光能力、质量进行横向比较。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528" w:type="dxa"/>
            <w:vAlign w:val="center"/>
          </w:tcPr>
          <w:p>
            <w:pPr>
              <w:jc w:val="center"/>
              <w:rPr>
                <w:lang w:eastAsia="zh-CN"/>
              </w:rPr>
            </w:pPr>
            <w:r>
              <w:rPr>
                <w:rFonts w:hint="eastAsia"/>
                <w:bCs/>
                <w:lang w:eastAsia="zh-CN"/>
              </w:rPr>
              <w:t>交货工期</w:t>
            </w:r>
          </w:p>
        </w:tc>
        <w:tc>
          <w:tcPr>
            <w:tcW w:w="808" w:type="dxa"/>
            <w:vAlign w:val="center"/>
          </w:tcPr>
          <w:p>
            <w:pPr>
              <w:jc w:val="center"/>
              <w:rPr>
                <w:lang w:eastAsia="zh-CN"/>
              </w:rPr>
            </w:pPr>
            <w:r>
              <w:rPr>
                <w:rFonts w:hint="eastAsia"/>
                <w:lang w:eastAsia="zh-CN"/>
              </w:rPr>
              <w:t>2分</w:t>
            </w:r>
          </w:p>
        </w:tc>
        <w:tc>
          <w:tcPr>
            <w:tcW w:w="4986" w:type="dxa"/>
            <w:vAlign w:val="center"/>
          </w:tcPr>
          <w:p>
            <w:pPr>
              <w:rPr>
                <w:bCs/>
                <w:lang w:eastAsia="zh-CN"/>
              </w:rPr>
            </w:pPr>
            <w:r>
              <w:rPr>
                <w:rFonts w:hint="eastAsia"/>
                <w:bCs/>
                <w:lang w:eastAsia="zh-CN"/>
              </w:rPr>
              <w:t>交货工期以</w:t>
            </w:r>
            <w:r>
              <w:rPr>
                <w:bCs/>
                <w:lang w:eastAsia="zh-CN"/>
              </w:rPr>
              <w:t>20日为基准分2分，每延后5天减0.5分。</w:t>
            </w:r>
          </w:p>
        </w:tc>
      </w:tr>
    </w:tbl>
    <w:p>
      <w:pPr>
        <w:pStyle w:val="2"/>
      </w:pPr>
    </w:p>
    <w:p>
      <w:pPr>
        <w:spacing w:before="15" w:line="480" w:lineRule="exact"/>
        <w:rPr>
          <w:b/>
          <w:w w:val="95"/>
          <w:sz w:val="24"/>
          <w:szCs w:val="24"/>
          <w:lang w:eastAsia="zh-CN"/>
        </w:rPr>
      </w:pPr>
      <w:r>
        <w:rPr>
          <w:b/>
          <w:w w:val="95"/>
          <w:sz w:val="24"/>
          <w:szCs w:val="24"/>
          <w:lang w:eastAsia="zh-CN"/>
        </w:rPr>
        <w:t>四、以下情况作废选处理</w:t>
      </w:r>
    </w:p>
    <w:p>
      <w:pPr>
        <w:pStyle w:val="20"/>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20"/>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20"/>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20"/>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20"/>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361" w:firstLineChars="84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20"/>
        <w:spacing w:line="440" w:lineRule="exact"/>
        <w:ind w:left="598"/>
        <w:rPr>
          <w:rFonts w:asciiTheme="minorEastAsia" w:hAnsiTheme="minorEastAsia" w:eastAsiaTheme="minorEastAsia"/>
          <w:b/>
          <w:lang w:eastAsia="zh-CN"/>
        </w:rPr>
      </w:pPr>
    </w:p>
    <w:p>
      <w:pPr>
        <w:pStyle w:val="20"/>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20"/>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20"/>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20"/>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2080" w:firstLineChars="740"/>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20"/>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502" w:firstLineChars="8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20"/>
        <w:rPr>
          <w:rFonts w:asciiTheme="minorEastAsia" w:hAnsiTheme="minorEastAsia" w:eastAsiaTheme="minorEastAsia"/>
          <w:lang w:eastAsia="zh-CN"/>
        </w:rPr>
      </w:pPr>
    </w:p>
    <w:p>
      <w:pPr>
        <w:pStyle w:val="20"/>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20"/>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20"/>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20"/>
        <w:spacing w:before="106" w:line="460" w:lineRule="exact"/>
        <w:rPr>
          <w:rFonts w:asciiTheme="minorEastAsia" w:hAnsiTheme="minorEastAsia" w:eastAsiaTheme="minorEastAsia"/>
          <w:lang w:eastAsia="zh-CN"/>
        </w:rPr>
      </w:pPr>
    </w:p>
    <w:p>
      <w:pPr>
        <w:pStyle w:val="20"/>
        <w:spacing w:before="106" w:line="460" w:lineRule="exact"/>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p>
      <w:pPr>
        <w:tabs>
          <w:tab w:val="left" w:pos="709"/>
        </w:tabs>
        <w:spacing w:line="460" w:lineRule="exact"/>
        <w:ind w:firstLine="2557" w:firstLineChars="796"/>
        <w:rPr>
          <w:b/>
          <w:sz w:val="32"/>
          <w:szCs w:val="32"/>
          <w:lang w:eastAsia="zh-CN"/>
        </w:rPr>
      </w:pPr>
      <w:r>
        <w:rPr>
          <w:rFonts w:hint="eastAsia"/>
          <w:b/>
          <w:color w:val="000000"/>
          <w:sz w:val="32"/>
          <w:szCs w:val="32"/>
          <w:lang w:eastAsia="zh-CN"/>
        </w:rPr>
        <w:t>风向袋年约采购</w:t>
      </w:r>
      <w:r>
        <w:rPr>
          <w:rFonts w:hint="eastAsia"/>
          <w:b/>
          <w:sz w:val="32"/>
          <w:szCs w:val="32"/>
          <w:lang w:eastAsia="zh-CN"/>
        </w:rPr>
        <w:t>合同</w:t>
      </w:r>
    </w:p>
    <w:p>
      <w:pPr>
        <w:pStyle w:val="2"/>
        <w:spacing w:line="460" w:lineRule="exact"/>
        <w:rPr>
          <w:rFonts w:hAnsi="宋体"/>
          <w:sz w:val="21"/>
          <w:szCs w:val="21"/>
        </w:rPr>
      </w:pPr>
      <w:r>
        <w:rPr>
          <w:rFonts w:hint="eastAsia" w:hAnsi="宋体"/>
          <w:sz w:val="21"/>
          <w:szCs w:val="21"/>
        </w:rPr>
        <w:t xml:space="preserve">                                                 合同编号：</w:t>
      </w:r>
    </w:p>
    <w:p>
      <w:pPr>
        <w:pStyle w:val="2"/>
        <w:spacing w:line="460" w:lineRule="exact"/>
        <w:rPr>
          <w:rFonts w:hAnsi="宋体"/>
          <w:sz w:val="21"/>
          <w:szCs w:val="21"/>
        </w:rPr>
      </w:pPr>
      <w:r>
        <w:rPr>
          <w:rFonts w:hint="eastAsia" w:hAnsi="宋体"/>
          <w:sz w:val="21"/>
          <w:szCs w:val="21"/>
        </w:rPr>
        <w:t>甲方：                                           签订地点：</w:t>
      </w:r>
    </w:p>
    <w:p>
      <w:pPr>
        <w:pStyle w:val="2"/>
        <w:spacing w:line="460" w:lineRule="exact"/>
        <w:ind w:firstLine="630" w:firstLineChars="300"/>
        <w:rPr>
          <w:rFonts w:hAnsi="宋体"/>
          <w:sz w:val="21"/>
          <w:szCs w:val="21"/>
        </w:rPr>
      </w:pPr>
      <w:r>
        <w:rPr>
          <w:rFonts w:hint="eastAsia" w:hAnsi="宋体"/>
          <w:sz w:val="21"/>
          <w:szCs w:val="21"/>
        </w:rPr>
        <w:t xml:space="preserve"> 腾龙芳烃（漳州）有限公司                  签订日期：</w:t>
      </w:r>
    </w:p>
    <w:p>
      <w:pPr>
        <w:pStyle w:val="2"/>
        <w:spacing w:line="460" w:lineRule="exact"/>
        <w:ind w:firstLine="735" w:firstLineChars="350"/>
        <w:rPr>
          <w:rFonts w:hAnsi="宋体"/>
          <w:sz w:val="21"/>
          <w:szCs w:val="21"/>
        </w:rPr>
      </w:pPr>
      <w:r>
        <w:rPr>
          <w:rFonts w:hint="eastAsia" w:hAnsi="宋体"/>
          <w:sz w:val="21"/>
          <w:szCs w:val="21"/>
        </w:rPr>
        <w:t>翔鹭石化（漳州）有限公司</w:t>
      </w:r>
    </w:p>
    <w:p>
      <w:pPr>
        <w:pStyle w:val="2"/>
        <w:spacing w:line="460" w:lineRule="exact"/>
        <w:rPr>
          <w:rFonts w:hAnsi="宋体"/>
          <w:sz w:val="21"/>
          <w:szCs w:val="21"/>
        </w:rPr>
      </w:pPr>
      <w:r>
        <w:rPr>
          <w:rFonts w:hint="eastAsia" w:hAnsi="宋体"/>
          <w:sz w:val="21"/>
          <w:szCs w:val="21"/>
        </w:rPr>
        <w:t xml:space="preserve"> 乙方：                                           </w:t>
      </w:r>
    </w:p>
    <w:p>
      <w:pPr>
        <w:spacing w:line="460" w:lineRule="exact"/>
        <w:ind w:firstLine="420" w:firstLineChars="200"/>
        <w:rPr>
          <w:sz w:val="21"/>
          <w:szCs w:val="21"/>
          <w:lang w:eastAsia="zh-CN"/>
        </w:rPr>
      </w:pPr>
      <w:r>
        <w:rPr>
          <w:rFonts w:hint="eastAsia"/>
          <w:sz w:val="21"/>
          <w:szCs w:val="21"/>
          <w:lang w:eastAsia="zh-CN"/>
        </w:rPr>
        <w:t>根据甲方采购项目需求，经双方友好协商，就甲方向乙方采购本合同第1条所列产品相关事宜，依据《</w:t>
      </w:r>
      <w:r>
        <w:rPr>
          <w:color w:val="111111"/>
          <w:sz w:val="24"/>
          <w:szCs w:val="24"/>
          <w:lang w:eastAsia="zh-CN"/>
        </w:rPr>
        <w:t>中华人民共和国民法典</w:t>
      </w:r>
      <w:r>
        <w:rPr>
          <w:rFonts w:hint="eastAsia"/>
          <w:sz w:val="21"/>
          <w:szCs w:val="21"/>
          <w:lang w:eastAsia="zh-CN"/>
        </w:rPr>
        <w:t>》及其他相关法律法规规定，双方签订如下协议：</w:t>
      </w:r>
    </w:p>
    <w:p>
      <w:pPr>
        <w:pStyle w:val="75"/>
        <w:numPr>
          <w:ilvl w:val="0"/>
          <w:numId w:val="10"/>
        </w:numPr>
        <w:autoSpaceDE/>
        <w:autoSpaceDN/>
        <w:spacing w:before="0" w:line="460" w:lineRule="exact"/>
        <w:ind w:hanging="76"/>
        <w:jc w:val="both"/>
        <w:rPr>
          <w:sz w:val="21"/>
          <w:szCs w:val="21"/>
          <w:lang w:eastAsia="zh-CN"/>
        </w:rPr>
      </w:pPr>
      <w:r>
        <w:rPr>
          <w:rFonts w:hint="eastAsia"/>
          <w:sz w:val="21"/>
          <w:szCs w:val="21"/>
          <w:lang w:eastAsia="zh-CN"/>
        </w:rPr>
        <w:t>合同标的和合同价格清单表</w:t>
      </w:r>
    </w:p>
    <w:tbl>
      <w:tblPr>
        <w:tblStyle w:val="46"/>
        <w:tblW w:w="8897" w:type="dxa"/>
        <w:tblInd w:w="0" w:type="dxa"/>
        <w:tblLayout w:type="autofit"/>
        <w:tblCellMar>
          <w:top w:w="0" w:type="dxa"/>
          <w:left w:w="108" w:type="dxa"/>
          <w:bottom w:w="0" w:type="dxa"/>
          <w:right w:w="108" w:type="dxa"/>
        </w:tblCellMar>
      </w:tblPr>
      <w:tblGrid>
        <w:gridCol w:w="695"/>
        <w:gridCol w:w="2076"/>
        <w:gridCol w:w="1418"/>
        <w:gridCol w:w="992"/>
        <w:gridCol w:w="2157"/>
        <w:gridCol w:w="1245"/>
        <w:gridCol w:w="78"/>
        <w:gridCol w:w="236"/>
      </w:tblGrid>
      <w:tr>
        <w:tblPrEx>
          <w:tblCellMar>
            <w:top w:w="0" w:type="dxa"/>
            <w:left w:w="108" w:type="dxa"/>
            <w:bottom w:w="0" w:type="dxa"/>
            <w:right w:w="108" w:type="dxa"/>
          </w:tblCellMar>
        </w:tblPrEx>
        <w:trPr>
          <w:gridAfter w:val="2"/>
          <w:wAfter w:w="314" w:type="dxa"/>
          <w:trHeight w:val="522" w:hRule="atLeast"/>
        </w:trPr>
        <w:tc>
          <w:tcPr>
            <w:tcW w:w="695" w:type="dxa"/>
            <w:tcBorders>
              <w:top w:val="single" w:color="auto" w:sz="8" w:space="0"/>
              <w:left w:val="single" w:color="auto" w:sz="8" w:space="0"/>
              <w:bottom w:val="single" w:color="auto" w:sz="8" w:space="0"/>
              <w:right w:val="single" w:color="auto" w:sz="8" w:space="0"/>
            </w:tcBorders>
            <w:shd w:val="clear" w:color="000000" w:fill="C5D9F1"/>
            <w:vAlign w:val="center"/>
          </w:tcPr>
          <w:p>
            <w:pPr>
              <w:widowControl/>
              <w:spacing w:line="460" w:lineRule="exact"/>
              <w:jc w:val="center"/>
              <w:rPr>
                <w:b/>
                <w:bCs/>
                <w:color w:val="000000"/>
                <w:sz w:val="21"/>
                <w:szCs w:val="21"/>
              </w:rPr>
            </w:pPr>
            <w:r>
              <w:rPr>
                <w:rFonts w:hint="eastAsia"/>
                <w:b/>
                <w:bCs/>
                <w:color w:val="000000"/>
                <w:sz w:val="21"/>
                <w:szCs w:val="21"/>
              </w:rPr>
              <w:t>序号</w:t>
            </w:r>
          </w:p>
        </w:tc>
        <w:tc>
          <w:tcPr>
            <w:tcW w:w="2076" w:type="dxa"/>
            <w:tcBorders>
              <w:top w:val="single" w:color="auto" w:sz="8" w:space="0"/>
              <w:left w:val="nil"/>
              <w:bottom w:val="single" w:color="auto" w:sz="8" w:space="0"/>
              <w:right w:val="single" w:color="auto" w:sz="8" w:space="0"/>
            </w:tcBorders>
            <w:shd w:val="clear" w:color="000000" w:fill="C5D9F1"/>
            <w:vAlign w:val="center"/>
          </w:tcPr>
          <w:p>
            <w:pPr>
              <w:widowControl/>
              <w:spacing w:line="460" w:lineRule="exact"/>
              <w:jc w:val="center"/>
              <w:rPr>
                <w:b/>
                <w:bCs/>
                <w:color w:val="000000"/>
                <w:sz w:val="21"/>
                <w:szCs w:val="21"/>
              </w:rPr>
            </w:pPr>
            <w:r>
              <w:rPr>
                <w:rFonts w:hint="eastAsia"/>
                <w:b/>
                <w:bCs/>
                <w:color w:val="000000"/>
                <w:sz w:val="21"/>
                <w:szCs w:val="21"/>
              </w:rPr>
              <w:t>产品名称、规格</w:t>
            </w:r>
          </w:p>
        </w:tc>
        <w:tc>
          <w:tcPr>
            <w:tcW w:w="1418" w:type="dxa"/>
            <w:tcBorders>
              <w:top w:val="single" w:color="auto" w:sz="8" w:space="0"/>
              <w:left w:val="nil"/>
              <w:bottom w:val="single" w:color="auto" w:sz="8" w:space="0"/>
              <w:right w:val="single" w:color="auto" w:sz="8" w:space="0"/>
            </w:tcBorders>
            <w:shd w:val="clear" w:color="000000" w:fill="C5D9F1"/>
            <w:vAlign w:val="center"/>
          </w:tcPr>
          <w:p>
            <w:pPr>
              <w:widowControl/>
              <w:spacing w:line="460" w:lineRule="exact"/>
              <w:jc w:val="center"/>
              <w:rPr>
                <w:b/>
                <w:bCs/>
                <w:color w:val="000000"/>
                <w:sz w:val="21"/>
                <w:szCs w:val="21"/>
              </w:rPr>
            </w:pPr>
            <w:r>
              <w:rPr>
                <w:rFonts w:hint="eastAsia"/>
                <w:b/>
                <w:bCs/>
                <w:color w:val="000000"/>
                <w:sz w:val="21"/>
                <w:szCs w:val="21"/>
                <w:lang w:eastAsia="zh-CN"/>
              </w:rPr>
              <w:t>预估</w:t>
            </w:r>
            <w:r>
              <w:rPr>
                <w:rFonts w:hint="eastAsia"/>
                <w:b/>
                <w:bCs/>
                <w:color w:val="000000"/>
                <w:sz w:val="21"/>
                <w:szCs w:val="21"/>
              </w:rPr>
              <w:t>数量</w:t>
            </w:r>
          </w:p>
        </w:tc>
        <w:tc>
          <w:tcPr>
            <w:tcW w:w="992" w:type="dxa"/>
            <w:tcBorders>
              <w:top w:val="single" w:color="auto" w:sz="8" w:space="0"/>
              <w:left w:val="nil"/>
              <w:bottom w:val="single" w:color="auto" w:sz="8" w:space="0"/>
              <w:right w:val="single" w:color="auto" w:sz="8" w:space="0"/>
            </w:tcBorders>
            <w:shd w:val="clear" w:color="000000" w:fill="C5D9F1"/>
            <w:vAlign w:val="center"/>
          </w:tcPr>
          <w:p>
            <w:pPr>
              <w:widowControl/>
              <w:spacing w:line="460" w:lineRule="exact"/>
              <w:jc w:val="center"/>
              <w:rPr>
                <w:b/>
                <w:bCs/>
                <w:color w:val="000000"/>
                <w:sz w:val="21"/>
                <w:szCs w:val="21"/>
              </w:rPr>
            </w:pPr>
            <w:r>
              <w:rPr>
                <w:rFonts w:hint="eastAsia"/>
                <w:b/>
                <w:bCs/>
                <w:color w:val="000000"/>
                <w:sz w:val="21"/>
                <w:szCs w:val="21"/>
              </w:rPr>
              <w:t>单位</w:t>
            </w:r>
          </w:p>
        </w:tc>
        <w:tc>
          <w:tcPr>
            <w:tcW w:w="2157" w:type="dxa"/>
            <w:tcBorders>
              <w:top w:val="single" w:color="auto" w:sz="8" w:space="0"/>
              <w:left w:val="nil"/>
              <w:bottom w:val="single" w:color="auto" w:sz="8" w:space="0"/>
              <w:right w:val="single" w:color="auto" w:sz="8" w:space="0"/>
            </w:tcBorders>
            <w:shd w:val="clear" w:color="000000" w:fill="C5D9F1"/>
            <w:vAlign w:val="center"/>
          </w:tcPr>
          <w:p>
            <w:pPr>
              <w:widowControl/>
              <w:spacing w:line="460" w:lineRule="exact"/>
              <w:jc w:val="center"/>
              <w:rPr>
                <w:b/>
                <w:bCs/>
                <w:color w:val="000000"/>
                <w:sz w:val="21"/>
                <w:szCs w:val="21"/>
              </w:rPr>
            </w:pPr>
            <w:r>
              <w:rPr>
                <w:rFonts w:hint="eastAsia"/>
                <w:b/>
                <w:bCs/>
                <w:color w:val="000000"/>
                <w:sz w:val="21"/>
                <w:szCs w:val="21"/>
              </w:rPr>
              <w:t>含税到厂单价（元）</w:t>
            </w:r>
          </w:p>
        </w:tc>
        <w:tc>
          <w:tcPr>
            <w:tcW w:w="1245" w:type="dxa"/>
            <w:tcBorders>
              <w:top w:val="single" w:color="auto" w:sz="8" w:space="0"/>
              <w:left w:val="nil"/>
              <w:bottom w:val="single" w:color="auto" w:sz="8" w:space="0"/>
              <w:right w:val="single" w:color="auto" w:sz="8" w:space="0"/>
            </w:tcBorders>
            <w:shd w:val="clear" w:color="000000" w:fill="C5D9F1"/>
            <w:vAlign w:val="center"/>
          </w:tcPr>
          <w:p>
            <w:pPr>
              <w:widowControl/>
              <w:spacing w:line="460" w:lineRule="exact"/>
              <w:jc w:val="center"/>
              <w:rPr>
                <w:b/>
                <w:bCs/>
                <w:color w:val="000000"/>
                <w:sz w:val="21"/>
                <w:szCs w:val="21"/>
              </w:rPr>
            </w:pPr>
            <w:r>
              <w:rPr>
                <w:rFonts w:hint="eastAsia"/>
                <w:b/>
                <w:bCs/>
                <w:color w:val="000000"/>
                <w:sz w:val="21"/>
                <w:szCs w:val="21"/>
              </w:rPr>
              <w:t>总价(元)</w:t>
            </w:r>
          </w:p>
        </w:tc>
      </w:tr>
      <w:tr>
        <w:tblPrEx>
          <w:tblCellMar>
            <w:top w:w="0" w:type="dxa"/>
            <w:left w:w="108" w:type="dxa"/>
            <w:bottom w:w="0" w:type="dxa"/>
            <w:right w:w="108" w:type="dxa"/>
          </w:tblCellMar>
        </w:tblPrEx>
        <w:trPr>
          <w:gridAfter w:val="2"/>
          <w:wAfter w:w="314" w:type="dxa"/>
          <w:trHeight w:val="552" w:hRule="atLeast"/>
        </w:trPr>
        <w:tc>
          <w:tcPr>
            <w:tcW w:w="695" w:type="dxa"/>
            <w:tcBorders>
              <w:top w:val="nil"/>
              <w:left w:val="single" w:color="auto" w:sz="8" w:space="0"/>
              <w:bottom w:val="single" w:color="auto" w:sz="8" w:space="0"/>
              <w:right w:val="single" w:color="auto" w:sz="8" w:space="0"/>
            </w:tcBorders>
            <w:shd w:val="clear" w:color="000000" w:fill="FFFFFF"/>
            <w:vAlign w:val="center"/>
          </w:tcPr>
          <w:p>
            <w:pPr>
              <w:widowControl/>
              <w:spacing w:line="460" w:lineRule="exact"/>
              <w:jc w:val="center"/>
              <w:rPr>
                <w:color w:val="000000"/>
                <w:sz w:val="21"/>
                <w:szCs w:val="21"/>
              </w:rPr>
            </w:pPr>
            <w:r>
              <w:rPr>
                <w:rFonts w:hint="eastAsia"/>
                <w:color w:val="000000"/>
                <w:sz w:val="21"/>
                <w:szCs w:val="21"/>
              </w:rPr>
              <w:t>1</w:t>
            </w:r>
          </w:p>
        </w:tc>
        <w:tc>
          <w:tcPr>
            <w:tcW w:w="2076" w:type="dxa"/>
            <w:tcBorders>
              <w:top w:val="nil"/>
              <w:left w:val="nil"/>
              <w:bottom w:val="single" w:color="auto" w:sz="8" w:space="0"/>
              <w:right w:val="single" w:color="auto" w:sz="8" w:space="0"/>
            </w:tcBorders>
            <w:shd w:val="clear" w:color="auto" w:fill="auto"/>
            <w:vAlign w:val="center"/>
          </w:tcPr>
          <w:p>
            <w:pPr>
              <w:rPr>
                <w:color w:val="000000"/>
                <w:sz w:val="21"/>
                <w:szCs w:val="21"/>
                <w:lang w:eastAsia="zh-CN"/>
              </w:rPr>
            </w:pPr>
            <w:r>
              <w:rPr>
                <w:rFonts w:hint="eastAsia"/>
                <w:color w:val="000000"/>
                <w:sz w:val="21"/>
                <w:szCs w:val="21"/>
                <w:lang w:eastAsia="zh-CN"/>
              </w:rPr>
              <w:t>风向袋进风口直径400mm；出风口直径200mm；长度1000mm。</w:t>
            </w:r>
          </w:p>
        </w:tc>
        <w:tc>
          <w:tcPr>
            <w:tcW w:w="1418" w:type="dxa"/>
            <w:tcBorders>
              <w:top w:val="nil"/>
              <w:left w:val="nil"/>
              <w:bottom w:val="single" w:color="auto" w:sz="8" w:space="0"/>
              <w:right w:val="single" w:color="auto" w:sz="8" w:space="0"/>
            </w:tcBorders>
            <w:shd w:val="clear" w:color="auto" w:fill="auto"/>
            <w:vAlign w:val="center"/>
          </w:tcPr>
          <w:p>
            <w:pPr>
              <w:ind w:firstLine="315" w:firstLineChars="150"/>
              <w:rPr>
                <w:color w:val="000000"/>
                <w:sz w:val="21"/>
                <w:szCs w:val="21"/>
                <w:lang w:eastAsia="zh-CN"/>
              </w:rPr>
            </w:pPr>
            <w:r>
              <w:rPr>
                <w:rFonts w:hint="eastAsia"/>
                <w:color w:val="000000"/>
                <w:sz w:val="21"/>
                <w:szCs w:val="21"/>
                <w:lang w:eastAsia="zh-CN"/>
              </w:rPr>
              <w:t>800</w:t>
            </w:r>
          </w:p>
        </w:tc>
        <w:tc>
          <w:tcPr>
            <w:tcW w:w="992" w:type="dxa"/>
            <w:tcBorders>
              <w:top w:val="nil"/>
              <w:left w:val="nil"/>
              <w:bottom w:val="single" w:color="auto" w:sz="8" w:space="0"/>
              <w:right w:val="single" w:color="auto" w:sz="8" w:space="0"/>
            </w:tcBorders>
            <w:shd w:val="clear" w:color="000000" w:fill="FFFFFF"/>
            <w:vAlign w:val="center"/>
          </w:tcPr>
          <w:p>
            <w:pPr>
              <w:widowControl/>
              <w:spacing w:line="460" w:lineRule="exact"/>
              <w:jc w:val="center"/>
              <w:rPr>
                <w:color w:val="000000"/>
                <w:sz w:val="21"/>
                <w:szCs w:val="21"/>
                <w:lang w:eastAsia="zh-CN"/>
              </w:rPr>
            </w:pPr>
            <w:r>
              <w:rPr>
                <w:rFonts w:hint="eastAsia"/>
                <w:color w:val="000000"/>
                <w:sz w:val="21"/>
                <w:szCs w:val="21"/>
                <w:lang w:eastAsia="zh-CN"/>
              </w:rPr>
              <w:t>个</w:t>
            </w:r>
          </w:p>
        </w:tc>
        <w:tc>
          <w:tcPr>
            <w:tcW w:w="2157" w:type="dxa"/>
            <w:tcBorders>
              <w:top w:val="nil"/>
              <w:left w:val="nil"/>
              <w:bottom w:val="single" w:color="auto" w:sz="8" w:space="0"/>
              <w:right w:val="single" w:color="auto" w:sz="8" w:space="0"/>
            </w:tcBorders>
            <w:shd w:val="clear" w:color="auto" w:fill="auto"/>
            <w:vAlign w:val="center"/>
          </w:tcPr>
          <w:p>
            <w:pPr>
              <w:widowControl/>
              <w:spacing w:line="460" w:lineRule="exact"/>
              <w:jc w:val="center"/>
              <w:rPr>
                <w:color w:val="000000"/>
                <w:sz w:val="21"/>
                <w:szCs w:val="21"/>
                <w:lang w:eastAsia="zh-CN"/>
              </w:rPr>
            </w:pPr>
          </w:p>
        </w:tc>
        <w:tc>
          <w:tcPr>
            <w:tcW w:w="1245" w:type="dxa"/>
            <w:tcBorders>
              <w:top w:val="nil"/>
              <w:left w:val="nil"/>
              <w:bottom w:val="single" w:color="auto" w:sz="8" w:space="0"/>
              <w:right w:val="single" w:color="auto" w:sz="8" w:space="0"/>
            </w:tcBorders>
            <w:vAlign w:val="center"/>
          </w:tcPr>
          <w:p>
            <w:pPr>
              <w:widowControl/>
              <w:spacing w:line="460" w:lineRule="exact"/>
              <w:jc w:val="center"/>
              <w:rPr>
                <w:color w:val="000000"/>
                <w:sz w:val="21"/>
                <w:szCs w:val="21"/>
                <w:lang w:eastAsia="zh-CN"/>
              </w:rPr>
            </w:pPr>
          </w:p>
        </w:tc>
      </w:tr>
      <w:tr>
        <w:tblPrEx>
          <w:tblCellMar>
            <w:top w:w="0" w:type="dxa"/>
            <w:left w:w="108" w:type="dxa"/>
            <w:bottom w:w="0" w:type="dxa"/>
            <w:right w:w="108" w:type="dxa"/>
          </w:tblCellMar>
        </w:tblPrEx>
        <w:trPr>
          <w:gridAfter w:val="2"/>
          <w:wAfter w:w="314" w:type="dxa"/>
          <w:trHeight w:val="552" w:hRule="atLeast"/>
        </w:trPr>
        <w:tc>
          <w:tcPr>
            <w:tcW w:w="695" w:type="dxa"/>
            <w:tcBorders>
              <w:top w:val="nil"/>
              <w:left w:val="single" w:color="auto" w:sz="8" w:space="0"/>
              <w:bottom w:val="single" w:color="auto" w:sz="8" w:space="0"/>
              <w:right w:val="single" w:color="auto" w:sz="8" w:space="0"/>
            </w:tcBorders>
            <w:shd w:val="clear" w:color="000000" w:fill="FFFFFF"/>
            <w:vAlign w:val="center"/>
          </w:tcPr>
          <w:p>
            <w:pPr>
              <w:widowControl/>
              <w:spacing w:line="460" w:lineRule="exact"/>
              <w:jc w:val="center"/>
              <w:rPr>
                <w:color w:val="000000"/>
                <w:sz w:val="21"/>
                <w:szCs w:val="21"/>
                <w:lang w:eastAsia="zh-CN"/>
              </w:rPr>
            </w:pPr>
            <w:r>
              <w:rPr>
                <w:rFonts w:hint="eastAsia"/>
                <w:color w:val="000000"/>
                <w:sz w:val="21"/>
                <w:szCs w:val="21"/>
                <w:lang w:eastAsia="zh-CN"/>
              </w:rPr>
              <w:t>2</w:t>
            </w:r>
          </w:p>
        </w:tc>
        <w:tc>
          <w:tcPr>
            <w:tcW w:w="2076" w:type="dxa"/>
            <w:tcBorders>
              <w:top w:val="nil"/>
              <w:left w:val="nil"/>
              <w:bottom w:val="single" w:color="auto" w:sz="8" w:space="0"/>
              <w:right w:val="single" w:color="auto" w:sz="8" w:space="0"/>
            </w:tcBorders>
            <w:shd w:val="clear" w:color="auto" w:fill="auto"/>
            <w:vAlign w:val="center"/>
          </w:tcPr>
          <w:p>
            <w:pPr>
              <w:rPr>
                <w:color w:val="000000"/>
                <w:sz w:val="21"/>
                <w:szCs w:val="21"/>
                <w:lang w:eastAsia="zh-CN"/>
              </w:rPr>
            </w:pPr>
            <w:r>
              <w:rPr>
                <w:rFonts w:hint="eastAsia"/>
                <w:color w:val="000000"/>
                <w:sz w:val="21"/>
                <w:szCs w:val="21"/>
                <w:lang w:eastAsia="zh-CN"/>
              </w:rPr>
              <w:t>风向袋（带挂钩）进风口直400mm；</w:t>
            </w:r>
          </w:p>
          <w:p>
            <w:pPr>
              <w:rPr>
                <w:color w:val="000000"/>
                <w:sz w:val="21"/>
                <w:szCs w:val="21"/>
                <w:lang w:eastAsia="zh-CN"/>
              </w:rPr>
            </w:pPr>
            <w:r>
              <w:rPr>
                <w:rFonts w:hint="eastAsia"/>
                <w:color w:val="000000"/>
                <w:sz w:val="21"/>
                <w:szCs w:val="21"/>
                <w:lang w:eastAsia="zh-CN"/>
              </w:rPr>
              <w:t>出风口直200mm；长度1000mm。</w:t>
            </w:r>
          </w:p>
        </w:tc>
        <w:tc>
          <w:tcPr>
            <w:tcW w:w="1418" w:type="dxa"/>
            <w:tcBorders>
              <w:top w:val="nil"/>
              <w:left w:val="nil"/>
              <w:bottom w:val="single" w:color="auto" w:sz="8" w:space="0"/>
              <w:right w:val="single" w:color="auto" w:sz="8" w:space="0"/>
            </w:tcBorders>
            <w:shd w:val="clear" w:color="auto" w:fill="auto"/>
            <w:vAlign w:val="center"/>
          </w:tcPr>
          <w:p>
            <w:pPr>
              <w:widowControl/>
              <w:spacing w:line="460" w:lineRule="exact"/>
              <w:jc w:val="center"/>
              <w:rPr>
                <w:color w:val="000000"/>
                <w:sz w:val="21"/>
                <w:szCs w:val="21"/>
                <w:lang w:eastAsia="zh-CN"/>
              </w:rPr>
            </w:pPr>
            <w:r>
              <w:rPr>
                <w:rFonts w:hint="eastAsia"/>
                <w:color w:val="000000"/>
                <w:sz w:val="21"/>
                <w:szCs w:val="21"/>
              </w:rPr>
              <w:t>300</w:t>
            </w:r>
          </w:p>
        </w:tc>
        <w:tc>
          <w:tcPr>
            <w:tcW w:w="992" w:type="dxa"/>
            <w:tcBorders>
              <w:top w:val="nil"/>
              <w:left w:val="nil"/>
              <w:bottom w:val="single" w:color="auto" w:sz="8" w:space="0"/>
              <w:right w:val="single" w:color="auto" w:sz="8" w:space="0"/>
            </w:tcBorders>
            <w:shd w:val="clear" w:color="000000" w:fill="FFFFFF"/>
            <w:vAlign w:val="center"/>
          </w:tcPr>
          <w:p>
            <w:pPr>
              <w:widowControl/>
              <w:spacing w:line="460" w:lineRule="exact"/>
              <w:jc w:val="center"/>
              <w:rPr>
                <w:color w:val="000000"/>
                <w:sz w:val="21"/>
                <w:szCs w:val="21"/>
                <w:lang w:eastAsia="zh-CN"/>
              </w:rPr>
            </w:pPr>
            <w:r>
              <w:rPr>
                <w:rFonts w:hint="eastAsia"/>
                <w:color w:val="000000"/>
                <w:sz w:val="21"/>
                <w:szCs w:val="21"/>
                <w:lang w:eastAsia="zh-CN"/>
              </w:rPr>
              <w:t>个</w:t>
            </w:r>
          </w:p>
        </w:tc>
        <w:tc>
          <w:tcPr>
            <w:tcW w:w="2157" w:type="dxa"/>
            <w:tcBorders>
              <w:top w:val="nil"/>
              <w:left w:val="nil"/>
              <w:bottom w:val="single" w:color="auto" w:sz="8" w:space="0"/>
              <w:right w:val="single" w:color="auto" w:sz="8" w:space="0"/>
            </w:tcBorders>
            <w:shd w:val="clear" w:color="auto" w:fill="auto"/>
            <w:vAlign w:val="center"/>
          </w:tcPr>
          <w:p>
            <w:pPr>
              <w:widowControl/>
              <w:spacing w:line="460" w:lineRule="exact"/>
              <w:jc w:val="center"/>
              <w:rPr>
                <w:color w:val="000000"/>
                <w:sz w:val="21"/>
                <w:szCs w:val="21"/>
                <w:lang w:eastAsia="zh-CN"/>
              </w:rPr>
            </w:pPr>
          </w:p>
        </w:tc>
        <w:tc>
          <w:tcPr>
            <w:tcW w:w="1245" w:type="dxa"/>
            <w:tcBorders>
              <w:top w:val="nil"/>
              <w:left w:val="nil"/>
              <w:bottom w:val="single" w:color="auto" w:sz="8" w:space="0"/>
              <w:right w:val="single" w:color="auto" w:sz="8" w:space="0"/>
            </w:tcBorders>
            <w:vAlign w:val="center"/>
          </w:tcPr>
          <w:p>
            <w:pPr>
              <w:widowControl/>
              <w:spacing w:line="460" w:lineRule="exact"/>
              <w:jc w:val="center"/>
              <w:rPr>
                <w:color w:val="000000"/>
                <w:sz w:val="21"/>
                <w:szCs w:val="21"/>
                <w:lang w:eastAsia="zh-CN"/>
              </w:rPr>
            </w:pPr>
          </w:p>
        </w:tc>
      </w:tr>
      <w:tr>
        <w:tblPrEx>
          <w:tblCellMar>
            <w:top w:w="0" w:type="dxa"/>
            <w:left w:w="108" w:type="dxa"/>
            <w:bottom w:w="0" w:type="dxa"/>
            <w:right w:w="108" w:type="dxa"/>
          </w:tblCellMar>
        </w:tblPrEx>
        <w:trPr>
          <w:gridAfter w:val="2"/>
          <w:wAfter w:w="314" w:type="dxa"/>
          <w:trHeight w:val="552" w:hRule="atLeast"/>
        </w:trPr>
        <w:tc>
          <w:tcPr>
            <w:tcW w:w="5181" w:type="dxa"/>
            <w:gridSpan w:val="4"/>
            <w:tcBorders>
              <w:top w:val="nil"/>
              <w:left w:val="single" w:color="auto" w:sz="8" w:space="0"/>
              <w:bottom w:val="single" w:color="auto" w:sz="8" w:space="0"/>
              <w:right w:val="single" w:color="auto" w:sz="8" w:space="0"/>
            </w:tcBorders>
            <w:shd w:val="clear" w:color="000000" w:fill="FFFFFF"/>
            <w:vAlign w:val="center"/>
          </w:tcPr>
          <w:p>
            <w:pPr>
              <w:spacing w:line="460" w:lineRule="exact"/>
              <w:jc w:val="center"/>
              <w:rPr>
                <w:sz w:val="21"/>
                <w:szCs w:val="21"/>
                <w:lang w:eastAsia="zh-CN"/>
              </w:rPr>
            </w:pPr>
            <w:r>
              <w:rPr>
                <w:rFonts w:hint="eastAsia"/>
                <w:sz w:val="21"/>
                <w:szCs w:val="21"/>
                <w:lang w:eastAsia="zh-CN"/>
              </w:rPr>
              <w:t>合同金额合计（大写）：</w:t>
            </w:r>
          </w:p>
        </w:tc>
        <w:tc>
          <w:tcPr>
            <w:tcW w:w="3402" w:type="dxa"/>
            <w:gridSpan w:val="2"/>
            <w:tcBorders>
              <w:top w:val="nil"/>
              <w:left w:val="nil"/>
              <w:bottom w:val="single" w:color="auto" w:sz="8" w:space="0"/>
              <w:right w:val="single" w:color="auto" w:sz="8" w:space="0"/>
            </w:tcBorders>
            <w:shd w:val="clear" w:color="auto" w:fill="auto"/>
            <w:vAlign w:val="center"/>
          </w:tcPr>
          <w:p>
            <w:pPr>
              <w:spacing w:line="460" w:lineRule="exact"/>
              <w:jc w:val="center"/>
              <w:rPr>
                <w:sz w:val="21"/>
                <w:szCs w:val="21"/>
                <w:lang w:eastAsia="zh-CN"/>
              </w:rPr>
            </w:pPr>
          </w:p>
        </w:tc>
      </w:tr>
      <w:tr>
        <w:tblPrEx>
          <w:tblCellMar>
            <w:top w:w="0" w:type="dxa"/>
            <w:left w:w="108" w:type="dxa"/>
            <w:bottom w:w="0" w:type="dxa"/>
            <w:right w:w="108" w:type="dxa"/>
          </w:tblCellMar>
        </w:tblPrEx>
        <w:trPr>
          <w:trHeight w:val="285" w:hRule="atLeast"/>
        </w:trPr>
        <w:tc>
          <w:tcPr>
            <w:tcW w:w="695" w:type="dxa"/>
            <w:tcBorders>
              <w:top w:val="nil"/>
              <w:left w:val="nil"/>
              <w:bottom w:val="nil"/>
              <w:right w:val="nil"/>
            </w:tcBorders>
            <w:shd w:val="clear" w:color="auto" w:fill="auto"/>
            <w:noWrap/>
            <w:vAlign w:val="center"/>
          </w:tcPr>
          <w:p>
            <w:pPr>
              <w:widowControl/>
              <w:spacing w:line="460" w:lineRule="exact"/>
              <w:rPr>
                <w:sz w:val="21"/>
                <w:szCs w:val="21"/>
                <w:lang w:eastAsia="zh-CN"/>
              </w:rPr>
            </w:pPr>
          </w:p>
        </w:tc>
        <w:tc>
          <w:tcPr>
            <w:tcW w:w="2076" w:type="dxa"/>
            <w:tcBorders>
              <w:top w:val="nil"/>
              <w:left w:val="nil"/>
              <w:bottom w:val="nil"/>
              <w:right w:val="nil"/>
            </w:tcBorders>
            <w:shd w:val="clear" w:color="auto" w:fill="auto"/>
            <w:noWrap/>
            <w:vAlign w:val="center"/>
          </w:tcPr>
          <w:p>
            <w:pPr>
              <w:widowControl/>
              <w:spacing w:line="460" w:lineRule="exact"/>
              <w:rPr>
                <w:sz w:val="21"/>
                <w:szCs w:val="21"/>
                <w:lang w:eastAsia="zh-CN"/>
              </w:rPr>
            </w:pPr>
          </w:p>
        </w:tc>
        <w:tc>
          <w:tcPr>
            <w:tcW w:w="1418" w:type="dxa"/>
            <w:tcBorders>
              <w:top w:val="nil"/>
              <w:left w:val="nil"/>
              <w:bottom w:val="nil"/>
              <w:right w:val="nil"/>
            </w:tcBorders>
            <w:shd w:val="clear" w:color="auto" w:fill="auto"/>
            <w:noWrap/>
            <w:vAlign w:val="center"/>
          </w:tcPr>
          <w:p>
            <w:pPr>
              <w:widowControl/>
              <w:spacing w:line="460" w:lineRule="exact"/>
              <w:rPr>
                <w:sz w:val="21"/>
                <w:szCs w:val="21"/>
                <w:lang w:eastAsia="zh-CN"/>
              </w:rPr>
            </w:pPr>
          </w:p>
        </w:tc>
        <w:tc>
          <w:tcPr>
            <w:tcW w:w="992" w:type="dxa"/>
            <w:tcBorders>
              <w:top w:val="nil"/>
              <w:left w:val="nil"/>
              <w:bottom w:val="nil"/>
              <w:right w:val="nil"/>
            </w:tcBorders>
            <w:shd w:val="clear" w:color="auto" w:fill="auto"/>
            <w:noWrap/>
            <w:vAlign w:val="center"/>
          </w:tcPr>
          <w:p>
            <w:pPr>
              <w:widowControl/>
              <w:spacing w:line="460" w:lineRule="exact"/>
              <w:rPr>
                <w:sz w:val="21"/>
                <w:szCs w:val="21"/>
                <w:lang w:eastAsia="zh-CN"/>
              </w:rPr>
            </w:pPr>
          </w:p>
        </w:tc>
        <w:tc>
          <w:tcPr>
            <w:tcW w:w="3480" w:type="dxa"/>
            <w:gridSpan w:val="3"/>
            <w:tcBorders>
              <w:top w:val="nil"/>
              <w:left w:val="nil"/>
              <w:bottom w:val="nil"/>
              <w:right w:val="nil"/>
            </w:tcBorders>
            <w:shd w:val="clear" w:color="auto" w:fill="auto"/>
            <w:noWrap/>
            <w:vAlign w:val="center"/>
          </w:tcPr>
          <w:p>
            <w:pPr>
              <w:widowControl/>
              <w:spacing w:line="460" w:lineRule="exact"/>
              <w:rPr>
                <w:sz w:val="21"/>
                <w:szCs w:val="21"/>
                <w:lang w:eastAsia="zh-CN"/>
              </w:rPr>
            </w:pPr>
          </w:p>
        </w:tc>
        <w:tc>
          <w:tcPr>
            <w:tcW w:w="236" w:type="dxa"/>
            <w:tcBorders>
              <w:top w:val="nil"/>
              <w:left w:val="nil"/>
              <w:bottom w:val="nil"/>
              <w:right w:val="nil"/>
            </w:tcBorders>
          </w:tcPr>
          <w:p>
            <w:pPr>
              <w:widowControl/>
              <w:spacing w:line="460" w:lineRule="exact"/>
              <w:rPr>
                <w:sz w:val="21"/>
                <w:szCs w:val="21"/>
                <w:lang w:eastAsia="zh-CN"/>
              </w:rPr>
            </w:pPr>
          </w:p>
        </w:tc>
      </w:tr>
    </w:tbl>
    <w:p>
      <w:pPr>
        <w:spacing w:line="460" w:lineRule="exact"/>
        <w:rPr>
          <w:sz w:val="21"/>
          <w:szCs w:val="21"/>
          <w:lang w:eastAsia="zh-CN"/>
        </w:rPr>
      </w:pPr>
      <w:r>
        <w:rPr>
          <w:rFonts w:hint="eastAsia"/>
          <w:sz w:val="21"/>
          <w:szCs w:val="21"/>
          <w:lang w:eastAsia="zh-CN"/>
        </w:rPr>
        <w:t>上述金额为含税单价，包含了货款、运费、装卸费、发票、保固费等所有费用，本合同为固定单价合同，在合约有效期内单价不因包括但不限于市场风险、汇率变动、原材料价格变动等因素而改变。除非另有约定，甲方不再承担其他费用。</w:t>
      </w:r>
    </w:p>
    <w:p>
      <w:pPr>
        <w:pStyle w:val="75"/>
        <w:numPr>
          <w:ilvl w:val="0"/>
          <w:numId w:val="10"/>
        </w:numPr>
        <w:autoSpaceDE/>
        <w:autoSpaceDN/>
        <w:spacing w:before="0" w:line="460" w:lineRule="exact"/>
        <w:jc w:val="both"/>
        <w:rPr>
          <w:sz w:val="21"/>
          <w:szCs w:val="21"/>
        </w:rPr>
      </w:pPr>
      <w:r>
        <w:rPr>
          <w:rFonts w:hint="eastAsia"/>
          <w:sz w:val="21"/>
          <w:szCs w:val="21"/>
        </w:rPr>
        <w:t>数量和价格：</w:t>
      </w:r>
    </w:p>
    <w:p>
      <w:pPr>
        <w:spacing w:line="460" w:lineRule="exact"/>
        <w:rPr>
          <w:sz w:val="21"/>
          <w:szCs w:val="21"/>
          <w:lang w:eastAsia="zh-CN"/>
        </w:rPr>
      </w:pPr>
      <w:r>
        <w:rPr>
          <w:rFonts w:hint="eastAsia"/>
          <w:sz w:val="21"/>
          <w:szCs w:val="21"/>
          <w:lang w:eastAsia="zh-CN"/>
        </w:rPr>
        <w:t>2.1实际数量的增减可视甲方的需要，以甲方在合同期内发出的交货计划为准，甲方有权根据乙方的交货品质或者甲方的生产使用计划调整乙方的交货数量，乙方不得有任何异议。</w:t>
      </w:r>
    </w:p>
    <w:p>
      <w:pPr>
        <w:spacing w:line="460" w:lineRule="exact"/>
        <w:rPr>
          <w:sz w:val="21"/>
          <w:szCs w:val="21"/>
          <w:lang w:eastAsia="zh-CN"/>
        </w:rPr>
      </w:pPr>
      <w:r>
        <w:rPr>
          <w:rFonts w:hint="eastAsia"/>
          <w:sz w:val="21"/>
          <w:szCs w:val="21"/>
          <w:lang w:eastAsia="zh-CN"/>
        </w:rPr>
        <w:t>2.2价格参照以上《合同标的和合同价格清单表》中单价执行，附表之单价为含</w:t>
      </w:r>
      <w:r>
        <w:rPr>
          <w:rFonts w:hint="eastAsia"/>
          <w:sz w:val="21"/>
          <w:szCs w:val="21"/>
          <w:u w:val="single"/>
          <w:lang w:eastAsia="zh-CN"/>
        </w:rPr>
        <w:t>13%</w:t>
      </w:r>
      <w:r>
        <w:rPr>
          <w:rFonts w:hint="eastAsia"/>
          <w:sz w:val="21"/>
          <w:szCs w:val="21"/>
          <w:lang w:eastAsia="zh-CN"/>
        </w:rPr>
        <w:t>增值税RMB单价。</w:t>
      </w:r>
    </w:p>
    <w:p>
      <w:pPr>
        <w:spacing w:line="460" w:lineRule="exact"/>
        <w:rPr>
          <w:sz w:val="21"/>
          <w:szCs w:val="21"/>
          <w:lang w:eastAsia="zh-CN"/>
        </w:rPr>
      </w:pPr>
      <w:r>
        <w:rPr>
          <w:rFonts w:hint="eastAsia"/>
          <w:sz w:val="21"/>
          <w:szCs w:val="21"/>
          <w:lang w:eastAsia="zh-CN"/>
        </w:rPr>
        <w:t>2.3合同货币：本合同以人民币作为结算以及支付货币。</w:t>
      </w:r>
    </w:p>
    <w:p>
      <w:pPr>
        <w:spacing w:line="460" w:lineRule="exact"/>
        <w:rPr>
          <w:sz w:val="21"/>
          <w:szCs w:val="21"/>
          <w:lang w:eastAsia="zh-CN"/>
        </w:rPr>
      </w:pPr>
      <w:r>
        <w:rPr>
          <w:rFonts w:hint="eastAsia"/>
          <w:sz w:val="21"/>
          <w:szCs w:val="21"/>
          <w:lang w:eastAsia="zh-CN"/>
        </w:rPr>
        <w:t>3、付款方式：</w:t>
      </w:r>
    </w:p>
    <w:p>
      <w:pPr>
        <w:spacing w:line="460" w:lineRule="exact"/>
        <w:rPr>
          <w:sz w:val="21"/>
          <w:szCs w:val="21"/>
          <w:lang w:eastAsia="zh-CN"/>
        </w:rPr>
      </w:pPr>
      <w:r>
        <w:rPr>
          <w:rFonts w:hint="eastAsia"/>
          <w:sz w:val="21"/>
          <w:szCs w:val="21"/>
          <w:lang w:eastAsia="zh-CN"/>
        </w:rPr>
        <w:t>3.1 单价：详见《合同标的和合同价格清单表》。</w:t>
      </w:r>
    </w:p>
    <w:p>
      <w:pPr>
        <w:spacing w:line="460" w:lineRule="exact"/>
        <w:rPr>
          <w:lang w:eastAsia="zh-CN"/>
        </w:rPr>
      </w:pPr>
      <w:r>
        <w:rPr>
          <w:rFonts w:hint="eastAsia"/>
          <w:sz w:val="21"/>
          <w:szCs w:val="21"/>
          <w:lang w:eastAsia="zh-CN"/>
        </w:rPr>
        <w:t>3.2货款支付：</w:t>
      </w:r>
      <w:r>
        <w:rPr>
          <w:rFonts w:hint="eastAsia"/>
          <w:lang w:eastAsia="zh-CN"/>
        </w:rPr>
        <w:t>按合同单价*当批货物数量,据实结算，货到验收合格并收到等额的****%增值税专用发票、甲方在30日之内，将货款转帐至乙方帐户：</w:t>
      </w:r>
    </w:p>
    <w:p>
      <w:pPr>
        <w:spacing w:line="460" w:lineRule="exact"/>
        <w:ind w:firstLine="315" w:firstLineChars="150"/>
        <w:rPr>
          <w:sz w:val="21"/>
          <w:szCs w:val="21"/>
          <w:lang w:eastAsia="zh-CN"/>
        </w:rPr>
      </w:pPr>
      <w:r>
        <w:rPr>
          <w:rFonts w:hint="eastAsia"/>
          <w:sz w:val="21"/>
          <w:szCs w:val="21"/>
          <w:lang w:eastAsia="zh-CN"/>
        </w:rPr>
        <w:t>收款人：</w:t>
      </w:r>
      <w:r>
        <w:rPr>
          <w:sz w:val="21"/>
          <w:szCs w:val="21"/>
          <w:lang w:eastAsia="zh-CN"/>
        </w:rPr>
        <w:t xml:space="preserve"> </w:t>
      </w:r>
    </w:p>
    <w:p>
      <w:pPr>
        <w:spacing w:line="460" w:lineRule="exact"/>
        <w:ind w:firstLine="308" w:firstLineChars="147"/>
        <w:rPr>
          <w:bCs/>
          <w:sz w:val="21"/>
          <w:szCs w:val="21"/>
          <w:lang w:eastAsia="zh-CN"/>
        </w:rPr>
      </w:pPr>
      <w:r>
        <w:rPr>
          <w:rFonts w:hint="eastAsia"/>
          <w:sz w:val="21"/>
          <w:szCs w:val="21"/>
          <w:lang w:eastAsia="zh-CN"/>
        </w:rPr>
        <w:t>开户银行：</w:t>
      </w:r>
      <w:r>
        <w:rPr>
          <w:bCs/>
          <w:sz w:val="21"/>
          <w:szCs w:val="21"/>
          <w:lang w:eastAsia="zh-CN"/>
        </w:rPr>
        <w:t xml:space="preserve"> </w:t>
      </w:r>
    </w:p>
    <w:p>
      <w:pPr>
        <w:spacing w:line="460" w:lineRule="exact"/>
        <w:ind w:firstLine="315" w:firstLineChars="150"/>
        <w:rPr>
          <w:sz w:val="21"/>
          <w:szCs w:val="21"/>
          <w:lang w:eastAsia="zh-CN"/>
        </w:rPr>
      </w:pPr>
      <w:r>
        <w:rPr>
          <w:rFonts w:hint="eastAsia"/>
          <w:sz w:val="21"/>
          <w:szCs w:val="21"/>
          <w:lang w:eastAsia="zh-CN"/>
        </w:rPr>
        <w:t>帐号：</w:t>
      </w:r>
      <w:r>
        <w:rPr>
          <w:sz w:val="21"/>
          <w:szCs w:val="21"/>
          <w:lang w:eastAsia="zh-CN"/>
        </w:rPr>
        <w:t xml:space="preserve"> </w:t>
      </w:r>
    </w:p>
    <w:p>
      <w:pPr>
        <w:spacing w:line="460" w:lineRule="exact"/>
        <w:ind w:left="360"/>
        <w:rPr>
          <w:sz w:val="21"/>
          <w:szCs w:val="21"/>
          <w:lang w:eastAsia="zh-CN"/>
        </w:rPr>
      </w:pPr>
      <w:r>
        <w:rPr>
          <w:rFonts w:hint="eastAsia"/>
          <w:sz w:val="21"/>
          <w:szCs w:val="21"/>
          <w:lang w:eastAsia="zh-CN"/>
        </w:rPr>
        <w:t xml:space="preserve">合同履行期限： </w:t>
      </w:r>
    </w:p>
    <w:p>
      <w:pPr>
        <w:spacing w:line="460" w:lineRule="exact"/>
        <w:rPr>
          <w:sz w:val="21"/>
          <w:szCs w:val="21"/>
          <w:lang w:eastAsia="zh-CN"/>
        </w:rPr>
      </w:pPr>
      <w:r>
        <w:rPr>
          <w:rFonts w:hint="eastAsia"/>
          <w:sz w:val="21"/>
          <w:szCs w:val="21"/>
          <w:lang w:eastAsia="zh-CN"/>
        </w:rPr>
        <w:t>5、交货：</w:t>
      </w:r>
    </w:p>
    <w:p>
      <w:pPr>
        <w:spacing w:line="460" w:lineRule="exact"/>
        <w:rPr>
          <w:sz w:val="21"/>
          <w:szCs w:val="21"/>
          <w:u w:val="single"/>
          <w:lang w:eastAsia="zh-CN"/>
        </w:rPr>
      </w:pPr>
      <w:r>
        <w:rPr>
          <w:rFonts w:hint="eastAsia"/>
          <w:sz w:val="21"/>
          <w:szCs w:val="21"/>
          <w:lang w:eastAsia="zh-CN"/>
        </w:rPr>
        <w:t>5.1 交货地点：</w:t>
      </w:r>
      <w:r>
        <w:rPr>
          <w:sz w:val="21"/>
          <w:szCs w:val="21"/>
          <w:lang w:eastAsia="zh-CN"/>
        </w:rPr>
        <w:t>福建省漳州市古雷港经济开发区腾龙路</w:t>
      </w:r>
      <w:r>
        <w:rPr>
          <w:rFonts w:hint="eastAsia"/>
          <w:sz w:val="21"/>
          <w:szCs w:val="21"/>
          <w:lang w:eastAsia="zh-CN"/>
        </w:rPr>
        <w:t>84</w:t>
      </w:r>
      <w:r>
        <w:rPr>
          <w:sz w:val="21"/>
          <w:szCs w:val="21"/>
          <w:lang w:eastAsia="zh-CN"/>
        </w:rPr>
        <w:t>号</w:t>
      </w:r>
    </w:p>
    <w:p>
      <w:pPr>
        <w:spacing w:line="460" w:lineRule="exact"/>
        <w:rPr>
          <w:sz w:val="21"/>
          <w:szCs w:val="21"/>
          <w:u w:val="single"/>
          <w:lang w:eastAsia="zh-CN"/>
        </w:rPr>
      </w:pPr>
      <w:r>
        <w:rPr>
          <w:rFonts w:hint="eastAsia"/>
          <w:sz w:val="21"/>
          <w:szCs w:val="21"/>
          <w:lang w:eastAsia="zh-CN"/>
        </w:rPr>
        <w:t>5.2 甲方联系人</w:t>
      </w:r>
      <w:r>
        <w:rPr>
          <w:rFonts w:hint="eastAsia"/>
          <w:sz w:val="21"/>
          <w:szCs w:val="21"/>
          <w:u w:val="single"/>
          <w:lang w:eastAsia="zh-CN"/>
        </w:rPr>
        <w:t xml:space="preserve">：                    </w:t>
      </w:r>
    </w:p>
    <w:p>
      <w:pPr>
        <w:spacing w:line="460" w:lineRule="exact"/>
        <w:rPr>
          <w:sz w:val="21"/>
          <w:szCs w:val="21"/>
          <w:u w:val="single"/>
          <w:lang w:eastAsia="zh-CN"/>
        </w:rPr>
      </w:pPr>
      <w:r>
        <w:rPr>
          <w:rFonts w:hint="eastAsia"/>
          <w:sz w:val="21"/>
          <w:szCs w:val="21"/>
          <w:lang w:eastAsia="zh-CN"/>
        </w:rPr>
        <w:t>5.3 乙方联系人</w:t>
      </w:r>
      <w:r>
        <w:rPr>
          <w:rFonts w:hint="eastAsia"/>
          <w:sz w:val="21"/>
          <w:szCs w:val="21"/>
          <w:u w:val="single"/>
          <w:lang w:eastAsia="zh-CN"/>
        </w:rPr>
        <w:t xml:space="preserve">：                    </w:t>
      </w:r>
    </w:p>
    <w:p>
      <w:pPr>
        <w:spacing w:line="460" w:lineRule="exact"/>
        <w:rPr>
          <w:sz w:val="21"/>
          <w:szCs w:val="21"/>
          <w:lang w:eastAsia="zh-CN"/>
        </w:rPr>
      </w:pPr>
      <w:r>
        <w:rPr>
          <w:rFonts w:hint="eastAsia"/>
          <w:sz w:val="21"/>
          <w:szCs w:val="21"/>
          <w:lang w:eastAsia="zh-CN"/>
        </w:rPr>
        <w:t>6、交货和验收：</w:t>
      </w:r>
    </w:p>
    <w:p>
      <w:pPr>
        <w:spacing w:line="460" w:lineRule="exact"/>
        <w:rPr>
          <w:sz w:val="21"/>
          <w:szCs w:val="21"/>
          <w:lang w:eastAsia="zh-CN"/>
        </w:rPr>
      </w:pPr>
      <w:r>
        <w:rPr>
          <w:rFonts w:hint="eastAsia"/>
          <w:sz w:val="21"/>
          <w:szCs w:val="21"/>
          <w:lang w:eastAsia="zh-CN"/>
        </w:rPr>
        <w:t>6.1 交货时间：</w:t>
      </w:r>
    </w:p>
    <w:p>
      <w:pPr>
        <w:spacing w:line="460" w:lineRule="exact"/>
        <w:rPr>
          <w:sz w:val="21"/>
          <w:szCs w:val="21"/>
          <w:lang w:eastAsia="zh-CN"/>
        </w:rPr>
      </w:pPr>
      <w:r>
        <w:rPr>
          <w:rFonts w:hint="eastAsia"/>
          <w:sz w:val="21"/>
          <w:szCs w:val="21"/>
          <w:lang w:eastAsia="zh-CN"/>
        </w:rPr>
        <w:t>6.2 运输方式：由乙方负责。在产品交付给甲方之前，相关的毁损、灭失等风险均由乙方自行承担。</w:t>
      </w:r>
    </w:p>
    <w:p>
      <w:pPr>
        <w:spacing w:line="460" w:lineRule="exact"/>
        <w:rPr>
          <w:sz w:val="21"/>
          <w:szCs w:val="21"/>
          <w:lang w:eastAsia="zh-CN"/>
        </w:rPr>
      </w:pPr>
      <w:r>
        <w:rPr>
          <w:rFonts w:hint="eastAsia"/>
          <w:sz w:val="21"/>
          <w:szCs w:val="21"/>
          <w:lang w:eastAsia="zh-CN"/>
        </w:rPr>
        <w:t>6.3 保险：由乙方负责。</w:t>
      </w:r>
    </w:p>
    <w:p>
      <w:pPr>
        <w:spacing w:line="460" w:lineRule="exact"/>
        <w:rPr>
          <w:sz w:val="21"/>
          <w:szCs w:val="21"/>
          <w:lang w:eastAsia="zh-CN"/>
        </w:rPr>
      </w:pPr>
      <w:r>
        <w:rPr>
          <w:rFonts w:hint="eastAsia"/>
          <w:sz w:val="21"/>
          <w:szCs w:val="21"/>
          <w:lang w:eastAsia="zh-CN"/>
        </w:rPr>
        <w:t>6.4 乙方货物交付甲方时，应同时告知甲方相应的装卸、保管、使用注意事项及方法，如因乙方未能尽此告知义务，而造成装卸、保管、使用不当，致产品质量下降的，由乙方承担相应责任。</w:t>
      </w:r>
    </w:p>
    <w:p>
      <w:pPr>
        <w:spacing w:line="460" w:lineRule="exact"/>
        <w:rPr>
          <w:sz w:val="21"/>
          <w:szCs w:val="21"/>
          <w:u w:val="single"/>
          <w:lang w:eastAsia="zh-CN"/>
        </w:rPr>
      </w:pPr>
      <w:r>
        <w:rPr>
          <w:rFonts w:hint="eastAsia"/>
          <w:sz w:val="21"/>
          <w:szCs w:val="21"/>
          <w:lang w:eastAsia="zh-CN"/>
        </w:rPr>
        <w:t>6.5 验收时间：当天收货，当天验收。</w:t>
      </w:r>
    </w:p>
    <w:p>
      <w:pPr>
        <w:spacing w:line="460" w:lineRule="exact"/>
        <w:rPr>
          <w:sz w:val="21"/>
          <w:szCs w:val="21"/>
          <w:lang w:eastAsia="zh-CN"/>
        </w:rPr>
      </w:pPr>
      <w:r>
        <w:rPr>
          <w:rFonts w:hint="eastAsia"/>
          <w:sz w:val="21"/>
          <w:szCs w:val="21"/>
          <w:lang w:eastAsia="zh-CN"/>
        </w:rPr>
        <w:t>7、质量保证：</w:t>
      </w:r>
    </w:p>
    <w:p>
      <w:pPr>
        <w:spacing w:line="460" w:lineRule="exact"/>
        <w:ind w:firstLine="315" w:firstLineChars="150"/>
        <w:rPr>
          <w:sz w:val="21"/>
          <w:szCs w:val="21"/>
          <w:lang w:eastAsia="zh-CN"/>
        </w:rPr>
      </w:pPr>
      <w:r>
        <w:rPr>
          <w:rFonts w:hint="eastAsia"/>
          <w:sz w:val="21"/>
          <w:szCs w:val="21"/>
          <w:lang w:eastAsia="zh-CN"/>
        </w:rPr>
        <w:t>除本合同另有约定外，本合同产品售。后服务按厂家标准提供有关质量保证和售后服务的承诺执行，国家有规定的按国家规定执行。</w:t>
      </w:r>
    </w:p>
    <w:p>
      <w:pPr>
        <w:spacing w:line="460" w:lineRule="exact"/>
        <w:rPr>
          <w:sz w:val="21"/>
          <w:szCs w:val="21"/>
          <w:lang w:eastAsia="zh-CN"/>
        </w:rPr>
      </w:pPr>
      <w:r>
        <w:rPr>
          <w:rFonts w:hint="eastAsia"/>
          <w:sz w:val="21"/>
          <w:szCs w:val="21"/>
          <w:lang w:eastAsia="zh-CN"/>
        </w:rPr>
        <w:t>8、违约责任：</w:t>
      </w:r>
    </w:p>
    <w:p>
      <w:pPr>
        <w:spacing w:line="460" w:lineRule="exact"/>
        <w:ind w:left="1"/>
        <w:rPr>
          <w:sz w:val="21"/>
          <w:szCs w:val="21"/>
          <w:lang w:eastAsia="zh-CN"/>
        </w:rPr>
      </w:pPr>
      <w:r>
        <w:rPr>
          <w:rFonts w:hint="eastAsia"/>
          <w:sz w:val="21"/>
          <w:szCs w:val="21"/>
          <w:lang w:eastAsia="zh-CN"/>
        </w:rPr>
        <w:t>8.1甲方逾期付款的，应应按全国银行间同业拆借中心公布的贷款市场报价利率计算利息，违约金累计不超过合同预估总价的1%。</w:t>
      </w:r>
    </w:p>
    <w:p>
      <w:pPr>
        <w:spacing w:line="460" w:lineRule="exact"/>
        <w:rPr>
          <w:sz w:val="21"/>
          <w:szCs w:val="21"/>
          <w:lang w:eastAsia="zh-CN"/>
        </w:rPr>
      </w:pPr>
      <w:r>
        <w:rPr>
          <w:rFonts w:hint="eastAsia"/>
          <w:sz w:val="21"/>
          <w:szCs w:val="21"/>
          <w:lang w:eastAsia="zh-CN"/>
        </w:rPr>
        <w:t>8.2 甲方无正当理由违反合同规定拒绝接受货物的，应承担因此给乙方造成的损失。</w:t>
      </w:r>
    </w:p>
    <w:p>
      <w:pPr>
        <w:spacing w:line="460" w:lineRule="exact"/>
        <w:ind w:left="2"/>
        <w:rPr>
          <w:sz w:val="21"/>
          <w:szCs w:val="21"/>
          <w:lang w:eastAsia="zh-CN"/>
        </w:rPr>
      </w:pPr>
      <w:r>
        <w:rPr>
          <w:rFonts w:hint="eastAsia"/>
          <w:sz w:val="21"/>
          <w:szCs w:val="21"/>
          <w:lang w:eastAsia="zh-CN"/>
        </w:rPr>
        <w:t>8.3 乙方所交货物品种、型号、规格、质量不符本合同《合同标的和合同价格清单表》约定的依照下述处理：</w:t>
      </w:r>
    </w:p>
    <w:p>
      <w:pPr>
        <w:spacing w:line="460" w:lineRule="exact"/>
        <w:rPr>
          <w:sz w:val="21"/>
          <w:szCs w:val="21"/>
          <w:lang w:eastAsia="zh-CN"/>
        </w:rPr>
      </w:pPr>
      <w:r>
        <w:rPr>
          <w:rFonts w:hint="eastAsia"/>
          <w:sz w:val="21"/>
          <w:szCs w:val="21"/>
          <w:lang w:eastAsia="zh-CN"/>
        </w:rPr>
        <w:t xml:space="preserve"> 8.3.1 甲方根据具体情况，可要求乙方负责在甲方指定期限内换货、修复直至退货，并承担调换或退货而支付的实际费用，并且乙方承担给甲方造成的所有损失。</w:t>
      </w:r>
    </w:p>
    <w:p>
      <w:pPr>
        <w:spacing w:line="460" w:lineRule="exact"/>
        <w:rPr>
          <w:sz w:val="21"/>
          <w:szCs w:val="21"/>
          <w:lang w:eastAsia="zh-CN"/>
        </w:rPr>
      </w:pPr>
      <w:r>
        <w:rPr>
          <w:rFonts w:hint="eastAsia"/>
          <w:sz w:val="21"/>
          <w:szCs w:val="21"/>
          <w:lang w:eastAsia="zh-CN"/>
        </w:rPr>
        <w:t xml:space="preserve"> 8.3.2 如乙方所交货物瑕疵为甲方合理接受范围内，并经甲方书面批准同意接收的，甲方   有权按照货物的疵劣程度或本合同价格清单的违约金标准调减相应金额的合同价款后再行支付。</w:t>
      </w:r>
    </w:p>
    <w:p>
      <w:pPr>
        <w:spacing w:line="460" w:lineRule="exact"/>
        <w:ind w:left="2"/>
        <w:rPr>
          <w:sz w:val="21"/>
          <w:szCs w:val="21"/>
          <w:lang w:eastAsia="zh-CN"/>
        </w:rPr>
      </w:pPr>
      <w:r>
        <w:rPr>
          <w:rFonts w:hint="eastAsia"/>
          <w:sz w:val="21"/>
          <w:szCs w:val="21"/>
          <w:lang w:eastAsia="zh-CN"/>
        </w:rPr>
        <w:t>8.3.3 乙方逾期交货的，每日应向甲方支付违约金</w:t>
      </w:r>
      <w:r>
        <w:rPr>
          <w:sz w:val="21"/>
          <w:szCs w:val="21"/>
          <w:u w:val="single"/>
          <w:lang w:eastAsia="zh-CN"/>
        </w:rPr>
        <w:t>500</w:t>
      </w:r>
      <w:r>
        <w:rPr>
          <w:rFonts w:hint="eastAsia"/>
          <w:sz w:val="21"/>
          <w:szCs w:val="21"/>
          <w:lang w:eastAsia="zh-CN"/>
        </w:rPr>
        <w:t>元；逾期超过</w:t>
      </w:r>
      <w:r>
        <w:rPr>
          <w:sz w:val="21"/>
          <w:szCs w:val="21"/>
          <w:u w:val="single"/>
          <w:lang w:eastAsia="zh-CN"/>
        </w:rPr>
        <w:t xml:space="preserve"> </w:t>
      </w:r>
      <w:r>
        <w:rPr>
          <w:rFonts w:hint="eastAsia"/>
          <w:sz w:val="21"/>
          <w:szCs w:val="21"/>
          <w:u w:val="single"/>
          <w:lang w:eastAsia="zh-CN"/>
        </w:rPr>
        <w:t>10</w:t>
      </w:r>
      <w:r>
        <w:rPr>
          <w:sz w:val="21"/>
          <w:szCs w:val="21"/>
          <w:u w:val="single"/>
          <w:lang w:eastAsia="zh-CN"/>
        </w:rPr>
        <w:t xml:space="preserve">  </w:t>
      </w:r>
      <w:r>
        <w:rPr>
          <w:rFonts w:hint="eastAsia"/>
          <w:sz w:val="21"/>
          <w:szCs w:val="21"/>
          <w:lang w:eastAsia="zh-CN"/>
        </w:rPr>
        <w:t>日的，每日违约金为</w:t>
      </w:r>
      <w:r>
        <w:rPr>
          <w:sz w:val="21"/>
          <w:szCs w:val="21"/>
          <w:u w:val="single"/>
          <w:lang w:eastAsia="zh-CN"/>
        </w:rPr>
        <w:t>1000</w:t>
      </w:r>
      <w:r>
        <w:rPr>
          <w:rFonts w:hint="eastAsia"/>
          <w:sz w:val="21"/>
          <w:szCs w:val="21"/>
          <w:lang w:eastAsia="zh-CN"/>
        </w:rPr>
        <w:t>元；逾期超过15日的，甲方还有权解除合同，并要求乙方一次性支付合同预估总价</w:t>
      </w:r>
      <w:r>
        <w:rPr>
          <w:sz w:val="21"/>
          <w:szCs w:val="21"/>
          <w:u w:val="single"/>
          <w:lang w:eastAsia="zh-CN"/>
        </w:rPr>
        <w:t xml:space="preserve"> </w:t>
      </w:r>
      <w:r>
        <w:rPr>
          <w:rFonts w:hint="eastAsia"/>
          <w:sz w:val="21"/>
          <w:szCs w:val="21"/>
          <w:u w:val="single"/>
          <w:lang w:eastAsia="zh-CN"/>
        </w:rPr>
        <w:t>4</w:t>
      </w:r>
      <w:r>
        <w:rPr>
          <w:sz w:val="21"/>
          <w:szCs w:val="21"/>
          <w:u w:val="single"/>
          <w:lang w:eastAsia="zh-CN"/>
        </w:rPr>
        <w:t xml:space="preserve"> </w:t>
      </w:r>
      <w:r>
        <w:rPr>
          <w:rFonts w:hint="eastAsia"/>
          <w:sz w:val="21"/>
          <w:szCs w:val="21"/>
          <w:lang w:eastAsia="zh-CN"/>
        </w:rPr>
        <w:t>%的违约金（甲方可从应付给乙方的货款中直接扣除）。乙方部分交货、交货不合格的，均按照逾期交货处理。</w:t>
      </w:r>
    </w:p>
    <w:p>
      <w:pPr>
        <w:spacing w:line="460" w:lineRule="exact"/>
        <w:ind w:left="2" w:firstLine="2"/>
        <w:rPr>
          <w:sz w:val="21"/>
          <w:szCs w:val="21"/>
          <w:lang w:eastAsia="zh-CN"/>
        </w:rPr>
      </w:pPr>
      <w:r>
        <w:rPr>
          <w:rFonts w:hint="eastAsia"/>
          <w:sz w:val="21"/>
          <w:szCs w:val="21"/>
          <w:lang w:eastAsia="zh-CN"/>
        </w:rPr>
        <w:t>8.3.4 一方的违约行为给对方造成的损失超过本合同约定的违约金数额的，超出部分，违约方应予以赔偿。</w:t>
      </w:r>
    </w:p>
    <w:p>
      <w:pPr>
        <w:spacing w:line="460" w:lineRule="exact"/>
        <w:ind w:firstLine="2"/>
        <w:rPr>
          <w:sz w:val="21"/>
          <w:szCs w:val="21"/>
          <w:lang w:eastAsia="zh-CN"/>
        </w:rPr>
      </w:pPr>
      <w:r>
        <w:rPr>
          <w:rFonts w:hint="eastAsia"/>
          <w:sz w:val="21"/>
          <w:szCs w:val="21"/>
          <w:lang w:eastAsia="zh-CN"/>
        </w:rPr>
        <w:t>8.4.4 乙方无正当理由单方解除合同的，应向甲方支付合同预估总价4%的违约金，并赔偿甲方损失。</w:t>
      </w:r>
    </w:p>
    <w:p>
      <w:pPr>
        <w:spacing w:line="460" w:lineRule="exact"/>
        <w:rPr>
          <w:sz w:val="21"/>
          <w:szCs w:val="21"/>
          <w:lang w:eastAsia="zh-CN"/>
        </w:rPr>
      </w:pPr>
      <w:r>
        <w:rPr>
          <w:rFonts w:hint="eastAsia"/>
          <w:sz w:val="21"/>
          <w:szCs w:val="21"/>
          <w:lang w:eastAsia="zh-CN"/>
        </w:rPr>
        <w:t>9、法律的适用及争议解决方式：</w:t>
      </w:r>
    </w:p>
    <w:p>
      <w:pPr>
        <w:spacing w:line="460" w:lineRule="exact"/>
        <w:rPr>
          <w:sz w:val="21"/>
          <w:szCs w:val="21"/>
          <w:lang w:eastAsia="zh-CN"/>
        </w:rPr>
      </w:pPr>
      <w:r>
        <w:rPr>
          <w:rFonts w:hint="eastAsia"/>
          <w:sz w:val="21"/>
          <w:szCs w:val="21"/>
          <w:lang w:eastAsia="zh-CN"/>
        </w:rPr>
        <w:t>9.1 本合同的效力、解释及履行均适用中华人民共和国法律。</w:t>
      </w:r>
    </w:p>
    <w:p>
      <w:pPr>
        <w:spacing w:line="460" w:lineRule="exact"/>
        <w:ind w:left="2" w:firstLine="2"/>
        <w:rPr>
          <w:sz w:val="21"/>
          <w:szCs w:val="21"/>
          <w:lang w:eastAsia="zh-CN"/>
        </w:rPr>
      </w:pPr>
      <w:r>
        <w:rPr>
          <w:rFonts w:hint="eastAsia"/>
          <w:sz w:val="21"/>
          <w:szCs w:val="21"/>
          <w:lang w:eastAsia="zh-CN"/>
        </w:rPr>
        <w:t>9.2因本合同履行过程中引起的任何争议，双方应及时友好协商解决。协商不成的，应向甲方所在地的人民法院提起诉讼。</w:t>
      </w:r>
    </w:p>
    <w:p>
      <w:pPr>
        <w:spacing w:line="460" w:lineRule="exact"/>
        <w:rPr>
          <w:sz w:val="21"/>
          <w:szCs w:val="21"/>
          <w:lang w:eastAsia="zh-CN"/>
        </w:rPr>
      </w:pPr>
      <w:r>
        <w:rPr>
          <w:rFonts w:hint="eastAsia"/>
          <w:sz w:val="21"/>
          <w:szCs w:val="21"/>
          <w:lang w:eastAsia="zh-CN"/>
        </w:rPr>
        <w:t xml:space="preserve">10、 合同变更与解除： </w:t>
      </w:r>
    </w:p>
    <w:p>
      <w:pPr>
        <w:spacing w:line="460" w:lineRule="exact"/>
        <w:ind w:left="1"/>
        <w:rPr>
          <w:sz w:val="21"/>
          <w:szCs w:val="21"/>
          <w:lang w:eastAsia="zh-CN"/>
        </w:rPr>
      </w:pPr>
      <w:r>
        <w:rPr>
          <w:rFonts w:hint="eastAsia"/>
          <w:sz w:val="21"/>
          <w:szCs w:val="21"/>
          <w:lang w:eastAsia="zh-CN"/>
        </w:rPr>
        <w:t>除本合同另有约定或法律规定外，非经双方协商一致，任何一方均不得擅自变更或解除合同。合同变更或解除须采取书面形式。</w:t>
      </w:r>
    </w:p>
    <w:p>
      <w:pPr>
        <w:spacing w:line="460" w:lineRule="exact"/>
        <w:rPr>
          <w:sz w:val="21"/>
          <w:szCs w:val="21"/>
          <w:lang w:eastAsia="zh-CN"/>
        </w:rPr>
      </w:pPr>
      <w:r>
        <w:rPr>
          <w:rFonts w:hint="eastAsia"/>
          <w:sz w:val="21"/>
          <w:szCs w:val="21"/>
          <w:lang w:eastAsia="zh-CN"/>
        </w:rPr>
        <w:t xml:space="preserve">11、通知： </w:t>
      </w:r>
    </w:p>
    <w:p>
      <w:pPr>
        <w:spacing w:line="460" w:lineRule="exact"/>
        <w:ind w:firstLine="525" w:firstLineChars="250"/>
        <w:rPr>
          <w:sz w:val="21"/>
          <w:szCs w:val="21"/>
          <w:lang w:eastAsia="zh-CN"/>
        </w:rPr>
      </w:pPr>
      <w:r>
        <w:rPr>
          <w:rFonts w:hint="eastAsia"/>
          <w:sz w:val="21"/>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460" w:lineRule="exact"/>
        <w:rPr>
          <w:sz w:val="21"/>
          <w:szCs w:val="21"/>
          <w:lang w:eastAsia="zh-CN"/>
        </w:rPr>
      </w:pPr>
      <w:r>
        <w:rPr>
          <w:rFonts w:hint="eastAsia"/>
          <w:sz w:val="21"/>
          <w:szCs w:val="21"/>
          <w:lang w:eastAsia="zh-CN"/>
        </w:rPr>
        <w:t>12、本合同一式五份，经双方签订后生效，甲方执五份、乙方执一份，具有同等效力。</w:t>
      </w:r>
    </w:p>
    <w:tbl>
      <w:tblPr>
        <w:tblStyle w:val="4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rPr>
                <w:b/>
                <w:sz w:val="28"/>
                <w:szCs w:val="28"/>
                <w:lang w:eastAsia="zh-CN"/>
              </w:rPr>
            </w:pPr>
            <w:r>
              <w:rPr>
                <w:rFonts w:hint="eastAsia"/>
                <w:sz w:val="24"/>
                <w:szCs w:val="20"/>
                <w:lang w:eastAsia="zh-CN"/>
              </w:rPr>
              <w:t>甲方：</w:t>
            </w:r>
            <w:r>
              <w:rPr>
                <w:rFonts w:hint="eastAsia"/>
                <w:sz w:val="24"/>
                <w:szCs w:val="24"/>
                <w:lang w:eastAsia="zh-CN"/>
              </w:rPr>
              <w:t>翔鹭石化（漳州）有限公司</w:t>
            </w:r>
          </w:p>
        </w:tc>
        <w:tc>
          <w:tcPr>
            <w:tcW w:w="4821" w:type="dxa"/>
            <w:vAlign w:val="center"/>
          </w:tcPr>
          <w:p>
            <w:pPr>
              <w:spacing w:line="360" w:lineRule="auto"/>
              <w:rPr>
                <w:sz w:val="24"/>
                <w:szCs w:val="20"/>
                <w:lang w:eastAsia="zh-CN"/>
              </w:rPr>
            </w:pPr>
            <w:r>
              <w:rPr>
                <w:rFonts w:hint="eastAsia"/>
                <w:sz w:val="24"/>
                <w:szCs w:val="20"/>
                <w:lang w:eastAsia="zh-CN"/>
              </w:rPr>
              <w:t>甲方：腾龙芳烃（漳州）有限公司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rPr>
                <w:b/>
                <w:sz w:val="28"/>
                <w:szCs w:val="28"/>
                <w:lang w:eastAsia="zh-CN"/>
              </w:rPr>
            </w:pPr>
            <w:r>
              <w:rPr>
                <w:rFonts w:hint="eastAsia"/>
                <w:sz w:val="24"/>
                <w:szCs w:val="20"/>
                <w:lang w:eastAsia="zh-CN"/>
              </w:rPr>
              <w:t>联系地址：</w:t>
            </w:r>
            <w:r>
              <w:rPr>
                <w:rFonts w:hint="eastAsia"/>
                <w:sz w:val="24"/>
                <w:szCs w:val="24"/>
                <w:lang w:eastAsia="zh-CN"/>
              </w:rPr>
              <w:t>福建省漳州市漳州古雷经济开发区腾龙路86号</w:t>
            </w:r>
            <w:r>
              <w:rPr>
                <w:rFonts w:hint="eastAsia"/>
                <w:b/>
                <w:sz w:val="28"/>
                <w:szCs w:val="28"/>
                <w:lang w:eastAsia="zh-CN"/>
              </w:rPr>
              <w:t xml:space="preserve"> </w:t>
            </w:r>
          </w:p>
          <w:p>
            <w:pPr>
              <w:spacing w:line="360" w:lineRule="auto"/>
              <w:rPr>
                <w:sz w:val="24"/>
                <w:szCs w:val="20"/>
                <w:lang w:eastAsia="zh-CN"/>
              </w:rPr>
            </w:pPr>
          </w:p>
        </w:tc>
        <w:tc>
          <w:tcPr>
            <w:tcW w:w="4821" w:type="dxa"/>
            <w:vAlign w:val="center"/>
          </w:tcPr>
          <w:p>
            <w:pPr>
              <w:spacing w:line="360" w:lineRule="auto"/>
              <w:rPr>
                <w:sz w:val="24"/>
                <w:szCs w:val="20"/>
                <w:lang w:eastAsia="zh-CN"/>
              </w:rPr>
            </w:pPr>
            <w:r>
              <w:rPr>
                <w:rFonts w:hint="eastAsia"/>
                <w:sz w:val="24"/>
                <w:szCs w:val="20"/>
                <w:lang w:eastAsia="zh-CN"/>
              </w:rPr>
              <w:t>联系地址：</w:t>
            </w:r>
            <w:r>
              <w:rPr>
                <w:rFonts w:asciiTheme="minorEastAsia" w:hAnsiTheme="minorEastAsia" w:eastAsiaTheme="minorEastAsia"/>
                <w:sz w:val="24"/>
                <w:szCs w:val="24"/>
                <w:lang w:eastAsia="zh-CN"/>
              </w:rPr>
              <w:t>福建省漳州市古雷港经济开发区腾龙路</w:t>
            </w:r>
            <w:r>
              <w:rPr>
                <w:rFonts w:hint="eastAsia" w:asciiTheme="minorEastAsia" w:hAnsiTheme="minorEastAsia" w:eastAsiaTheme="minorEastAsia"/>
                <w:sz w:val="24"/>
                <w:szCs w:val="24"/>
                <w:lang w:eastAsia="zh-CN"/>
              </w:rPr>
              <w:t>84</w:t>
            </w:r>
            <w:r>
              <w:rPr>
                <w:rFonts w:asciiTheme="minorEastAsia" w:hAnsiTheme="minorEastAsia" w:eastAsiaTheme="minorEastAsia"/>
                <w:sz w:val="24"/>
                <w:szCs w:val="24"/>
                <w:lang w:eastAsia="zh-CN"/>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邮编：</w:t>
            </w:r>
          </w:p>
        </w:tc>
        <w:tc>
          <w:tcPr>
            <w:tcW w:w="4821" w:type="dxa"/>
            <w:vAlign w:val="center"/>
          </w:tcPr>
          <w:p>
            <w:pPr>
              <w:spacing w:line="360" w:lineRule="auto"/>
              <w:rPr>
                <w:sz w:val="24"/>
                <w:szCs w:val="20"/>
                <w:lang w:eastAsia="zh-CN"/>
              </w:rPr>
            </w:pPr>
            <w:r>
              <w:rPr>
                <w:rFonts w:hint="eastAsia"/>
                <w:sz w:val="24"/>
                <w:szCs w:val="20"/>
              </w:rPr>
              <w:t>邮编：</w:t>
            </w:r>
            <w:r>
              <w:rPr>
                <w:rFonts w:hint="eastAsia"/>
                <w:sz w:val="24"/>
                <w:szCs w:val="20"/>
                <w:lang w:eastAsia="zh-CN"/>
              </w:rPr>
              <w:t>3632158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传真：</w:t>
            </w:r>
          </w:p>
        </w:tc>
        <w:tc>
          <w:tcPr>
            <w:tcW w:w="4821" w:type="dxa"/>
            <w:vAlign w:val="center"/>
          </w:tcPr>
          <w:p>
            <w:pPr>
              <w:spacing w:line="360" w:lineRule="auto"/>
              <w:rPr>
                <w:sz w:val="24"/>
                <w:szCs w:val="20"/>
              </w:rPr>
            </w:pPr>
            <w:r>
              <w:rPr>
                <w:rFonts w:hint="eastAsia"/>
                <w:sz w:val="24"/>
                <w:szCs w:val="20"/>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电子邮箱：</w:t>
            </w:r>
          </w:p>
        </w:tc>
        <w:tc>
          <w:tcPr>
            <w:tcW w:w="4821" w:type="dxa"/>
            <w:vAlign w:val="center"/>
          </w:tcPr>
          <w:p>
            <w:pPr>
              <w:spacing w:line="360" w:lineRule="auto"/>
              <w:rPr>
                <w:sz w:val="24"/>
                <w:szCs w:val="20"/>
              </w:rPr>
            </w:pPr>
            <w:r>
              <w:rPr>
                <w:rFonts w:hint="eastAsia"/>
                <w:sz w:val="24"/>
                <w:szCs w:val="20"/>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委托代理人：</w:t>
            </w:r>
          </w:p>
        </w:tc>
        <w:tc>
          <w:tcPr>
            <w:tcW w:w="4821" w:type="dxa"/>
            <w:vAlign w:val="center"/>
          </w:tcPr>
          <w:p>
            <w:pPr>
              <w:spacing w:line="360" w:lineRule="auto"/>
              <w:rPr>
                <w:sz w:val="24"/>
                <w:szCs w:val="20"/>
              </w:rPr>
            </w:pPr>
            <w:r>
              <w:rPr>
                <w:rFonts w:hint="eastAsia"/>
                <w:sz w:val="24"/>
                <w:szCs w:val="20"/>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电话：</w:t>
            </w:r>
          </w:p>
        </w:tc>
        <w:tc>
          <w:tcPr>
            <w:tcW w:w="4821" w:type="dxa"/>
            <w:vAlign w:val="center"/>
          </w:tcPr>
          <w:p>
            <w:pPr>
              <w:spacing w:line="360" w:lineRule="auto"/>
              <w:rPr>
                <w:sz w:val="24"/>
                <w:szCs w:val="20"/>
              </w:rPr>
            </w:pPr>
            <w:r>
              <w:rPr>
                <w:rFonts w:hint="eastAsia"/>
                <w:sz w:val="24"/>
                <w:szCs w:val="20"/>
              </w:rPr>
              <w:t>电话：</w:t>
            </w:r>
            <w:r>
              <w:rPr>
                <w:rFonts w:hint="eastAsia" w:asciiTheme="minorEastAsia" w:hAnsiTheme="minorEastAsia" w:eastAsiaTheme="minorEastAsia"/>
                <w:sz w:val="24"/>
                <w:szCs w:val="24"/>
              </w:rPr>
              <w:t>0596-3890083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4"/>
                <w:lang w:eastAsia="zh-CN"/>
              </w:rPr>
            </w:pPr>
            <w:r>
              <w:rPr>
                <w:rFonts w:hint="eastAsia"/>
                <w:sz w:val="24"/>
                <w:szCs w:val="24"/>
                <w:lang w:eastAsia="zh-CN"/>
              </w:rPr>
              <w:t>开户银行：中国银行漳州分行</w:t>
            </w:r>
          </w:p>
        </w:tc>
        <w:tc>
          <w:tcPr>
            <w:tcW w:w="4821" w:type="dxa"/>
            <w:vAlign w:val="center"/>
          </w:tcPr>
          <w:p>
            <w:pPr>
              <w:spacing w:line="360" w:lineRule="auto"/>
              <w:rPr>
                <w:sz w:val="24"/>
                <w:szCs w:val="20"/>
                <w:lang w:eastAsia="zh-CN"/>
              </w:rPr>
            </w:pPr>
            <w:r>
              <w:rPr>
                <w:rFonts w:hint="eastAsia"/>
                <w:sz w:val="24"/>
                <w:szCs w:val="20"/>
                <w:lang w:eastAsia="zh-CN"/>
              </w:rPr>
              <w:t>开户银行：</w:t>
            </w:r>
            <w:r>
              <w:rPr>
                <w:rFonts w:hint="eastAsia"/>
                <w:sz w:val="24"/>
                <w:szCs w:val="24"/>
                <w:lang w:eastAsia="zh-CN"/>
              </w:rPr>
              <w:t>中国农业银行股份有限公司漳浦古雷石化支行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rPr>
                <w:sz w:val="24"/>
                <w:szCs w:val="24"/>
              </w:rPr>
            </w:pPr>
            <w:r>
              <w:rPr>
                <w:rFonts w:hint="eastAsia"/>
                <w:sz w:val="24"/>
                <w:szCs w:val="24"/>
              </w:rPr>
              <w:t>账号：416958369985</w:t>
            </w:r>
          </w:p>
          <w:p>
            <w:pPr>
              <w:spacing w:line="360" w:lineRule="auto"/>
              <w:rPr>
                <w:sz w:val="24"/>
                <w:szCs w:val="24"/>
              </w:rPr>
            </w:pPr>
          </w:p>
        </w:tc>
        <w:tc>
          <w:tcPr>
            <w:tcW w:w="4821" w:type="dxa"/>
            <w:vAlign w:val="center"/>
          </w:tcPr>
          <w:p>
            <w:pPr>
              <w:rPr>
                <w:sz w:val="24"/>
                <w:szCs w:val="24"/>
              </w:rPr>
            </w:pPr>
            <w:r>
              <w:rPr>
                <w:rFonts w:hint="eastAsia"/>
                <w:sz w:val="24"/>
                <w:szCs w:val="20"/>
              </w:rPr>
              <w:t>账号：</w:t>
            </w:r>
            <w:r>
              <w:rPr>
                <w:rFonts w:hint="eastAsia"/>
                <w:sz w:val="24"/>
                <w:szCs w:val="24"/>
              </w:rPr>
              <w:t>13641501040004550</w:t>
            </w:r>
          </w:p>
          <w:p>
            <w:pPr>
              <w:spacing w:line="360" w:lineRule="auto"/>
              <w:rPr>
                <w:sz w:val="24"/>
                <w:szCs w:val="20"/>
              </w:rPr>
            </w:pPr>
          </w:p>
        </w:tc>
      </w:tr>
    </w:tbl>
    <w:p>
      <w:pPr>
        <w:spacing w:line="460" w:lineRule="exact"/>
        <w:rPr>
          <w:sz w:val="21"/>
          <w:szCs w:val="21"/>
          <w:lang w:eastAsia="zh-CN"/>
        </w:rPr>
      </w:pPr>
    </w:p>
    <w:tbl>
      <w:tblPr>
        <w:tblStyle w:val="4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21"/>
        <w:gridCol w:w="139"/>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rPr>
                <w:sz w:val="30"/>
                <w:szCs w:val="30"/>
                <w:lang w:eastAsia="zh-CN"/>
              </w:rPr>
            </w:pPr>
            <w:r>
              <w:rPr>
                <w:rFonts w:hint="eastAsia"/>
                <w:sz w:val="24"/>
                <w:szCs w:val="20"/>
                <w:lang w:eastAsia="zh-CN"/>
              </w:rPr>
              <w:t>乙方：</w:t>
            </w:r>
            <w:r>
              <w:rPr>
                <w:sz w:val="30"/>
                <w:szCs w:val="30"/>
                <w:lang w:eastAsia="zh-CN"/>
              </w:rPr>
              <w:t xml:space="preserve"> </w:t>
            </w:r>
          </w:p>
        </w:tc>
        <w:tc>
          <w:tcPr>
            <w:tcW w:w="4821" w:type="dxa"/>
            <w:vAlign w:val="center"/>
          </w:tcPr>
          <w:p>
            <w:pPr>
              <w:rPr>
                <w:sz w:val="30"/>
                <w:szCs w:val="3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spacing w:line="360" w:lineRule="auto"/>
              <w:rPr>
                <w:sz w:val="24"/>
                <w:szCs w:val="20"/>
                <w:lang w:eastAsia="zh-CN"/>
              </w:rPr>
            </w:pPr>
            <w:r>
              <w:rPr>
                <w:rFonts w:hint="eastAsia"/>
                <w:sz w:val="24"/>
                <w:szCs w:val="20"/>
                <w:lang w:eastAsia="zh-CN"/>
              </w:rPr>
              <w:t>联系地址：</w:t>
            </w:r>
          </w:p>
        </w:tc>
        <w:tc>
          <w:tcPr>
            <w:tcW w:w="4821" w:type="dxa"/>
            <w:vAlign w:val="center"/>
          </w:tcPr>
          <w:p>
            <w:pPr>
              <w:spacing w:line="360" w:lineRule="auto"/>
              <w:rPr>
                <w:sz w:val="24"/>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spacing w:line="360" w:lineRule="auto"/>
              <w:rPr>
                <w:sz w:val="24"/>
                <w:szCs w:val="20"/>
              </w:rPr>
            </w:pPr>
            <w:r>
              <w:rPr>
                <w:rFonts w:hint="eastAsia"/>
                <w:sz w:val="24"/>
                <w:szCs w:val="20"/>
              </w:rPr>
              <w:t>邮编：</w:t>
            </w:r>
          </w:p>
        </w:tc>
        <w:tc>
          <w:tcPr>
            <w:tcW w:w="4821" w:type="dxa"/>
            <w:vAlign w:val="center"/>
          </w:tcPr>
          <w:p>
            <w:pPr>
              <w:spacing w:line="360" w:lineRule="auto"/>
              <w:rPr>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spacing w:line="360" w:lineRule="auto"/>
              <w:rPr>
                <w:sz w:val="24"/>
                <w:szCs w:val="20"/>
              </w:rPr>
            </w:pPr>
            <w:r>
              <w:rPr>
                <w:rFonts w:hint="eastAsia"/>
                <w:sz w:val="24"/>
                <w:szCs w:val="20"/>
              </w:rPr>
              <w:t>传真：</w:t>
            </w:r>
          </w:p>
        </w:tc>
        <w:tc>
          <w:tcPr>
            <w:tcW w:w="4821" w:type="dxa"/>
            <w:vAlign w:val="center"/>
          </w:tcPr>
          <w:p>
            <w:pPr>
              <w:spacing w:line="360" w:lineRule="auto"/>
              <w:rPr>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spacing w:line="360" w:lineRule="auto"/>
              <w:rPr>
                <w:sz w:val="24"/>
                <w:szCs w:val="20"/>
              </w:rPr>
            </w:pPr>
            <w:r>
              <w:rPr>
                <w:rFonts w:hint="eastAsia"/>
                <w:sz w:val="24"/>
                <w:szCs w:val="20"/>
              </w:rPr>
              <w:t>电子邮箱：</w:t>
            </w:r>
          </w:p>
        </w:tc>
        <w:tc>
          <w:tcPr>
            <w:tcW w:w="4821" w:type="dxa"/>
            <w:vAlign w:val="center"/>
          </w:tcPr>
          <w:p>
            <w:pPr>
              <w:spacing w:line="360" w:lineRule="auto"/>
              <w:rPr>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spacing w:line="360" w:lineRule="auto"/>
              <w:rPr>
                <w:sz w:val="24"/>
                <w:szCs w:val="20"/>
              </w:rPr>
            </w:pPr>
            <w:r>
              <w:rPr>
                <w:rFonts w:hint="eastAsia"/>
                <w:sz w:val="24"/>
                <w:szCs w:val="20"/>
              </w:rPr>
              <w:t>委托代理人：</w:t>
            </w:r>
          </w:p>
        </w:tc>
        <w:tc>
          <w:tcPr>
            <w:tcW w:w="4821" w:type="dxa"/>
            <w:vAlign w:val="center"/>
          </w:tcPr>
          <w:p>
            <w:pPr>
              <w:spacing w:line="360" w:lineRule="auto"/>
              <w:rPr>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spacing w:line="360" w:lineRule="auto"/>
              <w:rPr>
                <w:sz w:val="24"/>
                <w:szCs w:val="20"/>
              </w:rPr>
            </w:pPr>
            <w:r>
              <w:rPr>
                <w:rFonts w:hint="eastAsia"/>
                <w:sz w:val="24"/>
                <w:szCs w:val="20"/>
              </w:rPr>
              <w:t>电话：</w:t>
            </w:r>
          </w:p>
        </w:tc>
        <w:tc>
          <w:tcPr>
            <w:tcW w:w="4821" w:type="dxa"/>
            <w:vAlign w:val="center"/>
          </w:tcPr>
          <w:p>
            <w:pPr>
              <w:spacing w:line="360" w:lineRule="auto"/>
              <w:rPr>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spacing w:line="360" w:lineRule="auto"/>
              <w:rPr>
                <w:sz w:val="24"/>
                <w:szCs w:val="20"/>
                <w:lang w:eastAsia="zh-CN"/>
              </w:rPr>
            </w:pPr>
            <w:r>
              <w:rPr>
                <w:rFonts w:hint="eastAsia"/>
                <w:sz w:val="24"/>
                <w:szCs w:val="20"/>
                <w:lang w:eastAsia="zh-CN"/>
              </w:rPr>
              <w:t>开户银行：</w:t>
            </w:r>
            <w:r>
              <w:rPr>
                <w:sz w:val="24"/>
                <w:szCs w:val="20"/>
                <w:lang w:eastAsia="zh-CN"/>
              </w:rPr>
              <w:t xml:space="preserve"> </w:t>
            </w:r>
          </w:p>
        </w:tc>
        <w:tc>
          <w:tcPr>
            <w:tcW w:w="4821" w:type="dxa"/>
            <w:vAlign w:val="center"/>
          </w:tcPr>
          <w:p>
            <w:pPr>
              <w:spacing w:line="360" w:lineRule="auto"/>
              <w:rPr>
                <w:sz w:val="24"/>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tabs>
                <w:tab w:val="left" w:pos="142"/>
              </w:tabs>
              <w:rPr>
                <w:sz w:val="24"/>
                <w:szCs w:val="20"/>
              </w:rPr>
            </w:pPr>
            <w:r>
              <w:rPr>
                <w:rFonts w:hint="eastAsia"/>
                <w:sz w:val="24"/>
                <w:szCs w:val="20"/>
              </w:rPr>
              <w:t>账号：</w:t>
            </w:r>
            <w:r>
              <w:rPr>
                <w:sz w:val="24"/>
                <w:szCs w:val="20"/>
              </w:rPr>
              <w:t xml:space="preserve"> </w:t>
            </w:r>
          </w:p>
        </w:tc>
        <w:tc>
          <w:tcPr>
            <w:tcW w:w="4821" w:type="dxa"/>
            <w:vAlign w:val="center"/>
          </w:tcPr>
          <w:p>
            <w:pPr>
              <w:spacing w:line="360" w:lineRule="auto"/>
              <w:rPr>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60" w:type="dxa"/>
          <w:jc w:val="center"/>
        </w:trPr>
        <w:tc>
          <w:tcPr>
            <w:tcW w:w="4821" w:type="dxa"/>
            <w:vAlign w:val="center"/>
          </w:tcPr>
          <w:p>
            <w:pPr>
              <w:rPr>
                <w:sz w:val="30"/>
                <w:szCs w:val="3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60" w:type="dxa"/>
          <w:jc w:val="center"/>
        </w:trPr>
        <w:tc>
          <w:tcPr>
            <w:tcW w:w="4821" w:type="dxa"/>
            <w:vAlign w:val="center"/>
          </w:tcPr>
          <w:p>
            <w:pPr>
              <w:spacing w:line="360" w:lineRule="auto"/>
              <w:rPr>
                <w:sz w:val="24"/>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60" w:type="dxa"/>
          <w:jc w:val="center"/>
        </w:trPr>
        <w:tc>
          <w:tcPr>
            <w:tcW w:w="4821" w:type="dxa"/>
            <w:vAlign w:val="center"/>
          </w:tcPr>
          <w:p>
            <w:pPr>
              <w:spacing w:line="360" w:lineRule="auto"/>
              <w:rPr>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60" w:type="dxa"/>
          <w:jc w:val="center"/>
        </w:trPr>
        <w:tc>
          <w:tcPr>
            <w:tcW w:w="4821" w:type="dxa"/>
            <w:vAlign w:val="center"/>
          </w:tcPr>
          <w:p>
            <w:pPr>
              <w:spacing w:line="360" w:lineRule="auto"/>
              <w:rPr>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60" w:type="dxa"/>
          <w:jc w:val="center"/>
        </w:trPr>
        <w:tc>
          <w:tcPr>
            <w:tcW w:w="4821" w:type="dxa"/>
            <w:vAlign w:val="center"/>
          </w:tcPr>
          <w:p>
            <w:pPr>
              <w:spacing w:line="360" w:lineRule="auto"/>
              <w:rPr>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60" w:type="dxa"/>
          <w:jc w:val="center"/>
        </w:trPr>
        <w:tc>
          <w:tcPr>
            <w:tcW w:w="4821" w:type="dxa"/>
            <w:vAlign w:val="center"/>
          </w:tcPr>
          <w:p>
            <w:pPr>
              <w:spacing w:line="360" w:lineRule="auto"/>
              <w:rPr>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60" w:type="dxa"/>
          <w:jc w:val="center"/>
        </w:trPr>
        <w:tc>
          <w:tcPr>
            <w:tcW w:w="4821" w:type="dxa"/>
            <w:vAlign w:val="center"/>
          </w:tcPr>
          <w:p>
            <w:pPr>
              <w:spacing w:line="360" w:lineRule="auto"/>
              <w:rPr>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60" w:type="dxa"/>
          <w:jc w:val="center"/>
        </w:trPr>
        <w:tc>
          <w:tcPr>
            <w:tcW w:w="4821" w:type="dxa"/>
            <w:vAlign w:val="center"/>
          </w:tcPr>
          <w:p>
            <w:pPr>
              <w:spacing w:line="360" w:lineRule="auto"/>
              <w:rPr>
                <w:sz w:val="24"/>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60" w:type="dxa"/>
          <w:jc w:val="center"/>
        </w:trPr>
        <w:tc>
          <w:tcPr>
            <w:tcW w:w="4821" w:type="dxa"/>
            <w:vAlign w:val="center"/>
          </w:tcPr>
          <w:p>
            <w:pPr>
              <w:tabs>
                <w:tab w:val="left" w:pos="142"/>
              </w:tabs>
              <w:rPr>
                <w:sz w:val="24"/>
                <w:szCs w:val="20"/>
              </w:rPr>
            </w:pPr>
          </w:p>
        </w:tc>
      </w:tr>
    </w:tbl>
    <w:p>
      <w:pPr>
        <w:rPr>
          <w:rFonts w:hAnsi="Calibri" w:cs="Times New Roman"/>
          <w:sz w:val="34"/>
          <w:lang w:eastAsia="zh-CN"/>
        </w:rPr>
      </w:pPr>
    </w:p>
    <w:p>
      <w:pPr>
        <w:pStyle w:val="2"/>
      </w:pPr>
    </w:p>
    <w:p>
      <w:pPr>
        <w:pStyle w:val="2"/>
      </w:pPr>
    </w:p>
    <w:p>
      <w:pPr>
        <w:pStyle w:val="2"/>
      </w:pPr>
    </w:p>
    <w:p>
      <w:pPr>
        <w:pStyle w:val="2"/>
      </w:pPr>
    </w:p>
    <w:p>
      <w:pPr>
        <w:pStyle w:val="2"/>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ind w:left="169"/>
        <w:jc w:val="center"/>
        <w:rPr>
          <w:rFonts w:ascii="微软雅黑" w:eastAsia="微软雅黑"/>
          <w:b/>
          <w:sz w:val="36"/>
          <w:szCs w:val="36"/>
          <w:lang w:eastAsia="zh-CN"/>
        </w:rPr>
      </w:pPr>
      <w:r>
        <w:rPr>
          <w:rFonts w:hint="eastAsia" w:ascii="微软雅黑" w:eastAsia="微软雅黑"/>
          <w:b/>
          <w:sz w:val="36"/>
          <w:szCs w:val="36"/>
          <w:lang w:eastAsia="zh-CN"/>
        </w:rPr>
        <w:t>风向袋年约采购口罩采购</w:t>
      </w:r>
    </w:p>
    <w:p>
      <w:pPr>
        <w:pStyle w:val="20"/>
        <w:jc w:val="center"/>
        <w:rPr>
          <w:rFonts w:ascii="微软雅黑" w:eastAsia="微软雅黑"/>
          <w:b/>
          <w:sz w:val="52"/>
          <w:szCs w:val="52"/>
          <w:u w:val="single"/>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eastAsia="zh-CN"/>
        </w:rPr>
        <w:t>1</w:t>
      </w:r>
      <w:r>
        <w:rPr>
          <w:rFonts w:ascii="Times New Roman" w:hAnsi="Times New Roman"/>
          <w:b/>
          <w:bCs/>
          <w:w w:val="95"/>
          <w:sz w:val="32"/>
          <w:lang w:eastAsia="zh-CN"/>
        </w:rPr>
        <w:t>年</w:t>
      </w:r>
      <w:r>
        <w:rPr>
          <w:rFonts w:hint="eastAsia" w:ascii="Times New Roman" w:hAnsi="Times New Roman"/>
          <w:b/>
          <w:bCs/>
          <w:w w:val="95"/>
          <w:sz w:val="32"/>
          <w:lang w:eastAsia="zh-CN"/>
        </w:rPr>
        <w:t>1</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7"/>
        <w:spacing w:beforeLines="0" w:afterLines="0" w:line="240" w:lineRule="auto"/>
        <w:ind w:firstLine="0" w:firstLineChars="0"/>
        <w:rPr>
          <w:rFonts w:cs="Times New Roman"/>
          <w:bCs w:val="0"/>
          <w:color w:val="C00000"/>
          <w:lang w:eastAsia="zh-CN"/>
        </w:rPr>
      </w:pPr>
    </w:p>
    <w:p>
      <w:pPr>
        <w:pStyle w:val="7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7"/>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480" w:lineRule="exact"/>
        <w:ind w:left="169"/>
        <w:rPr>
          <w:rFonts w:asciiTheme="minorEastAsia" w:hAnsiTheme="minorEastAsia" w:eastAsiaTheme="minorEastAsia"/>
          <w:sz w:val="24"/>
          <w:szCs w:val="24"/>
          <w:u w:val="single"/>
          <w:lang w:eastAsia="zh-CN"/>
        </w:rPr>
      </w:pPr>
      <w:r>
        <w:rPr>
          <w:rFonts w:hint="eastAsia"/>
          <w:lang w:eastAsia="zh-CN"/>
        </w:rPr>
        <w:t>本授权书声明：注册于</w:t>
      </w:r>
      <w:r>
        <w:rPr>
          <w:rFonts w:hint="eastAsia" w:cs="Times New Roman"/>
          <w:color w:val="00B050"/>
          <w:sz w:val="28"/>
          <w:szCs w:val="28"/>
          <w:u w:val="single"/>
          <w:lang w:eastAsia="zh-CN"/>
        </w:rPr>
        <w:t>注册地址</w:t>
      </w:r>
      <w:r>
        <w:rPr>
          <w:rFonts w:hint="eastAsia"/>
          <w:lang w:eastAsia="zh-CN"/>
        </w:rPr>
        <w:t>的</w:t>
      </w:r>
      <w:r>
        <w:rPr>
          <w:rFonts w:hint="eastAsia" w:cs="Times New Roman"/>
          <w:color w:val="00B050"/>
          <w:sz w:val="28"/>
          <w:szCs w:val="28"/>
          <w:u w:val="single"/>
          <w:lang w:eastAsia="zh-CN"/>
        </w:rPr>
        <w:t>公司名称</w:t>
      </w:r>
      <w:r>
        <w:rPr>
          <w:rFonts w:hint="eastAsia"/>
          <w:lang w:eastAsia="zh-CN"/>
        </w:rPr>
        <w:t>的在下方签字（或签章）的</w:t>
      </w:r>
      <w:r>
        <w:rPr>
          <w:rFonts w:hint="eastAsia" w:cs="Times New Roman"/>
          <w:color w:val="00B050"/>
          <w:sz w:val="28"/>
          <w:szCs w:val="28"/>
          <w:u w:val="single"/>
          <w:lang w:eastAsia="zh-CN"/>
        </w:rPr>
        <w:t>法人代表姓名</w:t>
      </w:r>
      <w:r>
        <w:rPr>
          <w:rFonts w:hint="eastAsia"/>
          <w:lang w:eastAsia="zh-CN"/>
        </w:rPr>
        <w:t>代表本公司授权</w:t>
      </w:r>
      <w:r>
        <w:rPr>
          <w:rFonts w:hint="eastAsia" w:cs="Times New Roman"/>
          <w:color w:val="00B050"/>
          <w:sz w:val="28"/>
          <w:szCs w:val="28"/>
          <w:u w:val="single"/>
          <w:lang w:eastAsia="zh-CN"/>
        </w:rPr>
        <w:t>被授权代表人姓名、职务</w:t>
      </w:r>
      <w:r>
        <w:rPr>
          <w:rFonts w:hint="eastAsia"/>
          <w:lang w:eastAsia="zh-CN"/>
        </w:rPr>
        <w:t>为本公司的合法代理人，就福建福海创石油化工有限公司</w:t>
      </w:r>
      <w:r>
        <w:rPr>
          <w:rFonts w:hint="eastAsia" w:asciiTheme="minorEastAsia" w:hAnsiTheme="minorEastAsia" w:eastAsiaTheme="minorEastAsia"/>
          <w:sz w:val="24"/>
          <w:szCs w:val="24"/>
          <w:lang w:eastAsia="zh-CN"/>
        </w:rPr>
        <w:t>风向袋年约采购</w:t>
      </w:r>
      <w:r>
        <w:rPr>
          <w:rFonts w:hint="eastAsia"/>
          <w:lang w:eastAsia="zh-CN"/>
        </w:rPr>
        <w:t>公开自主比选，以本公司名义参与报价、合同执行并处理与之有关的其他事务，相关责任及后果由本公司承担。</w:t>
      </w:r>
    </w:p>
    <w:p>
      <w:pPr>
        <w:spacing w:line="48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21</w:t>
      </w:r>
      <w:r>
        <w:rPr>
          <w:rFonts w:hint="eastAsia" w:cs="Times New Roman"/>
          <w:color w:val="00B050"/>
          <w:sz w:val="28"/>
          <w:szCs w:val="28"/>
          <w:u w:val="single"/>
          <w:lang w:eastAsia="zh-CN"/>
        </w:rPr>
        <w:t>年1月   日</w:t>
      </w:r>
      <w:r>
        <w:rPr>
          <w:rFonts w:hint="eastAsia"/>
          <w:sz w:val="24"/>
          <w:lang w:eastAsia="zh-CN"/>
        </w:rPr>
        <w:t>生效，本授权书有效期至此次报价，以及合同履行完毕时止。</w:t>
      </w:r>
    </w:p>
    <w:p>
      <w:pPr>
        <w:spacing w:line="480" w:lineRule="exact"/>
        <w:ind w:firstLine="480" w:firstLineChars="200"/>
        <w:rPr>
          <w:sz w:val="24"/>
          <w:lang w:eastAsia="zh-CN"/>
        </w:rPr>
      </w:pPr>
      <w:r>
        <w:rPr>
          <w:rFonts w:hint="eastAsia"/>
          <w:sz w:val="24"/>
          <w:lang w:eastAsia="zh-CN"/>
        </w:rPr>
        <w:t>特此声明。</w:t>
      </w:r>
    </w:p>
    <w:p>
      <w:pPr>
        <w:pStyle w:val="2"/>
        <w:spacing w:line="480" w:lineRule="exact"/>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rPr>
          <w:color w:val="0000FF"/>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7"/>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7"/>
        <w:spacing w:beforeLines="0" w:afterLines="0" w:line="240" w:lineRule="auto"/>
        <w:rPr>
          <w:rFonts w:cs="Times New Roman"/>
          <w:bCs w:val="0"/>
          <w:color w:val="4E6127"/>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r>
        <w:rPr>
          <w:rFonts w:hint="eastAsia"/>
          <w:b/>
          <w:bCs/>
          <w:sz w:val="32"/>
          <w:szCs w:val="32"/>
          <w:lang w:eastAsia="zh-CN"/>
        </w:rPr>
        <w:t>附件三：</w:t>
      </w:r>
    </w:p>
    <w:p>
      <w:pPr>
        <w:spacing w:line="360" w:lineRule="auto"/>
        <w:jc w:val="center"/>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商务报价函</w:t>
      </w:r>
    </w:p>
    <w:p>
      <w:pPr>
        <w:snapToGrid w:val="0"/>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pStyle w:val="78"/>
        <w:spacing w:line="360" w:lineRule="auto"/>
        <w:rPr>
          <w:rFonts w:hAnsi="宋体"/>
          <w:bCs/>
        </w:rPr>
      </w:pPr>
      <w:r>
        <w:rPr>
          <w:rFonts w:hint="eastAsia" w:asciiTheme="minorEastAsia" w:hAnsiTheme="minorEastAsia" w:eastAsiaTheme="minorEastAsia"/>
        </w:rPr>
        <w:t>在充分研究福建福海创石油化工有限公司</w:t>
      </w:r>
      <w:r>
        <w:rPr>
          <w:rFonts w:hint="eastAsia" w:ascii="Times New Roman" w:cs="Times New Roman"/>
        </w:rPr>
        <w:t>风向袋年约采购</w:t>
      </w:r>
      <w:r>
        <w:rPr>
          <w:rFonts w:hint="eastAsia" w:asciiTheme="minorEastAsia" w:hAnsiTheme="minorEastAsia" w:eastAsiaTheme="minorEastAsia"/>
        </w:rPr>
        <w:t>比选文件的全部内容后，我方愿以以下报价，严格按照自主比选文件的要求执行。</w:t>
      </w:r>
    </w:p>
    <w:tbl>
      <w:tblPr>
        <w:tblStyle w:val="46"/>
        <w:tblW w:w="10686" w:type="dxa"/>
        <w:tblInd w:w="-1080" w:type="dxa"/>
        <w:tblLayout w:type="autofit"/>
        <w:tblCellMar>
          <w:top w:w="0" w:type="dxa"/>
          <w:left w:w="108" w:type="dxa"/>
          <w:bottom w:w="0" w:type="dxa"/>
          <w:right w:w="108" w:type="dxa"/>
        </w:tblCellMar>
      </w:tblPr>
      <w:tblGrid>
        <w:gridCol w:w="672"/>
        <w:gridCol w:w="1083"/>
        <w:gridCol w:w="1985"/>
        <w:gridCol w:w="992"/>
        <w:gridCol w:w="709"/>
        <w:gridCol w:w="1134"/>
        <w:gridCol w:w="921"/>
        <w:gridCol w:w="71"/>
        <w:gridCol w:w="600"/>
        <w:gridCol w:w="993"/>
        <w:gridCol w:w="1526"/>
      </w:tblGrid>
      <w:tr>
        <w:tblPrEx>
          <w:tblCellMar>
            <w:top w:w="0" w:type="dxa"/>
            <w:left w:w="108" w:type="dxa"/>
            <w:bottom w:w="0" w:type="dxa"/>
            <w:right w:w="108" w:type="dxa"/>
          </w:tblCellMar>
        </w:tblPrEx>
        <w:trPr>
          <w:trHeight w:val="714" w:hRule="atLeast"/>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序号</w:t>
            </w:r>
          </w:p>
        </w:tc>
        <w:tc>
          <w:tcPr>
            <w:tcW w:w="108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lang w:eastAsia="zh-CN"/>
              </w:rPr>
              <w:t>名称</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rPr>
              <w:t>规格型号</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lang w:eastAsia="zh-CN"/>
              </w:rPr>
              <w:t>预估</w:t>
            </w:r>
            <w:r>
              <w:rPr>
                <w:rFonts w:hint="eastAsia" w:asciiTheme="minorEastAsia" w:hAnsiTheme="minorEastAsia" w:eastAsiaTheme="minorEastAsia"/>
                <w:b/>
                <w:bCs/>
                <w:sz w:val="18"/>
                <w:szCs w:val="18"/>
              </w:rPr>
              <w:t>数量</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单位</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lang w:eastAsia="zh-CN"/>
              </w:rPr>
              <w:t>含税</w:t>
            </w:r>
            <w:r>
              <w:rPr>
                <w:rFonts w:hint="eastAsia" w:asciiTheme="minorEastAsia" w:hAnsiTheme="minorEastAsia" w:eastAsiaTheme="minorEastAsia"/>
                <w:b/>
                <w:bCs/>
                <w:sz w:val="18"/>
                <w:szCs w:val="18"/>
              </w:rPr>
              <w:t>单价</w:t>
            </w:r>
          </w:p>
        </w:tc>
        <w:tc>
          <w:tcPr>
            <w:tcW w:w="921" w:type="dxa"/>
            <w:tcBorders>
              <w:top w:val="single" w:color="auto" w:sz="4" w:space="0"/>
              <w:left w:val="single" w:color="auto" w:sz="4" w:space="0"/>
              <w:bottom w:val="single" w:color="auto" w:sz="4" w:space="0"/>
              <w:right w:val="single" w:color="auto" w:sz="4" w:space="0"/>
            </w:tcBorders>
            <w:vAlign w:val="center"/>
          </w:tcPr>
          <w:p>
            <w:pPr>
              <w:widowControl/>
              <w:ind w:firstLine="33" w:firstLineChars="18"/>
              <w:jc w:val="center"/>
              <w:rPr>
                <w:rFonts w:asciiTheme="minorEastAsia" w:hAnsiTheme="minorEastAsia" w:eastAsiaTheme="minorEastAsia"/>
                <w:b/>
                <w:bCs/>
                <w:sz w:val="18"/>
                <w:szCs w:val="18"/>
              </w:rPr>
            </w:pPr>
            <w:r>
              <w:rPr>
                <w:rFonts w:hint="eastAsia" w:asciiTheme="minorEastAsia" w:hAnsiTheme="minorEastAsia" w:eastAsiaTheme="minorEastAsia"/>
                <w:b/>
                <w:sz w:val="18"/>
                <w:szCs w:val="18"/>
              </w:rPr>
              <w:t>小计/元</w:t>
            </w:r>
          </w:p>
        </w:tc>
        <w:tc>
          <w:tcPr>
            <w:tcW w:w="6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lang w:eastAsia="zh-CN"/>
              </w:rPr>
              <w:t>税率</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lang w:eastAsia="zh-CN"/>
              </w:rPr>
              <w:t>到货期</w:t>
            </w:r>
          </w:p>
        </w:tc>
        <w:tc>
          <w:tcPr>
            <w:tcW w:w="1526" w:type="dxa"/>
            <w:tcBorders>
              <w:top w:val="single" w:color="auto" w:sz="4" w:space="0"/>
              <w:left w:val="single" w:color="auto" w:sz="4" w:space="0"/>
              <w:bottom w:val="single" w:color="auto" w:sz="4" w:space="0"/>
              <w:right w:val="single" w:color="auto" w:sz="4" w:space="0"/>
            </w:tcBorders>
            <w:vAlign w:val="center"/>
          </w:tcPr>
          <w:p>
            <w:pPr>
              <w:pStyle w:val="2"/>
              <w:rPr>
                <w:rFonts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tblPrEx>
          <w:tblCellMar>
            <w:top w:w="0" w:type="dxa"/>
            <w:left w:w="108" w:type="dxa"/>
            <w:bottom w:w="0" w:type="dxa"/>
            <w:right w:w="108" w:type="dxa"/>
          </w:tblCellMar>
        </w:tblPrEx>
        <w:trPr>
          <w:trHeight w:val="823" w:hRule="atLeast"/>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w:t>
            </w:r>
          </w:p>
        </w:tc>
        <w:tc>
          <w:tcPr>
            <w:tcW w:w="1083" w:type="dxa"/>
            <w:tcBorders>
              <w:top w:val="single" w:color="auto" w:sz="4" w:space="0"/>
              <w:left w:val="nil"/>
              <w:bottom w:val="single" w:color="auto" w:sz="4" w:space="0"/>
              <w:right w:val="single" w:color="auto" w:sz="4" w:space="0"/>
            </w:tcBorders>
            <w:shd w:val="clear" w:color="auto" w:fill="auto"/>
            <w:noWrap/>
            <w:vAlign w:val="center"/>
          </w:tcPr>
          <w:p>
            <w:pPr>
              <w:widowControl/>
              <w:rPr>
                <w:rFonts w:cs="Times New Roman" w:asciiTheme="minorEastAsia" w:hAnsiTheme="minorEastAsia" w:eastAsiaTheme="minorEastAsia"/>
                <w:sz w:val="18"/>
                <w:szCs w:val="18"/>
                <w:lang w:eastAsia="zh-CN"/>
              </w:rPr>
            </w:pPr>
            <w:r>
              <w:rPr>
                <w:rFonts w:hint="eastAsia" w:asciiTheme="minorEastAsia" w:hAnsiTheme="minorEastAsia" w:eastAsiaTheme="minorEastAsia"/>
                <w:color w:val="000000"/>
                <w:sz w:val="18"/>
                <w:szCs w:val="18"/>
              </w:rPr>
              <w:t>风向袋</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进风口直400mm；</w:t>
            </w:r>
          </w:p>
          <w:p>
            <w:pPr>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出风口直200mm；</w:t>
            </w:r>
          </w:p>
          <w:p>
            <w:pPr>
              <w:widowControl/>
              <w:rPr>
                <w:rFonts w:asciiTheme="minorEastAsia" w:hAnsiTheme="minorEastAsia" w:eastAsiaTheme="minorEastAsia"/>
                <w:sz w:val="18"/>
                <w:szCs w:val="18"/>
                <w:lang w:eastAsia="zh-CN"/>
              </w:rPr>
            </w:pPr>
            <w:r>
              <w:rPr>
                <w:rFonts w:hint="eastAsia" w:asciiTheme="minorEastAsia" w:hAnsiTheme="minorEastAsia" w:eastAsiaTheme="minorEastAsia"/>
                <w:color w:val="000000"/>
                <w:sz w:val="18"/>
                <w:szCs w:val="18"/>
              </w:rPr>
              <w:t>长度1000mm</w:t>
            </w:r>
            <w:r>
              <w:rPr>
                <w:rFonts w:hint="eastAsia" w:asciiTheme="minorEastAsia" w:hAnsiTheme="minorEastAsia" w:eastAsiaTheme="minorEastAsia"/>
                <w:color w:val="000000"/>
                <w:sz w:val="18"/>
                <w:szCs w:val="18"/>
                <w:lang w:eastAsia="zh-CN"/>
              </w:rPr>
              <w:t>；</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Times New Roman" w:asciiTheme="minorEastAsia" w:hAnsiTheme="minorEastAsia" w:eastAsiaTheme="minorEastAsia"/>
                <w:sz w:val="18"/>
                <w:szCs w:val="18"/>
                <w:lang w:eastAsia="zh-CN"/>
              </w:rPr>
            </w:pPr>
            <w:r>
              <w:rPr>
                <w:rFonts w:hint="eastAsia" w:cs="Times New Roman" w:asciiTheme="minorEastAsia" w:hAnsiTheme="minorEastAsia" w:eastAsiaTheme="minorEastAsia"/>
                <w:sz w:val="18"/>
                <w:szCs w:val="18"/>
                <w:lang w:eastAsia="zh-CN"/>
              </w:rPr>
              <w:t>800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Times New Roman" w:asciiTheme="minorEastAsia" w:hAnsiTheme="minorEastAsia" w:eastAsiaTheme="minorEastAsia"/>
                <w:sz w:val="18"/>
                <w:szCs w:val="18"/>
                <w:lang w:eastAsia="zh-CN"/>
              </w:rPr>
            </w:pPr>
            <w:r>
              <w:rPr>
                <w:rFonts w:hint="eastAsia" w:cs="Times New Roman" w:asciiTheme="minorEastAsia" w:hAnsiTheme="minorEastAsia" w:eastAsiaTheme="minorEastAsia"/>
                <w:sz w:val="18"/>
                <w:szCs w:val="18"/>
                <w:lang w:eastAsia="zh-CN"/>
              </w:rPr>
              <w:t>个</w:t>
            </w:r>
          </w:p>
        </w:tc>
        <w:tc>
          <w:tcPr>
            <w:tcW w:w="1134" w:type="dxa"/>
            <w:tcBorders>
              <w:top w:val="single" w:color="auto" w:sz="4" w:space="0"/>
              <w:left w:val="nil"/>
              <w:bottom w:val="single" w:color="auto" w:sz="4" w:space="0"/>
              <w:right w:val="single" w:color="auto" w:sz="4" w:space="0"/>
            </w:tcBorders>
          </w:tcPr>
          <w:p>
            <w:pPr>
              <w:widowControl/>
              <w:rPr>
                <w:rFonts w:asciiTheme="minorEastAsia" w:hAnsiTheme="minorEastAsia" w:eastAsiaTheme="minorEastAsia"/>
                <w:bCs/>
                <w:sz w:val="18"/>
                <w:szCs w:val="18"/>
                <w:lang w:eastAsia="zh-CN"/>
              </w:rPr>
            </w:pPr>
          </w:p>
        </w:tc>
        <w:tc>
          <w:tcPr>
            <w:tcW w:w="992" w:type="dxa"/>
            <w:gridSpan w:val="2"/>
            <w:tcBorders>
              <w:top w:val="single" w:color="auto" w:sz="4" w:space="0"/>
              <w:left w:val="single" w:color="auto" w:sz="4" w:space="0"/>
              <w:bottom w:val="single" w:color="auto" w:sz="4" w:space="0"/>
              <w:right w:val="single" w:color="auto" w:sz="4" w:space="0"/>
            </w:tcBorders>
          </w:tcPr>
          <w:p>
            <w:pPr>
              <w:widowControl/>
              <w:rPr>
                <w:rFonts w:asciiTheme="minorEastAsia" w:hAnsiTheme="minorEastAsia" w:eastAsiaTheme="minorEastAsia"/>
                <w:bCs/>
                <w:sz w:val="18"/>
                <w:szCs w:val="18"/>
                <w:lang w:eastAsia="zh-CN"/>
              </w:rPr>
            </w:pPr>
          </w:p>
        </w:tc>
        <w:tc>
          <w:tcPr>
            <w:tcW w:w="600" w:type="dxa"/>
            <w:tcBorders>
              <w:top w:val="single" w:color="auto" w:sz="4" w:space="0"/>
              <w:left w:val="single" w:color="auto" w:sz="4" w:space="0"/>
              <w:bottom w:val="single" w:color="auto" w:sz="4" w:space="0"/>
              <w:right w:val="single" w:color="auto" w:sz="4" w:space="0"/>
            </w:tcBorders>
          </w:tcPr>
          <w:p>
            <w:pPr>
              <w:widowControl/>
              <w:rPr>
                <w:rFonts w:asciiTheme="minorEastAsia" w:hAnsiTheme="minorEastAsia" w:eastAsiaTheme="minorEastAsia"/>
                <w:bCs/>
                <w:sz w:val="18"/>
                <w:szCs w:val="18"/>
                <w:lang w:eastAsia="zh-CN"/>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bCs/>
                <w:sz w:val="18"/>
                <w:szCs w:val="18"/>
                <w:lang w:eastAsia="zh-CN"/>
              </w:rPr>
            </w:pPr>
          </w:p>
        </w:tc>
        <w:tc>
          <w:tcPr>
            <w:tcW w:w="1526" w:type="dxa"/>
            <w:vMerge w:val="restart"/>
            <w:tcBorders>
              <w:top w:val="single" w:color="auto" w:sz="4" w:space="0"/>
              <w:left w:val="single" w:color="auto" w:sz="4" w:space="0"/>
              <w:right w:val="single" w:color="auto" w:sz="4" w:space="0"/>
            </w:tcBorders>
          </w:tcPr>
          <w:p>
            <w:pPr>
              <w:pStyle w:val="75"/>
              <w:ind w:left="0" w:firstLine="0"/>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与现场风向标能配套使用颜色为橙红色； 布袋有3条荧光条，进风口钻6个孔，样式详见下图；能够防水防污；布料经久耐用需送样品确认。</w:t>
            </w:r>
          </w:p>
        </w:tc>
      </w:tr>
      <w:tr>
        <w:tblPrEx>
          <w:tblCellMar>
            <w:top w:w="0" w:type="dxa"/>
            <w:left w:w="108" w:type="dxa"/>
            <w:bottom w:w="0" w:type="dxa"/>
            <w:right w:w="108" w:type="dxa"/>
          </w:tblCellMar>
        </w:tblPrEx>
        <w:trPr>
          <w:trHeight w:val="823" w:hRule="atLeast"/>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sz w:val="20"/>
                <w:szCs w:val="20"/>
                <w:lang w:eastAsia="zh-CN"/>
              </w:rPr>
            </w:pPr>
            <w:r>
              <w:rPr>
                <w:rFonts w:hint="eastAsia" w:ascii="Times New Roman" w:hAnsi="Times New Roman" w:cs="Times New Roman"/>
                <w:sz w:val="20"/>
                <w:szCs w:val="20"/>
                <w:lang w:eastAsia="zh-CN"/>
              </w:rPr>
              <w:t>2</w:t>
            </w:r>
          </w:p>
        </w:tc>
        <w:tc>
          <w:tcPr>
            <w:tcW w:w="1083" w:type="dxa"/>
            <w:tcBorders>
              <w:top w:val="single" w:color="auto" w:sz="4" w:space="0"/>
              <w:left w:val="nil"/>
              <w:bottom w:val="single" w:color="auto" w:sz="4" w:space="0"/>
              <w:right w:val="single" w:color="auto" w:sz="4" w:space="0"/>
            </w:tcBorders>
            <w:shd w:val="clear" w:color="auto" w:fill="auto"/>
            <w:noWrap/>
            <w:vAlign w:val="center"/>
          </w:tcPr>
          <w:p>
            <w:pPr>
              <w:widowControl/>
              <w:rPr>
                <w:color w:val="000000"/>
                <w:szCs w:val="21"/>
                <w:lang w:eastAsia="zh-CN"/>
              </w:rPr>
            </w:pPr>
            <w:r>
              <w:rPr>
                <w:rFonts w:hint="eastAsia"/>
                <w:color w:val="000000"/>
                <w:szCs w:val="21"/>
              </w:rPr>
              <w:t>风向袋（带挂钩</w:t>
            </w:r>
            <w:r>
              <w:rPr>
                <w:color w:val="000000"/>
                <w:szCs w:val="21"/>
                <w:lang w:eastAsia="zh-CN"/>
              </w:rPr>
              <w:t>）</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rPr>
                <w:color w:val="000000"/>
                <w:szCs w:val="21"/>
                <w:lang w:eastAsia="zh-CN"/>
              </w:rPr>
            </w:pPr>
            <w:r>
              <w:rPr>
                <w:rFonts w:hint="eastAsia"/>
                <w:color w:val="000000"/>
                <w:szCs w:val="21"/>
                <w:lang w:eastAsia="zh-CN"/>
              </w:rPr>
              <w:t>进风口直400mm；</w:t>
            </w:r>
          </w:p>
          <w:p>
            <w:pPr>
              <w:rPr>
                <w:color w:val="000000"/>
                <w:szCs w:val="21"/>
                <w:lang w:eastAsia="zh-CN"/>
              </w:rPr>
            </w:pPr>
            <w:r>
              <w:rPr>
                <w:rFonts w:hint="eastAsia"/>
                <w:color w:val="000000"/>
                <w:szCs w:val="21"/>
                <w:lang w:eastAsia="zh-CN"/>
              </w:rPr>
              <w:t>出风口直200mm；</w:t>
            </w:r>
          </w:p>
          <w:p>
            <w:pPr>
              <w:rPr>
                <w:color w:val="000000"/>
                <w:szCs w:val="21"/>
                <w:lang w:eastAsia="zh-CN"/>
              </w:rPr>
            </w:pPr>
            <w:r>
              <w:rPr>
                <w:rFonts w:hint="eastAsia"/>
                <w:color w:val="000000"/>
                <w:szCs w:val="21"/>
              </w:rPr>
              <w:t>长度1000mm</w:t>
            </w:r>
            <w:r>
              <w:rPr>
                <w:rFonts w:hint="eastAsia"/>
                <w:color w:val="000000"/>
                <w:szCs w:val="21"/>
                <w:lang w:eastAsia="zh-CN"/>
              </w:rPr>
              <w:t>；</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sz w:val="20"/>
                <w:szCs w:val="20"/>
                <w:lang w:eastAsia="zh-CN"/>
              </w:rPr>
            </w:pPr>
            <w:r>
              <w:rPr>
                <w:rFonts w:hint="eastAsia"/>
                <w:color w:val="000000"/>
                <w:szCs w:val="21"/>
              </w:rPr>
              <w:t>300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sz w:val="20"/>
                <w:szCs w:val="20"/>
                <w:lang w:eastAsia="zh-CN"/>
              </w:rPr>
            </w:pPr>
            <w:r>
              <w:rPr>
                <w:rFonts w:hint="eastAsia" w:ascii="Times New Roman" w:hAnsi="Times New Roman" w:cs="Times New Roman"/>
                <w:sz w:val="20"/>
                <w:szCs w:val="20"/>
                <w:lang w:eastAsia="zh-CN"/>
              </w:rPr>
              <w:t>个</w:t>
            </w:r>
          </w:p>
        </w:tc>
        <w:tc>
          <w:tcPr>
            <w:tcW w:w="1134" w:type="dxa"/>
            <w:tcBorders>
              <w:top w:val="single" w:color="auto" w:sz="4" w:space="0"/>
              <w:left w:val="nil"/>
              <w:bottom w:val="single" w:color="auto" w:sz="4" w:space="0"/>
              <w:right w:val="single" w:color="auto" w:sz="4" w:space="0"/>
            </w:tcBorders>
          </w:tcPr>
          <w:p>
            <w:pPr>
              <w:widowControl/>
              <w:rPr>
                <w:rFonts w:asciiTheme="minorEastAsia" w:hAnsiTheme="minorEastAsia" w:eastAsiaTheme="minorEastAsia"/>
                <w:bCs/>
                <w:sz w:val="18"/>
                <w:szCs w:val="18"/>
                <w:lang w:eastAsia="zh-CN"/>
              </w:rPr>
            </w:pPr>
          </w:p>
        </w:tc>
        <w:tc>
          <w:tcPr>
            <w:tcW w:w="992" w:type="dxa"/>
            <w:gridSpan w:val="2"/>
            <w:tcBorders>
              <w:top w:val="single" w:color="auto" w:sz="4" w:space="0"/>
              <w:left w:val="single" w:color="auto" w:sz="4" w:space="0"/>
              <w:bottom w:val="single" w:color="auto" w:sz="4" w:space="0"/>
              <w:right w:val="single" w:color="auto" w:sz="4" w:space="0"/>
            </w:tcBorders>
          </w:tcPr>
          <w:p>
            <w:pPr>
              <w:widowControl/>
              <w:rPr>
                <w:rFonts w:asciiTheme="minorEastAsia" w:hAnsiTheme="minorEastAsia" w:eastAsiaTheme="minorEastAsia"/>
                <w:bCs/>
                <w:sz w:val="18"/>
                <w:szCs w:val="18"/>
                <w:lang w:eastAsia="zh-CN"/>
              </w:rPr>
            </w:pPr>
          </w:p>
        </w:tc>
        <w:tc>
          <w:tcPr>
            <w:tcW w:w="600" w:type="dxa"/>
            <w:tcBorders>
              <w:top w:val="single" w:color="auto" w:sz="4" w:space="0"/>
              <w:left w:val="single" w:color="auto" w:sz="4" w:space="0"/>
              <w:bottom w:val="single" w:color="auto" w:sz="4" w:space="0"/>
              <w:right w:val="single" w:color="auto" w:sz="4" w:space="0"/>
            </w:tcBorders>
          </w:tcPr>
          <w:p>
            <w:pPr>
              <w:widowControl/>
              <w:rPr>
                <w:rFonts w:asciiTheme="minorEastAsia" w:hAnsiTheme="minorEastAsia" w:eastAsiaTheme="minorEastAsia"/>
                <w:bCs/>
                <w:sz w:val="18"/>
                <w:szCs w:val="18"/>
                <w:lang w:eastAsia="zh-CN"/>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bCs/>
                <w:sz w:val="18"/>
                <w:szCs w:val="18"/>
                <w:lang w:eastAsia="zh-CN"/>
              </w:rPr>
            </w:pPr>
          </w:p>
        </w:tc>
        <w:tc>
          <w:tcPr>
            <w:tcW w:w="1526" w:type="dxa"/>
            <w:vMerge w:val="continue"/>
            <w:tcBorders>
              <w:left w:val="single" w:color="auto" w:sz="4" w:space="0"/>
              <w:bottom w:val="single" w:color="auto" w:sz="4" w:space="0"/>
              <w:right w:val="single" w:color="auto" w:sz="4" w:space="0"/>
            </w:tcBorders>
          </w:tcPr>
          <w:p>
            <w:pPr>
              <w:widowControl/>
              <w:rPr>
                <w:rFonts w:asciiTheme="minorEastAsia" w:hAnsiTheme="minorEastAsia" w:eastAsiaTheme="minorEastAsia"/>
                <w:bCs/>
                <w:sz w:val="18"/>
                <w:szCs w:val="18"/>
                <w:lang w:eastAsia="zh-CN"/>
              </w:rPr>
            </w:pPr>
          </w:p>
        </w:tc>
      </w:tr>
      <w:tr>
        <w:tblPrEx>
          <w:tblCellMar>
            <w:top w:w="0" w:type="dxa"/>
            <w:left w:w="108" w:type="dxa"/>
            <w:bottom w:w="0" w:type="dxa"/>
            <w:right w:w="108" w:type="dxa"/>
          </w:tblCellMar>
        </w:tblPrEx>
        <w:trPr>
          <w:trHeight w:val="850" w:hRule="atLeast"/>
        </w:trPr>
        <w:tc>
          <w:tcPr>
            <w:tcW w:w="544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sz w:val="20"/>
                <w:szCs w:val="20"/>
                <w:lang w:eastAsia="zh-CN"/>
              </w:rPr>
            </w:pPr>
            <w:r>
              <w:rPr>
                <w:rFonts w:hint="eastAsia" w:ascii="Times New Roman" w:hAnsi="Times New Roman" w:cs="Times New Roman"/>
                <w:sz w:val="20"/>
                <w:szCs w:val="20"/>
                <w:lang w:eastAsia="zh-CN"/>
              </w:rPr>
              <w:t>合计（大写）：</w:t>
            </w:r>
          </w:p>
        </w:tc>
        <w:tc>
          <w:tcPr>
            <w:tcW w:w="5245" w:type="dxa"/>
            <w:gridSpan w:val="6"/>
            <w:tcBorders>
              <w:top w:val="single" w:color="auto" w:sz="4" w:space="0"/>
              <w:left w:val="nil"/>
              <w:bottom w:val="single" w:color="auto" w:sz="4" w:space="0"/>
              <w:right w:val="single" w:color="auto" w:sz="4" w:space="0"/>
            </w:tcBorders>
          </w:tcPr>
          <w:p>
            <w:pPr>
              <w:pStyle w:val="75"/>
              <w:ind w:left="330" w:hanging="330" w:hangingChars="150"/>
              <w:rPr>
                <w:color w:val="000000"/>
                <w:szCs w:val="21"/>
                <w:lang w:eastAsia="zh-CN"/>
              </w:rPr>
            </w:pPr>
          </w:p>
        </w:tc>
      </w:tr>
    </w:tbl>
    <w:p>
      <w:pPr>
        <w:pStyle w:val="2"/>
      </w:pPr>
    </w:p>
    <w:p>
      <w:pPr>
        <w:spacing w:line="280" w:lineRule="exact"/>
        <w:ind w:firstLine="2880" w:firstLineChars="1200"/>
        <w:rPr>
          <w:sz w:val="24"/>
          <w:szCs w:val="24"/>
          <w:u w:val="single"/>
          <w:lang w:eastAsia="zh-CN"/>
        </w:rPr>
      </w:pPr>
      <w:r>
        <w:rPr>
          <w:rFonts w:hint="eastAsia"/>
          <w:sz w:val="24"/>
          <w:szCs w:val="24"/>
          <w:lang w:eastAsia="zh-CN"/>
        </w:rPr>
        <w:t>参选人：</w:t>
      </w:r>
      <w:r>
        <w:rPr>
          <w:rFonts w:hint="eastAsia"/>
          <w:sz w:val="24"/>
          <w:szCs w:val="24"/>
          <w:u w:val="single"/>
          <w:lang w:eastAsia="zh-CN"/>
        </w:rPr>
        <w:t xml:space="preserve">      </w:t>
      </w:r>
      <w:r>
        <w:rPr>
          <w:rFonts w:hint="eastAsia"/>
          <w:color w:val="00B050"/>
          <w:sz w:val="24"/>
          <w:szCs w:val="24"/>
          <w:lang w:eastAsia="zh-CN"/>
        </w:rPr>
        <w:t>（加盖参选单位章）</w:t>
      </w:r>
    </w:p>
    <w:p>
      <w:pPr>
        <w:spacing w:line="280" w:lineRule="exact"/>
        <w:ind w:firstLine="480" w:firstLineChars="200"/>
        <w:rPr>
          <w:sz w:val="24"/>
          <w:szCs w:val="24"/>
          <w:u w:val="single"/>
          <w:lang w:eastAsia="zh-CN"/>
        </w:rPr>
      </w:pPr>
    </w:p>
    <w:p>
      <w:pPr>
        <w:spacing w:line="280" w:lineRule="exact"/>
        <w:ind w:firstLine="2880" w:firstLineChars="1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280" w:lineRule="exact"/>
        <w:ind w:firstLine="480" w:firstLineChars="200"/>
        <w:rPr>
          <w:color w:val="00B050"/>
          <w:sz w:val="24"/>
          <w:szCs w:val="24"/>
          <w:lang w:eastAsia="zh-CN"/>
        </w:rPr>
      </w:pPr>
    </w:p>
    <w:p>
      <w:pPr>
        <w:spacing w:line="280" w:lineRule="exact"/>
        <w:ind w:firstLine="2880" w:firstLineChars="1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   签字）</w:t>
      </w:r>
    </w:p>
    <w:p>
      <w:pPr>
        <w:spacing w:line="280" w:lineRule="exact"/>
        <w:rPr>
          <w:color w:val="4E6127"/>
          <w:sz w:val="24"/>
          <w:szCs w:val="24"/>
          <w:u w:val="single"/>
          <w:lang w:eastAsia="zh-CN"/>
        </w:rPr>
      </w:pPr>
    </w:p>
    <w:p>
      <w:pPr>
        <w:spacing w:line="280" w:lineRule="exact"/>
        <w:ind w:firstLine="2880" w:firstLineChars="1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0"/>
      <w:r>
        <w:rPr>
          <w:rFonts w:hint="eastAsia"/>
          <w:sz w:val="24"/>
          <w:szCs w:val="24"/>
          <w:u w:val="single"/>
          <w:lang w:eastAsia="zh-CN"/>
        </w:rPr>
        <w:t xml:space="preserve">   </w:t>
      </w:r>
    </w:p>
    <w:p>
      <w:pPr>
        <w:pStyle w:val="2"/>
      </w:pPr>
    </w:p>
    <w:p>
      <w:pPr>
        <w:pStyle w:val="2"/>
      </w:pPr>
    </w:p>
    <w:p>
      <w:pPr>
        <w:pStyle w:val="2"/>
      </w:pPr>
    </w:p>
    <w:p>
      <w:pPr>
        <w:pStyle w:val="2"/>
      </w:pPr>
    </w:p>
    <w:p>
      <w:pPr>
        <w:pStyle w:val="2"/>
      </w:pPr>
    </w:p>
    <w:p>
      <w:pPr>
        <w:pStyle w:val="2"/>
      </w:pPr>
    </w:p>
    <w:p>
      <w:pPr>
        <w:spacing w:afterLines="50" w:line="360" w:lineRule="auto"/>
        <w:rPr>
          <w:b/>
          <w:sz w:val="24"/>
          <w:szCs w:val="24"/>
          <w:lang w:eastAsia="zh-CN"/>
        </w:rPr>
      </w:pPr>
    </w:p>
    <w:p>
      <w:pPr>
        <w:spacing w:afterLines="50" w:line="360" w:lineRule="auto"/>
        <w:rPr>
          <w:b/>
          <w:sz w:val="24"/>
          <w:szCs w:val="24"/>
          <w:lang w:eastAsia="zh-CN"/>
        </w:rPr>
      </w:pPr>
      <w:r>
        <w:rPr>
          <w:rFonts w:hint="eastAsia"/>
          <w:b/>
          <w:sz w:val="24"/>
          <w:szCs w:val="24"/>
          <w:lang w:eastAsia="zh-CN"/>
        </w:rPr>
        <w:t>附件四：</w:t>
      </w:r>
    </w:p>
    <w:p>
      <w:pPr>
        <w:spacing w:afterLines="50" w:line="360" w:lineRule="auto"/>
        <w:jc w:val="center"/>
        <w:rPr>
          <w:b/>
          <w:sz w:val="32"/>
          <w:szCs w:val="32"/>
          <w:lang w:eastAsia="zh-CN"/>
        </w:rPr>
      </w:pPr>
      <w:r>
        <w:rPr>
          <w:rFonts w:hint="eastAsia"/>
          <w:b/>
          <w:sz w:val="32"/>
          <w:szCs w:val="32"/>
          <w:lang w:eastAsia="zh-CN"/>
        </w:rPr>
        <w:t>风向袋年约发包说明</w:t>
      </w:r>
    </w:p>
    <w:p>
      <w:pPr>
        <w:numPr>
          <w:ilvl w:val="0"/>
          <w:numId w:val="11"/>
        </w:numPr>
        <w:autoSpaceDE/>
        <w:autoSpaceDN/>
        <w:spacing w:line="360" w:lineRule="auto"/>
        <w:jc w:val="both"/>
        <w:rPr>
          <w:rFonts w:asciiTheme="minorEastAsia" w:hAnsiTheme="minorEastAsia" w:eastAsiaTheme="minorEastAsia"/>
          <w:b/>
          <w:sz w:val="24"/>
          <w:szCs w:val="24"/>
        </w:rPr>
      </w:pPr>
      <w:r>
        <w:rPr>
          <w:rFonts w:hint="eastAsia"/>
          <w:b/>
          <w:sz w:val="24"/>
          <w:szCs w:val="24"/>
        </w:rPr>
        <w:t>合同</w:t>
      </w:r>
      <w:r>
        <w:rPr>
          <w:rFonts w:hint="eastAsia" w:asciiTheme="minorEastAsia" w:hAnsiTheme="minorEastAsia" w:eastAsiaTheme="minorEastAsia"/>
          <w:b/>
          <w:sz w:val="24"/>
          <w:szCs w:val="24"/>
        </w:rPr>
        <w:t>合同签订公司</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腾龙芳烃（漳州）有限公司、翔鹭石化（漳州）有限公司</w:t>
      </w:r>
    </w:p>
    <w:p>
      <w:pPr>
        <w:pStyle w:val="75"/>
        <w:numPr>
          <w:ilvl w:val="0"/>
          <w:numId w:val="11"/>
        </w:numPr>
        <w:autoSpaceDE/>
        <w:autoSpaceDN/>
        <w:spacing w:before="0" w:line="360" w:lineRule="auto"/>
        <w:jc w:val="both"/>
        <w:rPr>
          <w:rFonts w:asciiTheme="minorEastAsia" w:hAnsiTheme="minorEastAsia"/>
          <w:b/>
          <w:sz w:val="24"/>
          <w:szCs w:val="24"/>
        </w:rPr>
      </w:pPr>
      <w:r>
        <w:rPr>
          <w:rFonts w:hint="eastAsia" w:asciiTheme="minorEastAsia" w:hAnsiTheme="minorEastAsia"/>
          <w:b/>
          <w:sz w:val="24"/>
          <w:szCs w:val="24"/>
        </w:rPr>
        <w:t>合同期限</w:t>
      </w:r>
    </w:p>
    <w:p>
      <w:pPr>
        <w:spacing w:line="360" w:lineRule="auto"/>
        <w:rPr>
          <w:b/>
          <w:sz w:val="24"/>
          <w:szCs w:val="24"/>
        </w:rPr>
      </w:pPr>
      <w:r>
        <w:rPr>
          <w:rFonts w:hint="eastAsia" w:asciiTheme="minorEastAsia" w:hAnsiTheme="minorEastAsia"/>
          <w:sz w:val="24"/>
          <w:szCs w:val="24"/>
        </w:rPr>
        <w:t>自合同签订起两年</w:t>
      </w:r>
    </w:p>
    <w:p>
      <w:pPr>
        <w:spacing w:afterLines="50" w:line="360" w:lineRule="auto"/>
        <w:rPr>
          <w:b/>
          <w:sz w:val="24"/>
        </w:rPr>
      </w:pPr>
      <w:r>
        <w:rPr>
          <w:rFonts w:hint="eastAsia"/>
          <w:b/>
          <w:sz w:val="24"/>
        </w:rPr>
        <w:t>二、风向袋规格及要求</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741"/>
        <w:gridCol w:w="1675"/>
        <w:gridCol w:w="1930"/>
        <w:gridCol w:w="1851"/>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pPr>
              <w:spacing w:line="360" w:lineRule="auto"/>
              <w:rPr>
                <w:b/>
                <w:sz w:val="18"/>
                <w:szCs w:val="18"/>
              </w:rPr>
            </w:pPr>
            <w:r>
              <w:rPr>
                <w:rFonts w:hint="eastAsia"/>
                <w:b/>
                <w:sz w:val="18"/>
                <w:szCs w:val="18"/>
              </w:rPr>
              <w:t>序号</w:t>
            </w:r>
          </w:p>
        </w:tc>
        <w:tc>
          <w:tcPr>
            <w:tcW w:w="802" w:type="dxa"/>
          </w:tcPr>
          <w:p>
            <w:pPr>
              <w:spacing w:line="360" w:lineRule="auto"/>
              <w:rPr>
                <w:b/>
                <w:sz w:val="18"/>
                <w:szCs w:val="18"/>
              </w:rPr>
            </w:pPr>
            <w:r>
              <w:rPr>
                <w:rFonts w:hint="eastAsia"/>
                <w:b/>
                <w:sz w:val="18"/>
                <w:szCs w:val="18"/>
              </w:rPr>
              <w:t>品名</w:t>
            </w:r>
          </w:p>
        </w:tc>
        <w:tc>
          <w:tcPr>
            <w:tcW w:w="1944" w:type="dxa"/>
          </w:tcPr>
          <w:p>
            <w:pPr>
              <w:spacing w:line="360" w:lineRule="auto"/>
              <w:rPr>
                <w:b/>
                <w:sz w:val="18"/>
                <w:szCs w:val="18"/>
              </w:rPr>
            </w:pPr>
            <w:r>
              <w:rPr>
                <w:rFonts w:hint="eastAsia"/>
                <w:b/>
                <w:sz w:val="18"/>
                <w:szCs w:val="18"/>
              </w:rPr>
              <w:t>规格</w:t>
            </w:r>
          </w:p>
        </w:tc>
        <w:tc>
          <w:tcPr>
            <w:tcW w:w="2303" w:type="dxa"/>
          </w:tcPr>
          <w:p>
            <w:pPr>
              <w:spacing w:line="360" w:lineRule="auto"/>
              <w:rPr>
                <w:b/>
                <w:sz w:val="18"/>
                <w:szCs w:val="18"/>
              </w:rPr>
            </w:pPr>
            <w:r>
              <w:rPr>
                <w:rFonts w:hint="eastAsia"/>
                <w:b/>
                <w:sz w:val="18"/>
                <w:szCs w:val="18"/>
              </w:rPr>
              <w:t>要求</w:t>
            </w:r>
          </w:p>
        </w:tc>
        <w:tc>
          <w:tcPr>
            <w:tcW w:w="2130" w:type="dxa"/>
          </w:tcPr>
          <w:p>
            <w:pPr>
              <w:spacing w:line="360" w:lineRule="auto"/>
              <w:rPr>
                <w:b/>
                <w:sz w:val="18"/>
                <w:szCs w:val="18"/>
              </w:rPr>
            </w:pPr>
            <w:r>
              <w:rPr>
                <w:rFonts w:hint="eastAsia"/>
                <w:b/>
                <w:sz w:val="18"/>
                <w:szCs w:val="18"/>
              </w:rPr>
              <w:t>预估数量</w:t>
            </w:r>
          </w:p>
        </w:tc>
        <w:tc>
          <w:tcPr>
            <w:tcW w:w="2186" w:type="dxa"/>
          </w:tcPr>
          <w:p>
            <w:pPr>
              <w:spacing w:line="360" w:lineRule="auto"/>
              <w:rPr>
                <w:b/>
                <w:sz w:val="18"/>
                <w:szCs w:val="18"/>
              </w:rPr>
            </w:pPr>
            <w:r>
              <w:rPr>
                <w:rFonts w:hint="eastAsia"/>
                <w:b/>
                <w:sz w:val="18"/>
                <w:szCs w:val="18"/>
              </w:rPr>
              <w:t>起订量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0" w:type="dxa"/>
            <w:vAlign w:val="center"/>
          </w:tcPr>
          <w:p>
            <w:pPr>
              <w:rPr>
                <w:color w:val="000000"/>
                <w:sz w:val="18"/>
                <w:szCs w:val="18"/>
              </w:rPr>
            </w:pPr>
            <w:r>
              <w:rPr>
                <w:rFonts w:hint="eastAsia"/>
                <w:color w:val="000000"/>
                <w:sz w:val="18"/>
                <w:szCs w:val="18"/>
              </w:rPr>
              <w:t>1</w:t>
            </w:r>
          </w:p>
        </w:tc>
        <w:tc>
          <w:tcPr>
            <w:tcW w:w="802" w:type="dxa"/>
            <w:vAlign w:val="center"/>
          </w:tcPr>
          <w:p>
            <w:pPr>
              <w:rPr>
                <w:color w:val="000000"/>
                <w:sz w:val="18"/>
                <w:szCs w:val="18"/>
              </w:rPr>
            </w:pPr>
            <w:r>
              <w:rPr>
                <w:rFonts w:hint="eastAsia"/>
                <w:color w:val="000000"/>
                <w:sz w:val="18"/>
                <w:szCs w:val="18"/>
              </w:rPr>
              <w:t>风向袋</w:t>
            </w:r>
          </w:p>
        </w:tc>
        <w:tc>
          <w:tcPr>
            <w:tcW w:w="1944" w:type="dxa"/>
            <w:vAlign w:val="center"/>
          </w:tcPr>
          <w:p>
            <w:pPr>
              <w:rPr>
                <w:color w:val="000000"/>
                <w:sz w:val="18"/>
                <w:szCs w:val="18"/>
              </w:rPr>
            </w:pPr>
            <w:r>
              <w:rPr>
                <w:rFonts w:hint="eastAsia"/>
                <w:color w:val="000000"/>
                <w:sz w:val="18"/>
                <w:szCs w:val="18"/>
              </w:rPr>
              <w:t>进风口直径400mm；</w:t>
            </w:r>
          </w:p>
          <w:p>
            <w:pPr>
              <w:rPr>
                <w:color w:val="000000"/>
                <w:sz w:val="18"/>
                <w:szCs w:val="18"/>
              </w:rPr>
            </w:pPr>
            <w:r>
              <w:rPr>
                <w:rFonts w:hint="eastAsia"/>
                <w:color w:val="000000"/>
                <w:sz w:val="18"/>
                <w:szCs w:val="18"/>
              </w:rPr>
              <w:t>出风口直径200mm；</w:t>
            </w:r>
          </w:p>
          <w:p>
            <w:pPr>
              <w:rPr>
                <w:color w:val="000000"/>
                <w:sz w:val="18"/>
                <w:szCs w:val="18"/>
              </w:rPr>
            </w:pPr>
            <w:r>
              <w:rPr>
                <w:rFonts w:hint="eastAsia"/>
                <w:color w:val="000000"/>
                <w:sz w:val="18"/>
                <w:szCs w:val="18"/>
              </w:rPr>
              <w:t>长度1000mm。</w:t>
            </w:r>
          </w:p>
        </w:tc>
        <w:tc>
          <w:tcPr>
            <w:tcW w:w="2303" w:type="dxa"/>
            <w:vMerge w:val="restart"/>
            <w:vAlign w:val="center"/>
          </w:tcPr>
          <w:p>
            <w:pPr>
              <w:pStyle w:val="75"/>
              <w:ind w:left="270" w:hanging="270" w:hangingChars="150"/>
              <w:rPr>
                <w:color w:val="000000"/>
                <w:sz w:val="18"/>
                <w:szCs w:val="18"/>
                <w:lang w:eastAsia="zh-CN"/>
              </w:rPr>
            </w:pPr>
            <w:r>
              <w:rPr>
                <w:rFonts w:hint="eastAsia"/>
                <w:color w:val="000000"/>
                <w:sz w:val="18"/>
                <w:szCs w:val="18"/>
                <w:lang w:eastAsia="zh-CN"/>
              </w:rPr>
              <w:t>1、与现场风向标能配套使用，颜色为橙红色；</w:t>
            </w:r>
          </w:p>
          <w:p>
            <w:pPr>
              <w:pStyle w:val="75"/>
              <w:ind w:left="270" w:hanging="270" w:hangingChars="150"/>
              <w:rPr>
                <w:color w:val="000000"/>
                <w:sz w:val="18"/>
                <w:szCs w:val="18"/>
                <w:lang w:eastAsia="zh-CN"/>
              </w:rPr>
            </w:pPr>
            <w:r>
              <w:rPr>
                <w:rFonts w:hint="eastAsia"/>
                <w:color w:val="000000"/>
                <w:sz w:val="18"/>
                <w:szCs w:val="18"/>
                <w:lang w:eastAsia="zh-CN"/>
              </w:rPr>
              <w:t>2、布袋有3条荧光条，进风口钻6个孔，样式详见下图；</w:t>
            </w:r>
          </w:p>
          <w:p>
            <w:pPr>
              <w:pStyle w:val="75"/>
              <w:ind w:left="270" w:hanging="270" w:hangingChars="150"/>
              <w:rPr>
                <w:color w:val="000000"/>
                <w:sz w:val="18"/>
                <w:szCs w:val="18"/>
                <w:lang w:eastAsia="zh-CN"/>
              </w:rPr>
            </w:pPr>
            <w:r>
              <w:rPr>
                <w:rFonts w:hint="eastAsia"/>
                <w:color w:val="000000"/>
                <w:sz w:val="18"/>
                <w:szCs w:val="18"/>
                <w:lang w:eastAsia="zh-CN"/>
              </w:rPr>
              <w:t>3、能够防水防污；</w:t>
            </w:r>
          </w:p>
          <w:p>
            <w:pPr>
              <w:pStyle w:val="75"/>
              <w:ind w:left="270" w:hanging="270" w:hangingChars="150"/>
              <w:rPr>
                <w:color w:val="000000"/>
                <w:sz w:val="18"/>
                <w:szCs w:val="18"/>
                <w:lang w:eastAsia="zh-CN"/>
              </w:rPr>
            </w:pPr>
            <w:r>
              <w:rPr>
                <w:rFonts w:hint="eastAsia"/>
                <w:color w:val="000000"/>
                <w:sz w:val="18"/>
                <w:szCs w:val="18"/>
                <w:lang w:eastAsia="zh-CN"/>
              </w:rPr>
              <w:t>4、布料经久耐用；</w:t>
            </w:r>
          </w:p>
          <w:p>
            <w:pPr>
              <w:pStyle w:val="75"/>
              <w:ind w:left="270" w:hanging="270" w:hangingChars="150"/>
              <w:rPr>
                <w:color w:val="000000"/>
                <w:sz w:val="18"/>
                <w:szCs w:val="18"/>
              </w:rPr>
            </w:pPr>
            <w:r>
              <w:rPr>
                <w:rFonts w:hint="eastAsia"/>
                <w:color w:val="000000"/>
                <w:sz w:val="18"/>
                <w:szCs w:val="18"/>
              </w:rPr>
              <w:t>5、需送样品确认。</w:t>
            </w:r>
          </w:p>
        </w:tc>
        <w:tc>
          <w:tcPr>
            <w:tcW w:w="2130" w:type="dxa"/>
            <w:vAlign w:val="center"/>
          </w:tcPr>
          <w:p>
            <w:pPr>
              <w:pStyle w:val="75"/>
              <w:ind w:left="270" w:hanging="270" w:hangingChars="150"/>
              <w:rPr>
                <w:color w:val="000000"/>
                <w:sz w:val="18"/>
                <w:szCs w:val="18"/>
                <w:lang w:eastAsia="zh-CN"/>
              </w:rPr>
            </w:pPr>
            <w:r>
              <w:rPr>
                <w:rFonts w:hint="eastAsia"/>
                <w:color w:val="000000"/>
                <w:sz w:val="18"/>
                <w:szCs w:val="18"/>
              </w:rPr>
              <w:t>800</w:t>
            </w:r>
            <w:r>
              <w:rPr>
                <w:rFonts w:hint="eastAsia"/>
                <w:color w:val="000000"/>
                <w:sz w:val="18"/>
                <w:szCs w:val="18"/>
                <w:lang w:eastAsia="zh-CN"/>
              </w:rPr>
              <w:t>（个）</w:t>
            </w:r>
          </w:p>
        </w:tc>
        <w:tc>
          <w:tcPr>
            <w:tcW w:w="2186" w:type="dxa"/>
            <w:vAlign w:val="center"/>
          </w:tcPr>
          <w:p>
            <w:pPr>
              <w:pStyle w:val="75"/>
              <w:ind w:left="270" w:hanging="270" w:hangingChars="150"/>
              <w:rPr>
                <w:color w:val="000000"/>
                <w:sz w:val="18"/>
                <w:szCs w:val="18"/>
                <w:lang w:eastAsia="zh-CN"/>
              </w:rPr>
            </w:pPr>
            <w:r>
              <w:rPr>
                <w:rFonts w:hint="eastAsia"/>
                <w:color w:val="000000"/>
                <w:sz w:val="18"/>
                <w:szCs w:val="18"/>
              </w:rPr>
              <w:t>200</w:t>
            </w:r>
            <w:r>
              <w:rPr>
                <w:rFonts w:hint="eastAsia"/>
                <w:color w:val="000000"/>
                <w:sz w:val="18"/>
                <w:szCs w:val="18"/>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0" w:type="dxa"/>
            <w:vAlign w:val="center"/>
          </w:tcPr>
          <w:p>
            <w:pPr>
              <w:rPr>
                <w:color w:val="000000"/>
                <w:sz w:val="18"/>
                <w:szCs w:val="18"/>
              </w:rPr>
            </w:pPr>
            <w:r>
              <w:rPr>
                <w:rFonts w:hint="eastAsia"/>
                <w:color w:val="000000"/>
                <w:sz w:val="18"/>
                <w:szCs w:val="18"/>
              </w:rPr>
              <w:t>2</w:t>
            </w:r>
          </w:p>
        </w:tc>
        <w:tc>
          <w:tcPr>
            <w:tcW w:w="802" w:type="dxa"/>
            <w:vAlign w:val="center"/>
          </w:tcPr>
          <w:p>
            <w:pPr>
              <w:rPr>
                <w:color w:val="000000"/>
                <w:sz w:val="18"/>
                <w:szCs w:val="18"/>
              </w:rPr>
            </w:pPr>
            <w:r>
              <w:rPr>
                <w:rFonts w:hint="eastAsia"/>
                <w:color w:val="000000"/>
                <w:sz w:val="18"/>
                <w:szCs w:val="18"/>
              </w:rPr>
              <w:t>风向袋（带挂钩）</w:t>
            </w:r>
          </w:p>
        </w:tc>
        <w:tc>
          <w:tcPr>
            <w:tcW w:w="1944" w:type="dxa"/>
            <w:vAlign w:val="center"/>
          </w:tcPr>
          <w:p>
            <w:pPr>
              <w:rPr>
                <w:color w:val="000000"/>
                <w:sz w:val="18"/>
                <w:szCs w:val="18"/>
                <w:lang w:eastAsia="zh-CN"/>
              </w:rPr>
            </w:pPr>
            <w:r>
              <w:rPr>
                <w:rFonts w:hint="eastAsia"/>
                <w:color w:val="000000"/>
                <w:sz w:val="18"/>
                <w:szCs w:val="18"/>
                <w:lang w:eastAsia="zh-CN"/>
              </w:rPr>
              <w:t>进风口直径400mm；出风口直径200mm；</w:t>
            </w:r>
          </w:p>
          <w:p>
            <w:pPr>
              <w:rPr>
                <w:color w:val="000000"/>
                <w:sz w:val="18"/>
                <w:szCs w:val="18"/>
              </w:rPr>
            </w:pPr>
            <w:r>
              <w:rPr>
                <w:rFonts w:hint="eastAsia"/>
                <w:color w:val="000000"/>
                <w:sz w:val="18"/>
                <w:szCs w:val="18"/>
              </w:rPr>
              <w:t>长度1000mm。</w:t>
            </w:r>
          </w:p>
        </w:tc>
        <w:tc>
          <w:tcPr>
            <w:tcW w:w="2303" w:type="dxa"/>
            <w:vMerge w:val="continue"/>
            <w:vAlign w:val="center"/>
          </w:tcPr>
          <w:p>
            <w:pPr>
              <w:pStyle w:val="75"/>
              <w:ind w:left="270" w:hanging="270" w:hangingChars="150"/>
              <w:rPr>
                <w:color w:val="000000"/>
                <w:sz w:val="18"/>
                <w:szCs w:val="18"/>
              </w:rPr>
            </w:pPr>
          </w:p>
        </w:tc>
        <w:tc>
          <w:tcPr>
            <w:tcW w:w="2130" w:type="dxa"/>
            <w:vAlign w:val="center"/>
          </w:tcPr>
          <w:p>
            <w:pPr>
              <w:pStyle w:val="75"/>
              <w:ind w:left="270" w:hanging="270" w:hangingChars="150"/>
              <w:rPr>
                <w:color w:val="000000"/>
                <w:sz w:val="18"/>
                <w:szCs w:val="18"/>
                <w:lang w:eastAsia="zh-CN"/>
              </w:rPr>
            </w:pPr>
            <w:r>
              <w:rPr>
                <w:rFonts w:hint="eastAsia"/>
                <w:color w:val="000000"/>
                <w:sz w:val="18"/>
                <w:szCs w:val="18"/>
              </w:rPr>
              <w:t>300</w:t>
            </w:r>
            <w:r>
              <w:rPr>
                <w:rFonts w:hint="eastAsia"/>
                <w:color w:val="000000"/>
                <w:sz w:val="18"/>
                <w:szCs w:val="18"/>
                <w:lang w:eastAsia="zh-CN"/>
              </w:rPr>
              <w:t>（个）</w:t>
            </w:r>
          </w:p>
        </w:tc>
        <w:tc>
          <w:tcPr>
            <w:tcW w:w="2186" w:type="dxa"/>
            <w:vAlign w:val="center"/>
          </w:tcPr>
          <w:p>
            <w:pPr>
              <w:pStyle w:val="75"/>
              <w:ind w:left="270" w:hanging="270" w:hangingChars="150"/>
              <w:rPr>
                <w:color w:val="000000"/>
                <w:sz w:val="18"/>
                <w:szCs w:val="18"/>
                <w:lang w:eastAsia="zh-CN"/>
              </w:rPr>
            </w:pPr>
            <w:r>
              <w:rPr>
                <w:rFonts w:hint="eastAsia"/>
                <w:color w:val="000000"/>
                <w:sz w:val="18"/>
                <w:szCs w:val="18"/>
              </w:rPr>
              <w:t>100</w:t>
            </w:r>
            <w:r>
              <w:rPr>
                <w:rFonts w:hint="eastAsia"/>
                <w:color w:val="000000"/>
                <w:sz w:val="18"/>
                <w:szCs w:val="18"/>
                <w:lang w:eastAsia="zh-CN"/>
              </w:rPr>
              <w:t>（个）</w:t>
            </w:r>
          </w:p>
        </w:tc>
      </w:tr>
    </w:tbl>
    <w:p>
      <w:pPr>
        <w:pStyle w:val="75"/>
        <w:spacing w:beforeLines="100" w:line="360" w:lineRule="auto"/>
        <w:ind w:left="420"/>
        <w:jc w:val="center"/>
        <w:rPr>
          <w:b/>
        </w:rPr>
      </w:pPr>
      <w:r>
        <w:rPr>
          <w:b/>
          <w:lang w:eastAsia="zh-CN"/>
        </w:rPr>
        <w:drawing>
          <wp:inline distT="0" distB="0" distL="0" distR="0">
            <wp:extent cx="4772025" cy="3571875"/>
            <wp:effectExtent l="19050" t="0" r="9525" b="0"/>
            <wp:docPr id="1" name="图片 1" descr="IMG_20161111_09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161111_092804"/>
                    <pic:cNvPicPr>
                      <a:picLocks noChangeAspect="1" noChangeArrowheads="1"/>
                    </pic:cNvPicPr>
                  </pic:nvPicPr>
                  <pic:blipFill>
                    <a:blip r:embed="rId8" cstate="print"/>
                    <a:srcRect/>
                    <a:stretch>
                      <a:fillRect/>
                    </a:stretch>
                  </pic:blipFill>
                  <pic:spPr>
                    <a:xfrm>
                      <a:off x="0" y="0"/>
                      <a:ext cx="4772025" cy="3571875"/>
                    </a:xfrm>
                    <a:prstGeom prst="rect">
                      <a:avLst/>
                    </a:prstGeom>
                    <a:noFill/>
                    <a:ln w="9525">
                      <a:noFill/>
                      <a:miter lim="800000"/>
                      <a:headEnd/>
                      <a:tailEnd/>
                    </a:ln>
                  </pic:spPr>
                </pic:pic>
              </a:graphicData>
            </a:graphic>
          </wp:inline>
        </w:drawing>
      </w:r>
    </w:p>
    <w:p>
      <w:pPr>
        <w:pStyle w:val="75"/>
        <w:spacing w:beforeLines="100" w:line="360" w:lineRule="auto"/>
        <w:ind w:left="420"/>
        <w:jc w:val="center"/>
        <w:rPr>
          <w:b/>
          <w:lang w:eastAsia="zh-CN"/>
        </w:rPr>
      </w:pPr>
      <w:r>
        <w:rPr>
          <w:rFonts w:hint="eastAsia"/>
          <w:b/>
          <w:lang w:eastAsia="zh-CN"/>
        </w:rPr>
        <w:t>序号1</w:t>
      </w:r>
    </w:p>
    <w:p>
      <w:pPr>
        <w:pStyle w:val="75"/>
        <w:ind w:firstLine="0"/>
        <w:jc w:val="center"/>
        <w:rPr>
          <w:b/>
          <w:lang w:eastAsia="zh-CN"/>
        </w:rPr>
      </w:pPr>
      <w:r>
        <w:rPr>
          <w:b/>
          <w:lang w:eastAsia="zh-CN"/>
        </w:rPr>
        <w:drawing>
          <wp:inline distT="0" distB="0" distL="0" distR="0">
            <wp:extent cx="1754505" cy="3599815"/>
            <wp:effectExtent l="933450" t="0" r="931084" b="0"/>
            <wp:docPr id="4" name="图片 4" descr="C:\Users\xlhuang\AppData\Local\Temp\WeChat Files\76a7632db78cb28528ff104c4573d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xlhuang\AppData\Local\Temp\WeChat Files\76a7632db78cb28528ff104c4573db5.jpg"/>
                    <pic:cNvPicPr>
                      <a:picLocks noChangeAspect="1" noChangeArrowheads="1"/>
                    </pic:cNvPicPr>
                  </pic:nvPicPr>
                  <pic:blipFill>
                    <a:blip r:embed="rId9" cstate="print"/>
                    <a:srcRect/>
                    <a:stretch>
                      <a:fillRect/>
                    </a:stretch>
                  </pic:blipFill>
                  <pic:spPr>
                    <a:xfrm rot="16200000">
                      <a:off x="0" y="0"/>
                      <a:ext cx="1754966" cy="3600000"/>
                    </a:xfrm>
                    <a:prstGeom prst="rect">
                      <a:avLst/>
                    </a:prstGeom>
                    <a:noFill/>
                    <a:ln w="9525">
                      <a:noFill/>
                      <a:miter lim="800000"/>
                      <a:headEnd/>
                      <a:tailEnd/>
                    </a:ln>
                  </pic:spPr>
                </pic:pic>
              </a:graphicData>
            </a:graphic>
          </wp:inline>
        </w:drawing>
      </w:r>
      <w:r>
        <w:rPr>
          <w:rFonts w:hint="eastAsia"/>
          <w:b/>
          <w:lang w:eastAsia="zh-CN"/>
        </w:rPr>
        <w:t>序号2</w:t>
      </w:r>
    </w:p>
    <w:p>
      <w:pPr>
        <w:spacing w:afterLines="50" w:line="360" w:lineRule="auto"/>
        <w:rPr>
          <w:b/>
          <w:sz w:val="24"/>
          <w:lang w:eastAsia="zh-CN"/>
        </w:rPr>
      </w:pPr>
      <w:r>
        <w:rPr>
          <w:rFonts w:hint="eastAsia"/>
          <w:b/>
          <w:sz w:val="24"/>
          <w:lang w:eastAsia="zh-CN"/>
        </w:rPr>
        <w:t>三、承包商资质要求：</w:t>
      </w:r>
    </w:p>
    <w:p>
      <w:pPr>
        <w:pStyle w:val="75"/>
        <w:spacing w:line="360" w:lineRule="auto"/>
        <w:rPr>
          <w:lang w:eastAsia="zh-CN"/>
        </w:rPr>
      </w:pPr>
      <w:r>
        <w:rPr>
          <w:rFonts w:hint="eastAsia"/>
          <w:lang w:eastAsia="zh-CN"/>
        </w:rPr>
        <w:t>1、具有独立的法人资格，具有较好的商业信誉。</w:t>
      </w:r>
    </w:p>
    <w:p>
      <w:pPr>
        <w:pStyle w:val="75"/>
        <w:spacing w:line="360" w:lineRule="auto"/>
        <w:rPr>
          <w:lang w:eastAsia="zh-CN"/>
        </w:rPr>
      </w:pPr>
      <w:r>
        <w:rPr>
          <w:rFonts w:hint="eastAsia"/>
          <w:lang w:eastAsia="zh-CN"/>
        </w:rPr>
        <w:t>2、具备风向袋制作相关资质，应具有承担类似项目的经历，并具有实施本工程的能力。</w:t>
      </w:r>
    </w:p>
    <w:p>
      <w:pPr>
        <w:spacing w:afterLines="50" w:line="360" w:lineRule="auto"/>
        <w:rPr>
          <w:b/>
          <w:sz w:val="24"/>
          <w:lang w:eastAsia="zh-CN"/>
        </w:rPr>
      </w:pPr>
      <w:r>
        <w:rPr>
          <w:rFonts w:hint="eastAsia"/>
          <w:b/>
          <w:sz w:val="24"/>
          <w:lang w:eastAsia="zh-CN"/>
        </w:rPr>
        <w:t>四、承包商应遵守相关法律、法规、标准要求</w:t>
      </w:r>
    </w:p>
    <w:p>
      <w:pPr>
        <w:pStyle w:val="75"/>
        <w:spacing w:line="360" w:lineRule="auto"/>
        <w:rPr>
          <w:szCs w:val="21"/>
          <w:lang w:eastAsia="zh-CN"/>
        </w:rPr>
      </w:pPr>
      <w:r>
        <w:rPr>
          <w:rFonts w:hint="eastAsia"/>
          <w:szCs w:val="21"/>
          <w:lang w:eastAsia="zh-CN"/>
        </w:rPr>
        <w:t>风向袋必须遵守《安全色》（GB2893-2008</w:t>
      </w:r>
      <w:r>
        <w:rPr>
          <w:szCs w:val="21"/>
          <w:lang w:eastAsia="zh-CN"/>
        </w:rPr>
        <w:t>）</w:t>
      </w:r>
      <w:r>
        <w:rPr>
          <w:rFonts w:hint="eastAsia"/>
          <w:szCs w:val="21"/>
          <w:lang w:eastAsia="zh-CN"/>
        </w:rPr>
        <w:t>等标准和规范要求。</w:t>
      </w:r>
    </w:p>
    <w:p>
      <w:pPr>
        <w:spacing w:line="360" w:lineRule="auto"/>
        <w:rPr>
          <w:rFonts w:asciiTheme="minorEastAsia" w:hAnsiTheme="minorEastAsia"/>
          <w:b/>
          <w:color w:val="000000"/>
          <w:sz w:val="24"/>
          <w:shd w:val="clear" w:color="auto" w:fill="FFFFFF"/>
          <w:lang w:eastAsia="zh-CN"/>
        </w:rPr>
      </w:pPr>
      <w:r>
        <w:rPr>
          <w:rFonts w:hint="eastAsia"/>
          <w:b/>
          <w:sz w:val="24"/>
          <w:lang w:eastAsia="zh-CN"/>
        </w:rPr>
        <w:t>五、</w:t>
      </w:r>
      <w:r>
        <w:rPr>
          <w:rFonts w:hint="eastAsia" w:asciiTheme="minorEastAsia" w:hAnsiTheme="minorEastAsia"/>
          <w:b/>
          <w:color w:val="000000"/>
          <w:sz w:val="24"/>
          <w:shd w:val="clear" w:color="auto" w:fill="FFFFFF"/>
          <w:lang w:eastAsia="zh-CN"/>
        </w:rPr>
        <w:t>评标方式：</w:t>
      </w:r>
    </w:p>
    <w:p>
      <w:pPr>
        <w:spacing w:line="360" w:lineRule="auto"/>
        <w:rPr>
          <w:rFonts w:asciiTheme="minorEastAsia" w:hAnsiTheme="minorEastAsia"/>
          <w:color w:val="000000"/>
          <w:sz w:val="24"/>
          <w:shd w:val="clear" w:color="auto" w:fill="FFFFFF"/>
          <w:lang w:eastAsia="zh-CN"/>
        </w:rPr>
      </w:pPr>
      <w:r>
        <w:rPr>
          <w:rFonts w:hint="eastAsia" w:asciiTheme="minorEastAsia" w:hAnsiTheme="minorEastAsia"/>
          <w:color w:val="000000"/>
          <w:sz w:val="24"/>
          <w:shd w:val="clear" w:color="auto" w:fill="FFFFFF"/>
          <w:lang w:eastAsia="zh-CN"/>
        </w:rPr>
        <w:t>技术标：技术与商务按6:4评标。</w:t>
      </w:r>
    </w:p>
    <w:p>
      <w:pPr>
        <w:pStyle w:val="75"/>
        <w:spacing w:line="360" w:lineRule="auto"/>
        <w:rPr>
          <w:lang w:eastAsia="zh-CN"/>
        </w:rPr>
      </w:pPr>
      <w:r>
        <w:rPr>
          <w:rFonts w:hint="eastAsia"/>
          <w:szCs w:val="21"/>
          <w:lang w:eastAsia="zh-CN"/>
        </w:rPr>
        <w:t xml:space="preserve">                                                               </w:t>
      </w:r>
      <w:r>
        <w:rPr>
          <w:rFonts w:hint="eastAsia" w:asciiTheme="minorEastAsia" w:hAnsiTheme="minorEastAsia"/>
          <w:color w:val="000000"/>
          <w:sz w:val="24"/>
          <w:szCs w:val="24"/>
          <w:shd w:val="clear" w:color="auto" w:fill="FFFFFF"/>
          <w:lang w:eastAsia="zh-CN"/>
        </w:rPr>
        <w:t xml:space="preserve">  </w:t>
      </w:r>
    </w:p>
    <w:p>
      <w:pPr>
        <w:pStyle w:val="2"/>
      </w:pPr>
    </w:p>
    <w:p>
      <w:pPr>
        <w:pStyle w:val="2"/>
      </w:pPr>
    </w:p>
    <w:p>
      <w:pPr>
        <w:rPr>
          <w:lang w:eastAsia="zh-CN"/>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6"/>
      <w:tblpPr w:leftFromText="187" w:rightFromText="187" w:vertAnchor="text" w:tblpY="1"/>
      <w:tblW w:w="5000" w:type="pct"/>
      <w:tblInd w:w="0" w:type="dxa"/>
      <w:tblLayout w:type="autofit"/>
      <w:tblCellMar>
        <w:top w:w="0" w:type="dxa"/>
        <w:left w:w="108" w:type="dxa"/>
        <w:bottom w:w="0" w:type="dxa"/>
        <w:right w:w="108" w:type="dxa"/>
      </w:tblCellMar>
    </w:tblPr>
    <w:tblGrid>
      <w:gridCol w:w="4097"/>
      <w:gridCol w:w="911"/>
      <w:gridCol w:w="4098"/>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31"/>
            <w:rPr>
              <w:rFonts w:asciiTheme="majorHAnsi" w:hAnsiTheme="majorHAnsi" w:eastAsiaTheme="majorEastAsia" w:cstheme="majorBidi"/>
              <w:b/>
              <w:bCs/>
            </w:rPr>
          </w:pPr>
        </w:p>
      </w:tc>
      <w:tc>
        <w:tcPr>
          <w:tcW w:w="500" w:type="pct"/>
          <w:vMerge w:val="restart"/>
          <w:noWrap/>
          <w:vAlign w:val="center"/>
        </w:tcPr>
        <w:p>
          <w:pPr>
            <w:pStyle w:val="85"/>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1</w:t>
          </w:r>
          <w:r>
            <w:fldChar w:fldCharType="end"/>
          </w:r>
        </w:p>
      </w:tc>
      <w:tc>
        <w:tcPr>
          <w:tcW w:w="2250" w:type="pct"/>
          <w:tcBorders>
            <w:bottom w:val="single" w:color="4F81BD" w:themeColor="accent1" w:sz="4" w:space="0"/>
          </w:tcBorders>
        </w:tcPr>
        <w:p>
          <w:pPr>
            <w:pStyle w:val="31"/>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pPr>
            <w:pStyle w:val="31"/>
            <w:rPr>
              <w:rFonts w:asciiTheme="majorHAnsi" w:hAnsiTheme="majorHAnsi" w:eastAsiaTheme="majorEastAsia" w:cstheme="majorBidi"/>
              <w:b/>
              <w:bCs/>
            </w:rPr>
          </w:pPr>
        </w:p>
      </w:tc>
      <w:tc>
        <w:tcPr>
          <w:tcW w:w="500" w:type="pct"/>
          <w:vMerge w:val="continue"/>
        </w:tcPr>
        <w:p>
          <w:pPr>
            <w:pStyle w:val="31"/>
            <w:jc w:val="center"/>
            <w:rPr>
              <w:rFonts w:asciiTheme="majorHAnsi" w:hAnsiTheme="majorHAnsi" w:eastAsiaTheme="majorEastAsia" w:cstheme="majorBidi"/>
              <w:b/>
              <w:bCs/>
            </w:rPr>
          </w:pPr>
        </w:p>
      </w:tc>
      <w:tc>
        <w:tcPr>
          <w:tcW w:w="2250" w:type="pct"/>
          <w:tcBorders>
            <w:top w:val="single" w:color="4F81BD" w:themeColor="accent1" w:sz="4" w:space="0"/>
          </w:tcBorders>
        </w:tcPr>
        <w:p>
          <w:pPr>
            <w:pStyle w:val="31"/>
            <w:rPr>
              <w:rFonts w:asciiTheme="majorHAnsi" w:hAnsiTheme="majorHAnsi" w:eastAsiaTheme="majorEastAsia" w:cstheme="majorBidi"/>
              <w:b/>
              <w:bCs/>
            </w:rPr>
          </w:pPr>
        </w:p>
      </w:tc>
    </w:tr>
  </w:tbl>
  <w:p>
    <w:pPr>
      <w:pStyle w:val="2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50" o:spid="_x0000_s2050" o:spt="202" type="#_x0000_t202" style="position:absolute;left:0pt;margin-left:310.5pt;margin-top:803.4pt;height:12pt;width:3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49" o:spid="_x0000_s2049" o:spt="202" type="#_x0000_t202" style="position:absolute;left:0pt;margin-left:310.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6674E59"/>
    <w:multiLevelType w:val="multilevel"/>
    <w:tmpl w:val="06674E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6DB6C3D"/>
    <w:multiLevelType w:val="multilevel"/>
    <w:tmpl w:val="26DB6C3D"/>
    <w:lvl w:ilvl="0" w:tentative="0">
      <w:start w:val="1"/>
      <w:numFmt w:val="japaneseCounting"/>
      <w:lvlText w:val="%1、"/>
      <w:lvlJc w:val="left"/>
      <w:pPr>
        <w:ind w:left="450" w:hanging="45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5">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6">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8">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9">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8"/>
  </w:num>
  <w:num w:numId="2">
    <w:abstractNumId w:val="0"/>
  </w:num>
  <w:num w:numId="3">
    <w:abstractNumId w:val="4"/>
  </w:num>
  <w:num w:numId="4">
    <w:abstractNumId w:val="5"/>
  </w:num>
  <w:num w:numId="5">
    <w:abstractNumId w:val="6"/>
  </w:num>
  <w:num w:numId="6">
    <w:abstractNumId w:val="7"/>
  </w:num>
  <w:num w:numId="7">
    <w:abstractNumId w:val="2"/>
  </w:num>
  <w:num w:numId="8">
    <w:abstractNumId w:val="10"/>
  </w:num>
  <w:num w:numId="9">
    <w:abstractNumId w:val="9"/>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00AC5"/>
    <w:rsid w:val="00600AC5"/>
    <w:rsid w:val="00743EB3"/>
    <w:rsid w:val="00A035E7"/>
    <w:rsid w:val="00F13458"/>
    <w:rsid w:val="3D191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nhideWhenUsed="0" w:uiPriority="0" w:semiHidden="0" w:name="Closing"/>
    <w:lsdException w:uiPriority="99" w:name="Signature"/>
    <w:lsdException w:qFormat="1" w:uiPriority="1" w:name="Default Paragraph Font"/>
    <w:lsdException w:qFormat="1" w:unhideWhenUsed="0"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nhideWhenUsed="0" w:uiPriority="0" w:semiHidden="0" w:name="Message Header"/>
    <w:lsdException w:qFormat="1" w:unhideWhenUsed="0" w:uiPriority="11" w:semiHidden="0" w:name="Subtitle"/>
    <w:lsdException w:uiPriority="99" w:name="Salutation"/>
    <w:lsdException w:unhideWhenUsed="0" w:uiPriority="99"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240" w:lineRule="auto"/>
      <w:jc w:val="left"/>
    </w:pPr>
    <w:rPr>
      <w:rFonts w:ascii="宋体" w:hAnsi="宋体" w:eastAsia="宋体" w:cs="宋体"/>
      <w:kern w:val="0"/>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5"/>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6"/>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7"/>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10">
    <w:name w:val="Normal Indent"/>
    <w:basedOn w:val="1"/>
    <w:link w:val="68"/>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107"/>
    <w:qFormat/>
    <w:uiPriority w:val="0"/>
    <w:pPr>
      <w:shd w:val="clear" w:color="auto" w:fill="000080"/>
      <w:autoSpaceDE/>
      <w:autoSpaceDN/>
      <w:adjustRightInd w:val="0"/>
      <w:ind w:firstLine="425"/>
      <w:jc w:val="both"/>
      <w:textAlignment w:val="baseline"/>
    </w:pPr>
    <w:rPr>
      <w:rFonts w:hAnsiTheme="minorHAnsi" w:eastAsiaTheme="minorEastAsia" w:cstheme="minorBidi"/>
      <w:kern w:val="2"/>
      <w:sz w:val="28"/>
      <w:lang w:eastAsia="zh-CN"/>
    </w:rPr>
  </w:style>
  <w:style w:type="paragraph" w:styleId="17">
    <w:name w:val="annotation text"/>
    <w:basedOn w:val="1"/>
    <w:link w:val="87"/>
    <w:uiPriority w:val="0"/>
    <w:pPr>
      <w:autoSpaceDE/>
      <w:autoSpaceDN/>
    </w:pPr>
    <w:rPr>
      <w:rFonts w:asciiTheme="minorHAnsi" w:hAnsiTheme="minorHAnsi" w:eastAsiaTheme="minorEastAsia" w:cstheme="minorBidi"/>
      <w:kern w:val="2"/>
      <w:sz w:val="21"/>
      <w:lang w:eastAsia="zh-CN"/>
    </w:rPr>
  </w:style>
  <w:style w:type="paragraph" w:styleId="18">
    <w:name w:val="Body Text 3"/>
    <w:basedOn w:val="1"/>
    <w:link w:val="101"/>
    <w:uiPriority w:val="0"/>
    <w:pPr>
      <w:autoSpaceDE/>
      <w:autoSpaceDN/>
      <w:spacing w:line="360" w:lineRule="auto"/>
      <w:jc w:val="both"/>
    </w:pPr>
    <w:rPr>
      <w:rFonts w:asciiTheme="minorHAnsi" w:hAnsiTheme="minorHAnsi" w:eastAsiaTheme="minorEastAsia" w:cstheme="minorBidi"/>
      <w:color w:val="0000FF"/>
      <w:kern w:val="2"/>
      <w:sz w:val="24"/>
      <w:szCs w:val="24"/>
      <w:lang w:eastAsia="zh-CN"/>
    </w:rPr>
  </w:style>
  <w:style w:type="paragraph" w:styleId="19">
    <w:name w:val="Closing"/>
    <w:basedOn w:val="1"/>
    <w:link w:val="80"/>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70"/>
    <w:qFormat/>
    <w:uiPriority w:val="1"/>
    <w:rPr>
      <w:sz w:val="24"/>
      <w:szCs w:val="24"/>
    </w:rPr>
  </w:style>
  <w:style w:type="paragraph" w:styleId="21">
    <w:name w:val="Body Text Indent"/>
    <w:basedOn w:val="1"/>
    <w:link w:val="99"/>
    <w:uiPriority w:val="0"/>
    <w:pPr>
      <w:autoSpaceDE/>
      <w:autoSpaceDN/>
      <w:ind w:left="540" w:leftChars="257"/>
      <w:jc w:val="both"/>
    </w:pPr>
    <w:rPr>
      <w:rFonts w:asciiTheme="minorHAnsi" w:hAnsiTheme="minorHAnsi" w:eastAsiaTheme="minorEastAsia" w:cstheme="minorBidi"/>
      <w:i/>
      <w:iCs/>
      <w:kern w:val="2"/>
      <w:sz w:val="21"/>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1"/>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109"/>
    <w:uiPriority w:val="99"/>
    <w:pPr>
      <w:autoSpaceDE/>
      <w:autoSpaceDN/>
      <w:ind w:left="100" w:leftChars="2500"/>
      <w:jc w:val="both"/>
    </w:pPr>
    <w:rPr>
      <w:rFonts w:asciiTheme="minorHAnsi" w:hAnsiTheme="minorHAnsi" w:eastAsiaTheme="minorEastAsia" w:cstheme="minorBidi"/>
      <w:kern w:val="2"/>
      <w:sz w:val="21"/>
      <w:szCs w:val="24"/>
      <w:lang w:eastAsia="zh-CN"/>
    </w:rPr>
  </w:style>
  <w:style w:type="paragraph" w:styleId="28">
    <w:name w:val="Body Text Indent 2"/>
    <w:basedOn w:val="1"/>
    <w:link w:val="93"/>
    <w:uiPriority w:val="0"/>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29">
    <w:name w:val="Balloon Text"/>
    <w:basedOn w:val="1"/>
    <w:link w:val="89"/>
    <w:qFormat/>
    <w:uiPriority w:val="99"/>
    <w:pPr>
      <w:autoSpaceDE/>
      <w:autoSpaceDN/>
      <w:jc w:val="both"/>
    </w:pPr>
    <w:rPr>
      <w:rFonts w:asciiTheme="minorHAnsi" w:hAnsiTheme="minorHAnsi" w:eastAsiaTheme="minorEastAsia" w:cstheme="minorBidi"/>
      <w:kern w:val="2"/>
      <w:sz w:val="18"/>
      <w:szCs w:val="18"/>
      <w:lang w:eastAsia="zh-CN"/>
    </w:rPr>
  </w:style>
  <w:style w:type="paragraph" w:styleId="30">
    <w:name w:val="footer"/>
    <w:basedOn w:val="1"/>
    <w:link w:val="72"/>
    <w:qFormat/>
    <w:uiPriority w:val="99"/>
    <w:pPr>
      <w:tabs>
        <w:tab w:val="center" w:pos="4153"/>
        <w:tab w:val="right" w:pos="8306"/>
      </w:tabs>
      <w:snapToGrid w:val="0"/>
    </w:pPr>
    <w:rPr>
      <w:sz w:val="18"/>
      <w:szCs w:val="18"/>
    </w:rPr>
  </w:style>
  <w:style w:type="paragraph" w:styleId="31">
    <w:name w:val="header"/>
    <w:basedOn w:val="1"/>
    <w:link w:val="7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91"/>
    <w:uiPriority w:val="0"/>
    <w:pPr>
      <w:autoSpaceDE/>
      <w:autoSpaceDN/>
      <w:ind w:firstLine="560"/>
      <w:jc w:val="both"/>
    </w:pPr>
    <w:rPr>
      <w:rFonts w:asciiTheme="minorHAnsi" w:hAnsiTheme="minorHAnsi" w:eastAsiaTheme="minorEastAsia" w:cstheme="minorBidi"/>
      <w:kern w:val="2"/>
      <w:sz w:val="28"/>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111"/>
    <w:uiPriority w:val="0"/>
    <w:pPr>
      <w:autoSpaceDE/>
      <w:autoSpaceDN/>
      <w:spacing w:after="120" w:line="480" w:lineRule="auto"/>
      <w:jc w:val="both"/>
    </w:pPr>
    <w:rPr>
      <w:rFonts w:asciiTheme="minorHAnsi" w:hAnsiTheme="minorHAnsi" w:eastAsiaTheme="minorEastAsia" w:cstheme="minorBidi"/>
      <w:kern w:val="2"/>
      <w:sz w:val="21"/>
      <w:szCs w:val="24"/>
      <w:lang w:eastAsia="zh-CN"/>
    </w:rPr>
  </w:style>
  <w:style w:type="paragraph" w:styleId="39">
    <w:name w:val="Message Header"/>
    <w:basedOn w:val="1"/>
    <w:link w:val="118"/>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1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kern w:val="2"/>
      <w:sz w:val="21"/>
      <w:lang w:eastAsia="zh-CN"/>
    </w:rPr>
  </w:style>
  <w:style w:type="paragraph" w:styleId="41">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7"/>
    <w:qFormat/>
    <w:uiPriority w:val="0"/>
    <w:pPr>
      <w:autoSpaceDE/>
      <w:autoSpaceDN/>
      <w:adjustRightInd w:val="0"/>
      <w:spacing w:before="240" w:after="60" w:line="360" w:lineRule="atLeast"/>
      <w:jc w:val="center"/>
      <w:textAlignment w:val="baseline"/>
      <w:outlineLvl w:val="0"/>
    </w:pPr>
    <w:rPr>
      <w:rFonts w:ascii="Arial" w:hAnsi="Arial" w:cs="Arial" w:eastAsiaTheme="minorEastAsia"/>
      <w:b/>
      <w:bCs/>
      <w:kern w:val="2"/>
      <w:sz w:val="44"/>
      <w:szCs w:val="32"/>
      <w:lang w:eastAsia="zh-CN"/>
    </w:rPr>
  </w:style>
  <w:style w:type="paragraph" w:styleId="44">
    <w:name w:val="annotation subject"/>
    <w:basedOn w:val="17"/>
    <w:next w:val="17"/>
    <w:link w:val="115"/>
    <w:qFormat/>
    <w:uiPriority w:val="0"/>
    <w:pPr>
      <w:widowControl/>
    </w:pPr>
    <w:rPr>
      <w:b/>
      <w:bCs/>
      <w:sz w:val="24"/>
      <w:szCs w:val="24"/>
    </w:rPr>
  </w:style>
  <w:style w:type="paragraph" w:styleId="45">
    <w:name w:val="Body Text First Indent"/>
    <w:basedOn w:val="20"/>
    <w:link w:val="113"/>
    <w:uiPriority w:val="0"/>
    <w:pPr>
      <w:numPr>
        <w:ilvl w:val="0"/>
        <w:numId w:val="2"/>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table" w:styleId="47">
    <w:name w:val="Table Grid"/>
    <w:basedOn w:val="46"/>
    <w:qFormat/>
    <w:uiPriority w:val="59"/>
    <w:pPr>
      <w:spacing w:line="240" w:lineRule="auto"/>
      <w:jc w:val="lef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uiPriority w:val="0"/>
  </w:style>
  <w:style w:type="character" w:styleId="51">
    <w:name w:val="FollowedHyperlink"/>
    <w:basedOn w:val="48"/>
    <w:qFormat/>
    <w:uiPriority w:val="99"/>
    <w:rPr>
      <w:color w:val="800080"/>
      <w:u w:val="single"/>
    </w:rPr>
  </w:style>
  <w:style w:type="character" w:styleId="52">
    <w:name w:val="Emphasis"/>
    <w:basedOn w:val="48"/>
    <w:qFormat/>
    <w:uiPriority w:val="0"/>
  </w:style>
  <w:style w:type="character" w:styleId="53">
    <w:name w:val="HTML Definition"/>
    <w:basedOn w:val="48"/>
    <w:unhideWhenUsed/>
    <w:qFormat/>
    <w:uiPriority w:val="99"/>
  </w:style>
  <w:style w:type="character" w:styleId="54">
    <w:name w:val="HTML Variable"/>
    <w:basedOn w:val="48"/>
    <w:unhideWhenUsed/>
    <w:qFormat/>
    <w:uiPriority w:val="99"/>
  </w:style>
  <w:style w:type="character" w:styleId="55">
    <w:name w:val="Hyperlink"/>
    <w:basedOn w:val="48"/>
    <w:qFormat/>
    <w:uiPriority w:val="99"/>
    <w:rPr>
      <w:color w:val="0000FF" w:themeColor="hyperlink"/>
      <w:u w:val="single"/>
    </w:rPr>
  </w:style>
  <w:style w:type="character" w:styleId="56">
    <w:name w:val="HTML Code"/>
    <w:basedOn w:val="48"/>
    <w:unhideWhenUsed/>
    <w:qFormat/>
    <w:uiPriority w:val="99"/>
    <w:rPr>
      <w:rFonts w:ascii="微软雅黑" w:hAnsi="微软雅黑" w:eastAsia="微软雅黑" w:cs="微软雅黑"/>
      <w:sz w:val="20"/>
    </w:rPr>
  </w:style>
  <w:style w:type="character" w:styleId="57">
    <w:name w:val="annotation reference"/>
    <w:basedOn w:val="48"/>
    <w:uiPriority w:val="0"/>
    <w:rPr>
      <w:sz w:val="21"/>
      <w:szCs w:val="21"/>
    </w:rPr>
  </w:style>
  <w:style w:type="character" w:styleId="58">
    <w:name w:val="HTML Cite"/>
    <w:basedOn w:val="48"/>
    <w:unhideWhenUsed/>
    <w:qFormat/>
    <w:uiPriority w:val="99"/>
  </w:style>
  <w:style w:type="character" w:customStyle="1" w:styleId="59">
    <w:name w:val="标题 1 Char"/>
    <w:basedOn w:val="48"/>
    <w:link w:val="3"/>
    <w:qFormat/>
    <w:uiPriority w:val="0"/>
    <w:rPr>
      <w:rFonts w:ascii="宋体" w:hAnsi="宋体" w:eastAsia="宋体" w:cs="宋体"/>
      <w:b/>
      <w:bCs/>
      <w:kern w:val="0"/>
      <w:sz w:val="28"/>
      <w:szCs w:val="28"/>
      <w:lang w:eastAsia="en-US"/>
    </w:rPr>
  </w:style>
  <w:style w:type="character" w:customStyle="1" w:styleId="60">
    <w:name w:val="标题 2 Char"/>
    <w:basedOn w:val="48"/>
    <w:link w:val="4"/>
    <w:uiPriority w:val="0"/>
    <w:rPr>
      <w:rFonts w:ascii="宋体" w:hAnsi="宋体" w:eastAsia="宋体" w:cs="宋体"/>
      <w:b/>
      <w:bCs/>
      <w:kern w:val="0"/>
      <w:sz w:val="24"/>
      <w:szCs w:val="24"/>
      <w:lang w:eastAsia="en-US"/>
    </w:rPr>
  </w:style>
  <w:style w:type="character" w:customStyle="1" w:styleId="61">
    <w:name w:val="标题 3 Char"/>
    <w:basedOn w:val="48"/>
    <w:link w:val="5"/>
    <w:qFormat/>
    <w:uiPriority w:val="0"/>
    <w:rPr>
      <w:rFonts w:ascii="Times New Roman" w:hAnsi="Times New Roman" w:eastAsia="宋体" w:cs="Times New Roman"/>
      <w:b/>
      <w:bCs/>
      <w:sz w:val="32"/>
      <w:szCs w:val="32"/>
    </w:rPr>
  </w:style>
  <w:style w:type="character" w:customStyle="1" w:styleId="62">
    <w:name w:val="标题 4 Char"/>
    <w:basedOn w:val="48"/>
    <w:link w:val="6"/>
    <w:qFormat/>
    <w:uiPriority w:val="0"/>
    <w:rPr>
      <w:rFonts w:ascii="Times New Roman" w:hAnsi="Times New Roman" w:eastAsia="宋体" w:cs="Times New Roman"/>
      <w:b/>
      <w:sz w:val="24"/>
      <w:szCs w:val="24"/>
    </w:rPr>
  </w:style>
  <w:style w:type="character" w:customStyle="1" w:styleId="63">
    <w:name w:val="标题 5 Char"/>
    <w:basedOn w:val="48"/>
    <w:link w:val="7"/>
    <w:uiPriority w:val="0"/>
    <w:rPr>
      <w:rFonts w:ascii="Times New Roman" w:hAnsi="Times New Roman" w:eastAsia="宋体" w:cs="Times New Roman"/>
      <w:b/>
      <w:bCs/>
      <w:sz w:val="28"/>
      <w:szCs w:val="28"/>
    </w:rPr>
  </w:style>
  <w:style w:type="character" w:customStyle="1" w:styleId="64">
    <w:name w:val="标题 6 Char"/>
    <w:basedOn w:val="48"/>
    <w:link w:val="8"/>
    <w:qFormat/>
    <w:uiPriority w:val="0"/>
    <w:rPr>
      <w:rFonts w:ascii="Times New Roman" w:hAnsi="Times New Roman" w:eastAsia="宋体" w:cs="Times New Roman"/>
      <w:b/>
      <w:kern w:val="0"/>
      <w:sz w:val="24"/>
      <w:szCs w:val="20"/>
    </w:rPr>
  </w:style>
  <w:style w:type="character" w:customStyle="1" w:styleId="65">
    <w:name w:val="标题 7 Char"/>
    <w:basedOn w:val="48"/>
    <w:link w:val="9"/>
    <w:uiPriority w:val="0"/>
    <w:rPr>
      <w:rFonts w:ascii="Times New Roman" w:hAnsi="Times New Roman" w:eastAsia="宋体" w:cs="Times New Roman"/>
      <w:b/>
      <w:sz w:val="24"/>
      <w:szCs w:val="20"/>
    </w:rPr>
  </w:style>
  <w:style w:type="character" w:customStyle="1" w:styleId="66">
    <w:name w:val="标题 8 Char"/>
    <w:basedOn w:val="48"/>
    <w:link w:val="11"/>
    <w:uiPriority w:val="0"/>
    <w:rPr>
      <w:rFonts w:ascii="Arial" w:hAnsi="Arial" w:eastAsia="黑体" w:cs="Times New Roman"/>
      <w:sz w:val="24"/>
      <w:szCs w:val="20"/>
    </w:rPr>
  </w:style>
  <w:style w:type="character" w:customStyle="1" w:styleId="67">
    <w:name w:val="标题 9 Char"/>
    <w:basedOn w:val="48"/>
    <w:link w:val="12"/>
    <w:uiPriority w:val="0"/>
    <w:rPr>
      <w:rFonts w:ascii="Arial" w:hAnsi="Arial" w:eastAsia="黑体" w:cs="Times New Roman"/>
      <w:szCs w:val="20"/>
    </w:rPr>
  </w:style>
  <w:style w:type="character" w:customStyle="1" w:styleId="68">
    <w:name w:val="正文缩进 Char"/>
    <w:basedOn w:val="48"/>
    <w:link w:val="10"/>
    <w:qFormat/>
    <w:uiPriority w:val="0"/>
    <w:rPr>
      <w:rFonts w:ascii="Times New Roman" w:hAnsi="Times New Roman" w:eastAsia="宋体" w:cs="Times New Roman"/>
      <w:kern w:val="0"/>
      <w:sz w:val="24"/>
      <w:szCs w:val="20"/>
    </w:rPr>
  </w:style>
  <w:style w:type="character" w:customStyle="1" w:styleId="69">
    <w:name w:val="正文文本 Char"/>
    <w:basedOn w:val="48"/>
    <w:link w:val="20"/>
    <w:uiPriority w:val="0"/>
    <w:rPr>
      <w:rFonts w:ascii="宋体" w:hAnsi="宋体" w:eastAsia="宋体" w:cs="宋体"/>
      <w:kern w:val="0"/>
      <w:sz w:val="22"/>
      <w:lang w:eastAsia="en-US"/>
    </w:rPr>
  </w:style>
  <w:style w:type="character" w:customStyle="1" w:styleId="70">
    <w:name w:val="正文文本 Char1"/>
    <w:basedOn w:val="48"/>
    <w:link w:val="20"/>
    <w:uiPriority w:val="1"/>
    <w:rPr>
      <w:rFonts w:ascii="宋体" w:hAnsi="宋体" w:eastAsia="宋体" w:cs="宋体"/>
      <w:kern w:val="0"/>
      <w:sz w:val="24"/>
      <w:szCs w:val="24"/>
      <w:lang w:eastAsia="en-US"/>
    </w:rPr>
  </w:style>
  <w:style w:type="character" w:customStyle="1" w:styleId="71">
    <w:name w:val="纯文本 Char"/>
    <w:basedOn w:val="48"/>
    <w:link w:val="25"/>
    <w:qFormat/>
    <w:uiPriority w:val="0"/>
    <w:rPr>
      <w:rFonts w:ascii="宋体" w:hAnsi="Courier New" w:eastAsia="宋体" w:cs="Courier New"/>
      <w:kern w:val="0"/>
      <w:sz w:val="22"/>
      <w:szCs w:val="21"/>
      <w:lang w:eastAsia="en-US"/>
    </w:rPr>
  </w:style>
  <w:style w:type="character" w:customStyle="1" w:styleId="72">
    <w:name w:val="页脚 Char"/>
    <w:basedOn w:val="48"/>
    <w:link w:val="30"/>
    <w:qFormat/>
    <w:uiPriority w:val="99"/>
    <w:rPr>
      <w:rFonts w:ascii="宋体" w:hAnsi="宋体" w:eastAsia="宋体" w:cs="宋体"/>
      <w:kern w:val="0"/>
      <w:sz w:val="18"/>
      <w:szCs w:val="18"/>
      <w:lang w:eastAsia="en-US"/>
    </w:rPr>
  </w:style>
  <w:style w:type="character" w:customStyle="1" w:styleId="73">
    <w:name w:val="页眉 Char"/>
    <w:basedOn w:val="48"/>
    <w:link w:val="31"/>
    <w:qFormat/>
    <w:uiPriority w:val="99"/>
    <w:rPr>
      <w:rFonts w:ascii="宋体" w:hAnsi="宋体" w:eastAsia="宋体" w:cs="宋体"/>
      <w:kern w:val="0"/>
      <w:sz w:val="18"/>
      <w:lang w:eastAsia="en-US"/>
    </w:rPr>
  </w:style>
  <w:style w:type="table" w:customStyle="1" w:styleId="74">
    <w:name w:val="Table Normal"/>
    <w:semiHidden/>
    <w:unhideWhenUsed/>
    <w:qFormat/>
    <w:uiPriority w:val="2"/>
    <w:pPr>
      <w:spacing w:line="240" w:lineRule="auto"/>
      <w:jc w:val="left"/>
    </w:pPr>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75">
    <w:name w:val="List Paragraph"/>
    <w:basedOn w:val="1"/>
    <w:link w:val="252"/>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spacing w:line="240" w:lineRule="auto"/>
      <w:jc w:val="left"/>
    </w:pPr>
    <w:rPr>
      <w:rFonts w:ascii="宋体" w:hAnsi="Times New Roman" w:eastAsia="宋体" w:cs="宋体"/>
      <w:color w:val="000000"/>
      <w:kern w:val="0"/>
      <w:sz w:val="24"/>
      <w:szCs w:val="24"/>
      <w:lang w:val="en-US" w:eastAsia="zh-CN" w:bidi="ar-SA"/>
    </w:rPr>
  </w:style>
  <w:style w:type="paragraph" w:customStyle="1" w:styleId="79">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spacing w:line="240" w:lineRule="auto"/>
      <w:jc w:val="left"/>
    </w:pPr>
    <w:rPr>
      <w:rFonts w:ascii="Arial" w:hAnsi="Arial" w:eastAsia="宋体" w:cs="Times New Roman"/>
      <w:kern w:val="0"/>
      <w:sz w:val="24"/>
      <w:szCs w:val="20"/>
      <w:lang w:val="en-US" w:eastAsia="en-US" w:bidi="ar-SA"/>
    </w:rPr>
  </w:style>
  <w:style w:type="character" w:customStyle="1" w:styleId="80">
    <w:name w:val="结束语 Char"/>
    <w:basedOn w:val="48"/>
    <w:link w:val="19"/>
    <w:uiPriority w:val="0"/>
    <w:rPr>
      <w:rFonts w:ascii="Times New Roman" w:hAnsi="Times New Roman" w:eastAsia="宋体" w:cs="Times New Roman"/>
      <w:b/>
      <w:szCs w:val="20"/>
    </w:rPr>
  </w:style>
  <w:style w:type="character" w:customStyle="1" w:styleId="81">
    <w:name w:val="普通(网站) Char"/>
    <w:basedOn w:val="48"/>
    <w:link w:val="41"/>
    <w:locked/>
    <w:uiPriority w:val="0"/>
    <w:rPr>
      <w:rFonts w:ascii="宋体" w:hAnsi="宋体" w:eastAsia="宋体" w:cs="宋体"/>
      <w:kern w:val="0"/>
      <w:sz w:val="24"/>
      <w:szCs w:val="24"/>
    </w:rPr>
  </w:style>
  <w:style w:type="character" w:customStyle="1" w:styleId="82">
    <w:name w:val="xdrichtextbox2"/>
    <w:basedOn w:val="48"/>
    <w:qFormat/>
    <w:uiPriority w:val="0"/>
    <w:rPr>
      <w:color w:val="0000FF"/>
      <w:sz w:val="18"/>
      <w:szCs w:val="18"/>
      <w:u w:val="none"/>
      <w:bdr w:val="single" w:color="DCDCDC" w:sz="8" w:space="0"/>
      <w:shd w:val="clear" w:color="auto" w:fill="FFFFFF"/>
    </w:rPr>
  </w:style>
  <w:style w:type="character" w:customStyle="1" w:styleId="83">
    <w:name w:val="apple-converted-space"/>
    <w:basedOn w:val="48"/>
    <w:qFormat/>
    <w:uiPriority w:val="0"/>
  </w:style>
  <w:style w:type="character" w:customStyle="1" w:styleId="84">
    <w:name w:val="无间隔 Char"/>
    <w:basedOn w:val="48"/>
    <w:link w:val="85"/>
    <w:uiPriority w:val="1"/>
    <w:rPr>
      <w:rFonts w:ascii="Calibri" w:hAnsi="Calibri"/>
      <w:sz w:val="22"/>
    </w:rPr>
  </w:style>
  <w:style w:type="paragraph" w:styleId="85">
    <w:name w:val="No Spacing"/>
    <w:link w:val="84"/>
    <w:qFormat/>
    <w:uiPriority w:val="1"/>
    <w:pPr>
      <w:spacing w:line="240" w:lineRule="auto"/>
      <w:jc w:val="left"/>
    </w:pPr>
    <w:rPr>
      <w:rFonts w:ascii="Calibri" w:hAnsi="Calibri" w:eastAsiaTheme="minorEastAsia" w:cstheme="minorBidi"/>
      <w:kern w:val="2"/>
      <w:sz w:val="22"/>
      <w:szCs w:val="22"/>
      <w:lang w:val="en-US" w:eastAsia="zh-CN" w:bidi="ar-SA"/>
    </w:rPr>
  </w:style>
  <w:style w:type="character" w:customStyle="1" w:styleId="86">
    <w:name w:val="批注文字 Char"/>
    <w:basedOn w:val="48"/>
    <w:link w:val="17"/>
    <w:uiPriority w:val="0"/>
  </w:style>
  <w:style w:type="character" w:customStyle="1" w:styleId="87">
    <w:name w:val="批注文字 Char1"/>
    <w:basedOn w:val="48"/>
    <w:link w:val="17"/>
    <w:uiPriority w:val="0"/>
    <w:rPr>
      <w:rFonts w:ascii="宋体" w:hAnsi="宋体" w:eastAsia="宋体" w:cs="宋体"/>
      <w:kern w:val="0"/>
      <w:sz w:val="22"/>
      <w:lang w:eastAsia="en-US"/>
    </w:rPr>
  </w:style>
  <w:style w:type="character" w:customStyle="1" w:styleId="88">
    <w:name w:val="批注框文本 Char"/>
    <w:basedOn w:val="48"/>
    <w:link w:val="29"/>
    <w:qFormat/>
    <w:uiPriority w:val="99"/>
    <w:rPr>
      <w:sz w:val="18"/>
      <w:szCs w:val="18"/>
    </w:rPr>
  </w:style>
  <w:style w:type="character" w:customStyle="1" w:styleId="89">
    <w:name w:val="批注框文本 Char1"/>
    <w:basedOn w:val="48"/>
    <w:link w:val="29"/>
    <w:uiPriority w:val="0"/>
    <w:rPr>
      <w:rFonts w:ascii="宋体" w:hAnsi="宋体" w:eastAsia="宋体" w:cs="宋体"/>
      <w:kern w:val="0"/>
      <w:sz w:val="18"/>
      <w:szCs w:val="18"/>
      <w:lang w:eastAsia="en-US"/>
    </w:rPr>
  </w:style>
  <w:style w:type="character" w:customStyle="1" w:styleId="90">
    <w:name w:val="正文文本缩进 3 Char"/>
    <w:basedOn w:val="48"/>
    <w:link w:val="35"/>
    <w:uiPriority w:val="0"/>
    <w:rPr>
      <w:sz w:val="28"/>
    </w:rPr>
  </w:style>
  <w:style w:type="character" w:customStyle="1" w:styleId="91">
    <w:name w:val="正文文本缩进 3 Char1"/>
    <w:basedOn w:val="48"/>
    <w:link w:val="35"/>
    <w:uiPriority w:val="0"/>
    <w:rPr>
      <w:rFonts w:ascii="宋体" w:hAnsi="宋体" w:eastAsia="宋体" w:cs="宋体"/>
      <w:kern w:val="0"/>
      <w:sz w:val="16"/>
      <w:szCs w:val="16"/>
      <w:lang w:eastAsia="en-US"/>
    </w:rPr>
  </w:style>
  <w:style w:type="character" w:customStyle="1" w:styleId="92">
    <w:name w:val="正文文本缩进 2 Char"/>
    <w:basedOn w:val="48"/>
    <w:link w:val="28"/>
    <w:uiPriority w:val="0"/>
    <w:rPr>
      <w:rFonts w:ascii="宋体" w:hAnsi="宋体"/>
      <w:iCs/>
      <w:sz w:val="24"/>
      <w:szCs w:val="24"/>
    </w:rPr>
  </w:style>
  <w:style w:type="character" w:customStyle="1" w:styleId="93">
    <w:name w:val="正文文本缩进 2 Char1"/>
    <w:basedOn w:val="48"/>
    <w:link w:val="28"/>
    <w:uiPriority w:val="0"/>
    <w:rPr>
      <w:rFonts w:ascii="宋体" w:hAnsi="宋体" w:eastAsia="宋体" w:cs="宋体"/>
      <w:kern w:val="0"/>
      <w:sz w:val="22"/>
      <w:lang w:eastAsia="en-US"/>
    </w:rPr>
  </w:style>
  <w:style w:type="character" w:customStyle="1" w:styleId="94">
    <w:name w:val="en1"/>
    <w:basedOn w:val="48"/>
    <w:uiPriority w:val="0"/>
    <w:rPr>
      <w:b/>
      <w:bCs/>
      <w:color w:val="154C7F"/>
      <w:sz w:val="24"/>
      <w:szCs w:val="24"/>
    </w:rPr>
  </w:style>
  <w:style w:type="character" w:customStyle="1" w:styleId="95">
    <w:name w:val="font01"/>
    <w:basedOn w:val="48"/>
    <w:uiPriority w:val="0"/>
    <w:rPr>
      <w:rFonts w:hint="eastAsia" w:ascii="宋体" w:hAnsi="宋体" w:eastAsia="宋体" w:cs="宋体"/>
      <w:color w:val="000000"/>
      <w:sz w:val="20"/>
      <w:szCs w:val="20"/>
      <w:u w:val="none"/>
    </w:rPr>
  </w:style>
  <w:style w:type="character" w:customStyle="1" w:styleId="96">
    <w:name w:val="标题 Char"/>
    <w:basedOn w:val="48"/>
    <w:link w:val="43"/>
    <w:uiPriority w:val="0"/>
    <w:rPr>
      <w:rFonts w:ascii="Arial" w:hAnsi="Arial" w:cs="Arial"/>
      <w:b/>
      <w:bCs/>
      <w:sz w:val="44"/>
      <w:szCs w:val="32"/>
    </w:rPr>
  </w:style>
  <w:style w:type="character" w:customStyle="1" w:styleId="97">
    <w:name w:val="标题 Char1"/>
    <w:basedOn w:val="48"/>
    <w:link w:val="43"/>
    <w:uiPriority w:val="0"/>
    <w:rPr>
      <w:rFonts w:eastAsia="宋体" w:asciiTheme="majorHAnsi" w:hAnsiTheme="majorHAnsi" w:cstheme="majorBidi"/>
      <w:b/>
      <w:bCs/>
      <w:kern w:val="0"/>
      <w:sz w:val="32"/>
      <w:szCs w:val="32"/>
      <w:lang w:eastAsia="en-US"/>
    </w:rPr>
  </w:style>
  <w:style w:type="character" w:customStyle="1" w:styleId="98">
    <w:name w:val="正文文本缩进 Char"/>
    <w:basedOn w:val="48"/>
    <w:link w:val="21"/>
    <w:uiPriority w:val="0"/>
    <w:rPr>
      <w:i/>
      <w:iCs/>
    </w:rPr>
  </w:style>
  <w:style w:type="character" w:customStyle="1" w:styleId="99">
    <w:name w:val="正文文本缩进 Char1"/>
    <w:basedOn w:val="48"/>
    <w:link w:val="21"/>
    <w:uiPriority w:val="0"/>
    <w:rPr>
      <w:rFonts w:ascii="宋体" w:hAnsi="宋体" w:eastAsia="宋体" w:cs="宋体"/>
      <w:kern w:val="0"/>
      <w:sz w:val="22"/>
      <w:lang w:eastAsia="en-US"/>
    </w:rPr>
  </w:style>
  <w:style w:type="character" w:customStyle="1" w:styleId="100">
    <w:name w:val="正文文本 3 Char"/>
    <w:basedOn w:val="48"/>
    <w:link w:val="18"/>
    <w:qFormat/>
    <w:uiPriority w:val="0"/>
    <w:rPr>
      <w:color w:val="0000FF"/>
      <w:sz w:val="24"/>
      <w:szCs w:val="24"/>
    </w:rPr>
  </w:style>
  <w:style w:type="character" w:customStyle="1" w:styleId="101">
    <w:name w:val="正文文本 3 Char1"/>
    <w:basedOn w:val="48"/>
    <w:link w:val="18"/>
    <w:uiPriority w:val="0"/>
    <w:rPr>
      <w:rFonts w:ascii="宋体" w:hAnsi="宋体" w:eastAsia="宋体" w:cs="宋体"/>
      <w:kern w:val="0"/>
      <w:sz w:val="16"/>
      <w:szCs w:val="16"/>
      <w:lang w:eastAsia="en-US"/>
    </w:rPr>
  </w:style>
  <w:style w:type="character" w:customStyle="1" w:styleId="102">
    <w:name w:val="font11"/>
    <w:basedOn w:val="48"/>
    <w:qFormat/>
    <w:uiPriority w:val="0"/>
    <w:rPr>
      <w:rFonts w:hint="default" w:ascii="Times New Roman" w:hAnsi="Times New Roman" w:cs="Times New Roman"/>
      <w:color w:val="000000"/>
      <w:sz w:val="20"/>
      <w:szCs w:val="20"/>
      <w:u w:val="none"/>
    </w:rPr>
  </w:style>
  <w:style w:type="character" w:customStyle="1" w:styleId="103">
    <w:name w:val="glossaryitem"/>
    <w:basedOn w:val="48"/>
    <w:uiPriority w:val="0"/>
    <w:rPr>
      <w:u w:val="none"/>
    </w:rPr>
  </w:style>
  <w:style w:type="character" w:customStyle="1" w:styleId="104">
    <w:name w:val="HTML 预设格式 Char"/>
    <w:basedOn w:val="48"/>
    <w:link w:val="40"/>
    <w:uiPriority w:val="0"/>
    <w:rPr>
      <w:rFonts w:ascii="Arial Unicode MS" w:hAnsi="Arial Unicode MS" w:eastAsia="Courier New" w:cs="Courier New"/>
    </w:rPr>
  </w:style>
  <w:style w:type="character" w:customStyle="1" w:styleId="105">
    <w:name w:val="HTML 预设格式 Char1"/>
    <w:basedOn w:val="48"/>
    <w:link w:val="40"/>
    <w:qFormat/>
    <w:uiPriority w:val="0"/>
    <w:rPr>
      <w:rFonts w:ascii="Courier New" w:hAnsi="Courier New" w:eastAsia="宋体" w:cs="Courier New"/>
      <w:kern w:val="0"/>
      <w:sz w:val="20"/>
      <w:szCs w:val="20"/>
      <w:lang w:eastAsia="en-US"/>
    </w:rPr>
  </w:style>
  <w:style w:type="character" w:customStyle="1" w:styleId="106">
    <w:name w:val="文档结构图 Char"/>
    <w:basedOn w:val="48"/>
    <w:link w:val="16"/>
    <w:uiPriority w:val="0"/>
    <w:rPr>
      <w:rFonts w:ascii="宋体"/>
      <w:sz w:val="28"/>
      <w:shd w:val="clear" w:color="auto" w:fill="000080"/>
    </w:rPr>
  </w:style>
  <w:style w:type="character" w:customStyle="1" w:styleId="107">
    <w:name w:val="文档结构图 Char1"/>
    <w:basedOn w:val="48"/>
    <w:link w:val="16"/>
    <w:uiPriority w:val="0"/>
    <w:rPr>
      <w:rFonts w:ascii="宋体" w:hAnsi="宋体" w:eastAsia="宋体" w:cs="宋体"/>
      <w:kern w:val="0"/>
      <w:sz w:val="18"/>
      <w:szCs w:val="18"/>
      <w:lang w:eastAsia="en-US"/>
    </w:rPr>
  </w:style>
  <w:style w:type="character" w:customStyle="1" w:styleId="108">
    <w:name w:val="日期 Char"/>
    <w:basedOn w:val="48"/>
    <w:link w:val="27"/>
    <w:uiPriority w:val="99"/>
    <w:rPr>
      <w:szCs w:val="24"/>
    </w:rPr>
  </w:style>
  <w:style w:type="character" w:customStyle="1" w:styleId="109">
    <w:name w:val="日期 Char1"/>
    <w:basedOn w:val="48"/>
    <w:link w:val="27"/>
    <w:uiPriority w:val="0"/>
    <w:rPr>
      <w:rFonts w:ascii="宋体" w:hAnsi="宋体" w:eastAsia="宋体" w:cs="宋体"/>
      <w:kern w:val="0"/>
      <w:sz w:val="22"/>
      <w:lang w:eastAsia="en-US"/>
    </w:rPr>
  </w:style>
  <w:style w:type="character" w:customStyle="1" w:styleId="110">
    <w:name w:val="正文文本 2 Char"/>
    <w:basedOn w:val="48"/>
    <w:link w:val="38"/>
    <w:uiPriority w:val="0"/>
    <w:rPr>
      <w:szCs w:val="24"/>
    </w:rPr>
  </w:style>
  <w:style w:type="character" w:customStyle="1" w:styleId="111">
    <w:name w:val="正文文本 2 Char1"/>
    <w:basedOn w:val="48"/>
    <w:link w:val="38"/>
    <w:uiPriority w:val="0"/>
    <w:rPr>
      <w:rFonts w:ascii="宋体" w:hAnsi="宋体" w:eastAsia="宋体" w:cs="宋体"/>
      <w:kern w:val="0"/>
      <w:sz w:val="22"/>
      <w:lang w:eastAsia="en-US"/>
    </w:rPr>
  </w:style>
  <w:style w:type="character" w:customStyle="1" w:styleId="112">
    <w:name w:val="正文首行缩进 Char"/>
    <w:basedOn w:val="69"/>
    <w:link w:val="45"/>
    <w:uiPriority w:val="0"/>
    <w:rPr>
      <w:szCs w:val="21"/>
    </w:rPr>
  </w:style>
  <w:style w:type="character" w:customStyle="1" w:styleId="113">
    <w:name w:val="正文首行缩进 Char1"/>
    <w:basedOn w:val="69"/>
    <w:link w:val="45"/>
    <w:qFormat/>
    <w:uiPriority w:val="0"/>
  </w:style>
  <w:style w:type="character" w:customStyle="1" w:styleId="114">
    <w:name w:val="批注主题 Char"/>
    <w:basedOn w:val="86"/>
    <w:link w:val="44"/>
    <w:uiPriority w:val="0"/>
    <w:rPr>
      <w:b/>
      <w:bCs/>
      <w:sz w:val="24"/>
      <w:szCs w:val="24"/>
    </w:rPr>
  </w:style>
  <w:style w:type="character" w:customStyle="1" w:styleId="115">
    <w:name w:val="批注主题 Char1"/>
    <w:basedOn w:val="87"/>
    <w:link w:val="44"/>
    <w:uiPriority w:val="0"/>
    <w:rPr>
      <w:b/>
      <w:bCs/>
    </w:rPr>
  </w:style>
  <w:style w:type="paragraph" w:customStyle="1" w:styleId="116">
    <w:name w:val="标题3(小3号)"/>
    <w:basedOn w:val="5"/>
    <w:next w:val="117"/>
    <w:uiPriority w:val="0"/>
    <w:pPr>
      <w:widowControl/>
      <w:spacing w:before="0" w:after="0" w:line="420" w:lineRule="exact"/>
    </w:pPr>
    <w:rPr>
      <w:b w:val="0"/>
      <w:bCs w:val="0"/>
      <w:color w:val="000000"/>
      <w:kern w:val="0"/>
      <w:sz w:val="30"/>
      <w:szCs w:val="21"/>
    </w:rPr>
  </w:style>
  <w:style w:type="paragraph" w:customStyle="1" w:styleId="117">
    <w:name w:val="正文小3号"/>
    <w:uiPriority w:val="0"/>
    <w:pPr>
      <w:spacing w:line="240" w:lineRule="auto"/>
      <w:ind w:firstLine="595"/>
      <w:jc w:val="both"/>
    </w:pPr>
    <w:rPr>
      <w:rFonts w:ascii="Times New Roman" w:hAnsi="Times New Roman" w:eastAsia="宋体" w:cs="Times New Roman"/>
      <w:kern w:val="0"/>
      <w:sz w:val="30"/>
      <w:szCs w:val="20"/>
      <w:lang w:val="en-US" w:eastAsia="zh-CN" w:bidi="ar-SA"/>
    </w:rPr>
  </w:style>
  <w:style w:type="character" w:customStyle="1" w:styleId="118">
    <w:name w:val="信息标题 Char"/>
    <w:basedOn w:val="48"/>
    <w:link w:val="39"/>
    <w:uiPriority w:val="0"/>
    <w:rPr>
      <w:rFonts w:ascii="Arial" w:hAnsi="Arial" w:eastAsia="宋体" w:cs="Arial"/>
      <w:sz w:val="24"/>
      <w:szCs w:val="24"/>
      <w:shd w:val="pct20" w:color="auto" w:fill="auto"/>
    </w:rPr>
  </w:style>
  <w:style w:type="paragraph" w:customStyle="1" w:styleId="119">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20">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paragraph" w:customStyle="1" w:styleId="121">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22">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3">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标题3(3号)"/>
    <w:basedOn w:val="5"/>
    <w:next w:val="125"/>
    <w:uiPriority w:val="0"/>
    <w:pPr>
      <w:widowControl/>
      <w:spacing w:before="0" w:after="0" w:line="420" w:lineRule="exact"/>
    </w:pPr>
    <w:rPr>
      <w:b w:val="0"/>
      <w:bCs w:val="0"/>
      <w:color w:val="000000"/>
      <w:kern w:val="0"/>
      <w:szCs w:val="21"/>
    </w:rPr>
  </w:style>
  <w:style w:type="paragraph" w:customStyle="1" w:styleId="125">
    <w:name w:val="正文3号字"/>
    <w:qFormat/>
    <w:uiPriority w:val="0"/>
    <w:pPr>
      <w:spacing w:line="240" w:lineRule="auto"/>
      <w:ind w:firstLine="652"/>
      <w:jc w:val="both"/>
    </w:pPr>
    <w:rPr>
      <w:rFonts w:ascii="Times New Roman" w:hAnsi="Times New Roman" w:eastAsia="宋体" w:cs="Times New Roman"/>
      <w:kern w:val="0"/>
      <w:sz w:val="32"/>
      <w:szCs w:val="20"/>
      <w:lang w:val="en-US" w:eastAsia="zh-CN" w:bidi="ar-SA"/>
    </w:rPr>
  </w:style>
  <w:style w:type="paragraph" w:customStyle="1" w:styleId="126">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7">
    <w:name w:val="标题2(小3号)"/>
    <w:basedOn w:val="4"/>
    <w:next w:val="128"/>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8">
    <w:name w:val="正文4号字"/>
    <w:qFormat/>
    <w:uiPriority w:val="0"/>
    <w:pPr>
      <w:spacing w:line="240" w:lineRule="auto"/>
      <w:ind w:firstLine="567"/>
      <w:jc w:val="both"/>
    </w:pPr>
    <w:rPr>
      <w:rFonts w:ascii="Times New Roman" w:hAnsi="Times New Roman" w:eastAsia="宋体" w:cs="Times New Roman"/>
      <w:kern w:val="0"/>
      <w:sz w:val="28"/>
      <w:szCs w:val="20"/>
      <w:lang w:val="en-US" w:eastAsia="zh-CN" w:bidi="ar-SA"/>
    </w:rPr>
  </w:style>
  <w:style w:type="paragraph" w:customStyle="1" w:styleId="129">
    <w:name w:val="标题1(2号)"/>
    <w:basedOn w:val="3"/>
    <w:next w:val="12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30">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31">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2">
    <w:name w:val="正文5号字"/>
    <w:uiPriority w:val="0"/>
    <w:pPr>
      <w:spacing w:line="240" w:lineRule="auto"/>
      <w:jc w:val="both"/>
    </w:pPr>
    <w:rPr>
      <w:rFonts w:ascii="Times New Roman" w:hAnsi="Times New Roman" w:eastAsia="宋体" w:cs="Times New Roman"/>
      <w:kern w:val="0"/>
      <w:sz w:val="21"/>
      <w:szCs w:val="20"/>
      <w:lang w:val="en-US" w:eastAsia="zh-CN" w:bidi="ar-SA"/>
    </w:rPr>
  </w:style>
  <w:style w:type="paragraph" w:customStyle="1" w:styleId="133">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4">
    <w:name w:val="Char1"/>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35">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8"/>
    <w:qFormat/>
    <w:uiPriority w:val="0"/>
    <w:pPr>
      <w:widowControl/>
      <w:spacing w:before="0" w:after="0" w:line="420" w:lineRule="exact"/>
    </w:pPr>
    <w:rPr>
      <w:b w:val="0"/>
      <w:bCs w:val="0"/>
      <w:color w:val="000000"/>
      <w:kern w:val="0"/>
      <w:sz w:val="28"/>
      <w:szCs w:val="21"/>
    </w:rPr>
  </w:style>
  <w:style w:type="paragraph" w:customStyle="1" w:styleId="137">
    <w:name w:val="标题2"/>
    <w:basedOn w:val="4"/>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正文2"/>
    <w:uiPriority w:val="0"/>
    <w:pPr>
      <w:widowControl w:val="0"/>
      <w:autoSpaceDE w:val="0"/>
      <w:autoSpaceDN w:val="0"/>
      <w:adjustRightInd w:val="0"/>
      <w:spacing w:line="360" w:lineRule="atLeast"/>
      <w:ind w:left="425" w:hanging="425"/>
      <w:jc w:val="left"/>
      <w:textAlignment w:val="bottom"/>
    </w:pPr>
    <w:rPr>
      <w:rFonts w:ascii="宋体" w:hAnsi="Times New Roman" w:eastAsia="宋体" w:cs="Times New Roman"/>
      <w:kern w:val="0"/>
      <w:position w:val="-6"/>
      <w:sz w:val="32"/>
      <w:szCs w:val="20"/>
      <w:lang w:val="en-US" w:eastAsia="zh-CN" w:bidi="ar-SA"/>
    </w:rPr>
  </w:style>
  <w:style w:type="paragraph" w:customStyle="1" w:styleId="149">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qFormat/>
    <w:uiPriority w:val="0"/>
    <w:pPr>
      <w:widowControl w:val="0"/>
      <w:autoSpaceDE w:val="0"/>
      <w:autoSpaceDN w:val="0"/>
      <w:adjustRightInd w:val="0"/>
      <w:spacing w:line="240" w:lineRule="auto"/>
      <w:jc w:val="both"/>
    </w:pPr>
    <w:rPr>
      <w:rFonts w:ascii="五" w:hAnsi="Times New Roman" w:eastAsia="五" w:cs="Times New Roman"/>
      <w:kern w:val="0"/>
      <w:sz w:val="24"/>
      <w:szCs w:val="20"/>
      <w:lang w:val="en-US" w:eastAsia="zh-CN" w:bidi="ar-SA"/>
    </w:rPr>
  </w:style>
  <w:style w:type="paragraph" w:customStyle="1" w:styleId="153">
    <w:name w:val="标题3(小4号)"/>
    <w:basedOn w:val="5"/>
    <w:next w:val="154"/>
    <w:qFormat/>
    <w:uiPriority w:val="0"/>
    <w:pPr>
      <w:widowControl/>
      <w:spacing w:before="0" w:after="0" w:line="420" w:lineRule="exact"/>
    </w:pPr>
    <w:rPr>
      <w:b w:val="0"/>
      <w:bCs w:val="0"/>
      <w:color w:val="000000"/>
      <w:kern w:val="0"/>
      <w:sz w:val="24"/>
      <w:szCs w:val="21"/>
    </w:rPr>
  </w:style>
  <w:style w:type="paragraph" w:customStyle="1" w:styleId="154">
    <w:name w:val="正文小4号"/>
    <w:qFormat/>
    <w:uiPriority w:val="0"/>
    <w:pPr>
      <w:spacing w:line="240" w:lineRule="auto"/>
      <w:ind w:firstLine="539"/>
      <w:jc w:val="both"/>
    </w:pPr>
    <w:rPr>
      <w:rFonts w:ascii="Times New Roman" w:hAnsi="Times New Roman" w:eastAsia="宋体" w:cs="Times New Roman"/>
      <w:kern w:val="0"/>
      <w:sz w:val="24"/>
      <w:szCs w:val="20"/>
      <w:lang w:val="en-US" w:eastAsia="zh-CN" w:bidi="ar-SA"/>
    </w:rPr>
  </w:style>
  <w:style w:type="paragraph" w:customStyle="1" w:styleId="155">
    <w:name w:val="标题3(5号)"/>
    <w:basedOn w:val="5"/>
    <w:next w:val="132"/>
    <w:qFormat/>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25"/>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32"/>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kern w:val="0"/>
      <w:sz w:val="24"/>
      <w:szCs w:val="20"/>
      <w:lang w:val="en-US" w:eastAsia="zh-CN" w:bidi="ar-SA"/>
    </w:rPr>
  </w:style>
  <w:style w:type="paragraph" w:customStyle="1" w:styleId="164">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8">
    <w:name w:val="p0"/>
    <w:basedOn w:val="1"/>
    <w:uiPriority w:val="0"/>
    <w:pPr>
      <w:widowControl/>
      <w:autoSpaceDE/>
      <w:autoSpaceDN/>
    </w:pPr>
    <w:rPr>
      <w:sz w:val="24"/>
      <w:szCs w:val="24"/>
      <w:lang w:eastAsia="zh-CN"/>
    </w:rPr>
  </w:style>
  <w:style w:type="paragraph" w:customStyle="1" w:styleId="169">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8"/>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17"/>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qFormat/>
    <w:uiPriority w:val="0"/>
    <w:pPr>
      <w:autoSpaceDE/>
      <w:autoSpaceDN/>
      <w:jc w:val="both"/>
    </w:pPr>
    <w:rPr>
      <w:rFonts w:cs="Times New Roman"/>
      <w:b/>
      <w:bCs/>
      <w:kern w:val="2"/>
      <w:sz w:val="28"/>
      <w:szCs w:val="20"/>
      <w:lang w:eastAsia="zh-CN"/>
    </w:rPr>
  </w:style>
  <w:style w:type="paragraph" w:customStyle="1" w:styleId="179">
    <w:name w:val="标题2(3号)"/>
    <w:basedOn w:val="4"/>
    <w:next w:val="117"/>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32"/>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qFormat/>
    <w:uiPriority w:val="0"/>
    <w:pPr>
      <w:numPr>
        <w:ilvl w:val="3"/>
      </w:numPr>
      <w:outlineLvl w:val="3"/>
    </w:pPr>
  </w:style>
  <w:style w:type="paragraph" w:customStyle="1" w:styleId="188">
    <w:name w:val="大纲5"/>
    <w:basedOn w:val="187"/>
    <w:qFormat/>
    <w:uiPriority w:val="0"/>
    <w:pPr>
      <w:numPr>
        <w:ilvl w:val="4"/>
      </w:numPr>
      <w:tabs>
        <w:tab w:val="left" w:pos="360"/>
      </w:tabs>
      <w:outlineLvl w:val="4"/>
    </w:pPr>
    <w:rPr>
      <w:b w:val="0"/>
      <w:szCs w:val="36"/>
    </w:rPr>
  </w:style>
  <w:style w:type="paragraph" w:customStyle="1" w:styleId="189">
    <w:name w:val="大纲6"/>
    <w:basedOn w:val="188"/>
    <w:qFormat/>
    <w:uiPriority w:val="0"/>
    <w:pPr>
      <w:numPr>
        <w:ilvl w:val="5"/>
      </w:numPr>
      <w:outlineLvl w:val="5"/>
    </w:pPr>
    <w:rPr>
      <w:rFonts w:ascii="宋体"/>
      <w:szCs w:val="24"/>
    </w:rPr>
  </w:style>
  <w:style w:type="paragraph" w:customStyle="1" w:styleId="190">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5">
    <w:name w:val="正文3"/>
    <w:qFormat/>
    <w:uiPriority w:val="0"/>
    <w:pPr>
      <w:widowControl w:val="0"/>
      <w:autoSpaceDE w:val="0"/>
      <w:autoSpaceDN w:val="0"/>
      <w:adjustRightInd w:val="0"/>
      <w:spacing w:line="360" w:lineRule="atLeast"/>
      <w:ind w:left="425" w:hanging="425"/>
      <w:jc w:val="left"/>
      <w:textAlignment w:val="bottom"/>
    </w:pPr>
    <w:rPr>
      <w:rFonts w:ascii="宋体" w:hAnsi="Calibri" w:eastAsia="宋体" w:cs="Times New Roman"/>
      <w:kern w:val="0"/>
      <w:position w:val="-6"/>
      <w:sz w:val="32"/>
      <w:szCs w:val="20"/>
      <w:lang w:val="en-US" w:eastAsia="zh-CN" w:bidi="ar-SA"/>
    </w:rPr>
  </w:style>
  <w:style w:type="paragraph" w:customStyle="1" w:styleId="196">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1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qFormat/>
    <w:uiPriority w:val="0"/>
  </w:style>
  <w:style w:type="character" w:customStyle="1" w:styleId="207">
    <w:name w:val="xdrichtextbox3"/>
    <w:basedOn w:val="48"/>
    <w:qFormat/>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8"/>
    <w:qFormat/>
    <w:uiPriority w:val="0"/>
  </w:style>
  <w:style w:type="character" w:customStyle="1" w:styleId="210">
    <w:name w:val="xdrichtextbox"/>
    <w:basedOn w:val="48"/>
    <w:qFormat/>
    <w:uiPriority w:val="0"/>
    <w:rPr>
      <w:color w:val="auto"/>
      <w:sz w:val="18"/>
      <w:szCs w:val="18"/>
      <w:u w:val="none"/>
      <w:bdr w:val="single" w:color="DCDCDC" w:sz="8" w:space="0"/>
      <w:shd w:val="clear" w:color="auto" w:fill="auto"/>
    </w:rPr>
  </w:style>
  <w:style w:type="character" w:customStyle="1" w:styleId="211">
    <w:name w:val="drapbtn"/>
    <w:basedOn w:val="48"/>
    <w:qFormat/>
    <w:uiPriority w:val="0"/>
  </w:style>
  <w:style w:type="character" w:customStyle="1" w:styleId="212">
    <w:name w:val="w32"/>
    <w:basedOn w:val="48"/>
    <w:qFormat/>
    <w:uiPriority w:val="0"/>
  </w:style>
  <w:style w:type="character" w:customStyle="1" w:styleId="213">
    <w:name w:val="design_class"/>
    <w:basedOn w:val="48"/>
    <w:qFormat/>
    <w:uiPriority w:val="0"/>
  </w:style>
  <w:style w:type="character" w:customStyle="1" w:styleId="214">
    <w:name w:val="cdropright"/>
    <w:basedOn w:val="48"/>
    <w:qFormat/>
    <w:uiPriority w:val="0"/>
  </w:style>
  <w:style w:type="character" w:customStyle="1" w:styleId="215">
    <w:name w:val="browse_class&gt;input"/>
    <w:basedOn w:val="48"/>
    <w:qFormat/>
    <w:uiPriority w:val="0"/>
    <w:rPr>
      <w:shd w:val="clear" w:color="auto" w:fill="F8F8F8"/>
    </w:rPr>
  </w:style>
  <w:style w:type="character" w:customStyle="1" w:styleId="216">
    <w:name w:val="biggerthanmax"/>
    <w:basedOn w:val="48"/>
    <w:qFormat/>
    <w:uiPriority w:val="0"/>
    <w:rPr>
      <w:shd w:val="clear" w:color="auto" w:fill="FFFF00"/>
    </w:rPr>
  </w:style>
  <w:style w:type="character" w:customStyle="1" w:styleId="217">
    <w:name w:val="browse_class&gt;span"/>
    <w:basedOn w:val="48"/>
    <w:qFormat/>
    <w:uiPriority w:val="0"/>
    <w:rPr>
      <w:shd w:val="clear" w:color="auto" w:fill="F8F8F8"/>
    </w:rPr>
  </w:style>
  <w:style w:type="character" w:customStyle="1" w:styleId="218">
    <w:name w:val="hilite6"/>
    <w:basedOn w:val="48"/>
    <w:qFormat/>
    <w:uiPriority w:val="0"/>
    <w:rPr>
      <w:color w:val="FFFFFF"/>
      <w:shd w:val="clear" w:color="auto" w:fill="666677"/>
    </w:rPr>
  </w:style>
  <w:style w:type="character" w:customStyle="1" w:styleId="219">
    <w:name w:val="cdropleft"/>
    <w:basedOn w:val="48"/>
    <w:qFormat/>
    <w:uiPriority w:val="0"/>
  </w:style>
  <w:style w:type="character" w:customStyle="1" w:styleId="220">
    <w:name w:val="active6"/>
    <w:basedOn w:val="48"/>
    <w:qFormat/>
    <w:uiPriority w:val="0"/>
    <w:rPr>
      <w:color w:val="00FF00"/>
      <w:shd w:val="clear" w:color="auto" w:fill="111111"/>
    </w:rPr>
  </w:style>
  <w:style w:type="character" w:customStyle="1" w:styleId="221">
    <w:name w:val="button"/>
    <w:basedOn w:val="48"/>
    <w:qFormat/>
    <w:uiPriority w:val="0"/>
  </w:style>
  <w:style w:type="character" w:customStyle="1" w:styleId="222">
    <w:name w:val="tmpztreemove_arrow"/>
    <w:basedOn w:val="48"/>
    <w:qFormat/>
    <w:uiPriority w:val="0"/>
  </w:style>
  <w:style w:type="character" w:customStyle="1" w:styleId="223">
    <w:name w:val="browse_class&gt;label"/>
    <w:basedOn w:val="48"/>
    <w:qFormat/>
    <w:uiPriority w:val="0"/>
    <w:rPr>
      <w:shd w:val="clear" w:color="auto" w:fill="F8F8F8"/>
    </w:rPr>
  </w:style>
  <w:style w:type="character" w:customStyle="1" w:styleId="224">
    <w:name w:val="pagechatarealistclose_box"/>
    <w:basedOn w:val="48"/>
    <w:qFormat/>
    <w:uiPriority w:val="0"/>
  </w:style>
  <w:style w:type="character" w:customStyle="1" w:styleId="225">
    <w:name w:val="pagechatarealistclose_box1"/>
    <w:basedOn w:val="48"/>
    <w:qFormat/>
    <w:uiPriority w:val="0"/>
  </w:style>
  <w:style w:type="character" w:customStyle="1" w:styleId="226">
    <w:name w:val="ico1652"/>
    <w:basedOn w:val="48"/>
    <w:qFormat/>
    <w:uiPriority w:val="0"/>
  </w:style>
  <w:style w:type="character" w:customStyle="1" w:styleId="227">
    <w:name w:val="ico1653"/>
    <w:basedOn w:val="48"/>
    <w:qFormat/>
    <w:uiPriority w:val="0"/>
  </w:style>
  <w:style w:type="character" w:customStyle="1" w:styleId="228">
    <w:name w:val="token-input-delete-token"/>
    <w:basedOn w:val="48"/>
    <w:qFormat/>
    <w:uiPriority w:val="0"/>
    <w:rPr>
      <w:color w:val="FFFFFF"/>
    </w:rPr>
  </w:style>
  <w:style w:type="character" w:customStyle="1" w:styleId="229">
    <w:name w:val="edit_class"/>
    <w:basedOn w:val="48"/>
    <w:qFormat/>
    <w:uiPriority w:val="0"/>
  </w:style>
  <w:style w:type="character" w:customStyle="1" w:styleId="230">
    <w:name w:val="ico1654"/>
    <w:basedOn w:val="48"/>
    <w:qFormat/>
    <w:uiPriority w:val="0"/>
  </w:style>
  <w:style w:type="character" w:customStyle="1" w:styleId="231">
    <w:name w:val="button2"/>
    <w:basedOn w:val="48"/>
    <w:qFormat/>
    <w:uiPriority w:val="0"/>
  </w:style>
  <w:style w:type="character" w:customStyle="1" w:styleId="232">
    <w:name w:val="active10"/>
    <w:basedOn w:val="48"/>
    <w:qFormat/>
    <w:uiPriority w:val="0"/>
    <w:rPr>
      <w:color w:val="00FF00"/>
      <w:shd w:val="clear" w:color="auto" w:fill="111111"/>
    </w:rPr>
  </w:style>
  <w:style w:type="character" w:customStyle="1" w:styleId="233">
    <w:name w:val="active"/>
    <w:basedOn w:val="48"/>
    <w:qFormat/>
    <w:uiPriority w:val="0"/>
    <w:rPr>
      <w:color w:val="00FF00"/>
      <w:shd w:val="clear" w:color="auto" w:fill="111111"/>
    </w:rPr>
  </w:style>
  <w:style w:type="character" w:customStyle="1" w:styleId="234">
    <w:name w:val="ico1655"/>
    <w:basedOn w:val="48"/>
    <w:qFormat/>
    <w:uiPriority w:val="0"/>
  </w:style>
  <w:style w:type="character" w:customStyle="1" w:styleId="235">
    <w:name w:val="hilite"/>
    <w:basedOn w:val="48"/>
    <w:qFormat/>
    <w:uiPriority w:val="0"/>
    <w:rPr>
      <w:color w:val="FFFFFF"/>
      <w:shd w:val="clear" w:color="auto" w:fill="666677"/>
    </w:rPr>
  </w:style>
  <w:style w:type="character" w:customStyle="1" w:styleId="236">
    <w:name w:val="active12"/>
    <w:basedOn w:val="48"/>
    <w:qFormat/>
    <w:uiPriority w:val="0"/>
    <w:rPr>
      <w:color w:val="00FF00"/>
      <w:shd w:val="clear" w:color="auto" w:fill="111111"/>
    </w:rPr>
  </w:style>
  <w:style w:type="character" w:customStyle="1" w:styleId="237">
    <w:name w:val="hilite5"/>
    <w:basedOn w:val="48"/>
    <w:qFormat/>
    <w:uiPriority w:val="0"/>
    <w:rPr>
      <w:color w:val="FFFFFF"/>
      <w:shd w:val="clear" w:color="auto" w:fill="666677"/>
    </w:rPr>
  </w:style>
  <w:style w:type="character" w:customStyle="1" w:styleId="238">
    <w:name w:val="hilite4"/>
    <w:basedOn w:val="48"/>
    <w:qFormat/>
    <w:uiPriority w:val="0"/>
    <w:rPr>
      <w:color w:val="FFFFFF"/>
      <w:shd w:val="clear" w:color="auto" w:fill="666677"/>
    </w:rPr>
  </w:style>
  <w:style w:type="character" w:customStyle="1" w:styleId="239">
    <w:name w:val="ico16"/>
    <w:basedOn w:val="48"/>
    <w:qFormat/>
    <w:uiPriority w:val="0"/>
  </w:style>
  <w:style w:type="character" w:customStyle="1" w:styleId="240">
    <w:name w:val="ico161"/>
    <w:basedOn w:val="48"/>
    <w:qFormat/>
    <w:uiPriority w:val="0"/>
  </w:style>
  <w:style w:type="character" w:customStyle="1" w:styleId="241">
    <w:name w:val="active8"/>
    <w:basedOn w:val="48"/>
    <w:qFormat/>
    <w:uiPriority w:val="0"/>
    <w:rPr>
      <w:color w:val="00FF00"/>
      <w:shd w:val="clear" w:color="auto" w:fill="111111"/>
    </w:rPr>
  </w:style>
  <w:style w:type="character" w:customStyle="1" w:styleId="242">
    <w:name w:val="active1"/>
    <w:basedOn w:val="48"/>
    <w:qFormat/>
    <w:uiPriority w:val="0"/>
    <w:rPr>
      <w:color w:val="00FF00"/>
      <w:shd w:val="clear" w:color="auto" w:fill="111111"/>
    </w:rPr>
  </w:style>
  <w:style w:type="character" w:customStyle="1" w:styleId="243">
    <w:name w:val="active11"/>
    <w:basedOn w:val="48"/>
    <w:qFormat/>
    <w:uiPriority w:val="0"/>
    <w:rPr>
      <w:color w:val="00FF00"/>
      <w:shd w:val="clear" w:color="auto" w:fill="111111"/>
    </w:rPr>
  </w:style>
  <w:style w:type="character" w:customStyle="1" w:styleId="244">
    <w:name w:val="active9"/>
    <w:basedOn w:val="48"/>
    <w:qFormat/>
    <w:uiPriority w:val="0"/>
    <w:rPr>
      <w:color w:val="00FF00"/>
      <w:shd w:val="clear" w:color="auto" w:fill="111111"/>
    </w:rPr>
  </w:style>
  <w:style w:type="character" w:customStyle="1" w:styleId="245">
    <w:name w:val="active5"/>
    <w:basedOn w:val="48"/>
    <w:qFormat/>
    <w:uiPriority w:val="0"/>
    <w:rPr>
      <w:color w:val="00FF00"/>
      <w:shd w:val="clear" w:color="auto" w:fill="111111"/>
    </w:rPr>
  </w:style>
  <w:style w:type="paragraph" w:customStyle="1" w:styleId="246">
    <w:name w:val="正文一级"/>
    <w:basedOn w:val="1"/>
    <w:qFormat/>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qFormat/>
    <w:uiPriority w:val="0"/>
    <w:rPr>
      <w:rFonts w:ascii="Times New Roman" w:hAnsi="Times New Roman" w:eastAsia="宋体" w:cs="Times New Roman"/>
      <w:sz w:val="24"/>
      <w:szCs w:val="20"/>
      <w:lang w:eastAsia="en-US"/>
    </w:rPr>
  </w:style>
  <w:style w:type="paragraph" w:customStyle="1" w:styleId="249">
    <w:name w:val="Revision"/>
    <w:hidden/>
    <w:unhideWhenUsed/>
    <w:qFormat/>
    <w:uiPriority w:val="99"/>
    <w:pPr>
      <w:spacing w:line="240" w:lineRule="auto"/>
      <w:jc w:val="left"/>
    </w:pPr>
    <w:rPr>
      <w:rFonts w:ascii="宋体" w:hAnsi="宋体" w:eastAsia="宋体" w:cs="宋体"/>
      <w:kern w:val="0"/>
      <w:sz w:val="22"/>
      <w:szCs w:val="22"/>
      <w:lang w:val="en-US" w:eastAsia="en-US" w:bidi="ar-SA"/>
    </w:rPr>
  </w:style>
  <w:style w:type="paragraph" w:customStyle="1" w:styleId="250">
    <w:name w:val="7表格(治)"/>
    <w:qFormat/>
    <w:uiPriority w:val="0"/>
    <w:pPr>
      <w:spacing w:line="240" w:lineRule="auto"/>
      <w:jc w:val="center"/>
    </w:pPr>
    <w:rPr>
      <w:rFonts w:ascii="Times New Roman" w:hAnsi="Times New Roman" w:eastAsia="宋体" w:cs="Times New Roman"/>
      <w:kern w:val="0"/>
      <w:sz w:val="21"/>
      <w:szCs w:val="22"/>
      <w:lang w:val="en-US" w:eastAsia="zh-CN" w:bidi="ar-SA"/>
    </w:rPr>
  </w:style>
  <w:style w:type="character" w:customStyle="1" w:styleId="251">
    <w:name w:val="wz141"/>
    <w:qFormat/>
    <w:uiPriority w:val="0"/>
    <w:rPr>
      <w:rFonts w:hint="default" w:ascii="Arial" w:hAnsi="Arial" w:cs="Arial"/>
      <w:color w:val="000000"/>
      <w:sz w:val="21"/>
      <w:szCs w:val="21"/>
    </w:rPr>
  </w:style>
  <w:style w:type="character" w:customStyle="1" w:styleId="252">
    <w:name w:val="列出段落 Char"/>
    <w:link w:val="75"/>
    <w:qFormat/>
    <w:uiPriority w:val="34"/>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1514</Words>
  <Characters>8631</Characters>
  <Lines>71</Lines>
  <Paragraphs>20</Paragraphs>
  <TotalTime>1</TotalTime>
  <ScaleCrop>false</ScaleCrop>
  <LinksUpToDate>false</LinksUpToDate>
  <CharactersWithSpaces>10125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2021-01-07T01:44:00Z</dcterms:created>
  <dc:creator>陈玉冰</dc:creator>
  <cp:lastModifiedBy>潘骏</cp:lastModifiedBy>
  <dcterms:modified xsi:type="dcterms:W3CDTF">2021-01-07T07:58:21Z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