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spacing w:line="960" w:lineRule="exact"/>
        <w:jc w:val="center"/>
        <w:rPr>
          <w:rFonts w:asciiTheme="minorEastAsia" w:hAnsiTheme="minorEastAsia" w:eastAsiaTheme="minorEastAsia"/>
          <w:b/>
          <w:sz w:val="44"/>
          <w:szCs w:val="44"/>
          <w:u w:val="single"/>
          <w:lang w:eastAsia="zh-CN"/>
        </w:rPr>
      </w:pPr>
    </w:p>
    <w:p>
      <w:pPr>
        <w:tabs>
          <w:tab w:val="left" w:pos="5376"/>
        </w:tabs>
        <w:jc w:val="center"/>
        <w:rPr>
          <w:rFonts w:asciiTheme="minorEastAsia" w:hAnsiTheme="minorEastAsia" w:eastAsiaTheme="minorEastAsia"/>
          <w:b/>
          <w:bCs/>
          <w:sz w:val="44"/>
          <w:szCs w:val="44"/>
          <w:lang w:eastAsia="zh-CN"/>
        </w:rPr>
      </w:pPr>
      <w:r>
        <w:rPr>
          <w:rFonts w:hint="eastAsia" w:asciiTheme="minorEastAsia" w:hAnsiTheme="minorEastAsia" w:eastAsiaTheme="minorEastAsia"/>
          <w:b/>
          <w:bCs/>
          <w:sz w:val="44"/>
          <w:szCs w:val="44"/>
          <w:lang w:eastAsia="zh-CN"/>
        </w:rPr>
        <w:t>2021年春节慰问品采购项目</w:t>
      </w:r>
    </w:p>
    <w:p>
      <w:pPr>
        <w:pStyle w:val="77"/>
        <w:spacing w:line="360" w:lineRule="auto"/>
        <w:jc w:val="center"/>
        <w:rPr>
          <w:rFonts w:hAnsi="宋体"/>
          <w:b/>
          <w:bCs/>
          <w:sz w:val="44"/>
          <w:szCs w:val="44"/>
        </w:rPr>
      </w:pP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
        <w:jc w:val="center"/>
        <w:rPr>
          <w:sz w:val="28"/>
          <w:szCs w:val="28"/>
        </w:rPr>
      </w:pPr>
      <w:r>
        <w:rPr>
          <w:rFonts w:hint="eastAsia"/>
          <w:sz w:val="28"/>
          <w:szCs w:val="28"/>
        </w:rPr>
        <w:t>（项目编号：</w:t>
      </w:r>
      <w:r>
        <w:rPr>
          <w:rFonts w:hint="eastAsia"/>
          <w:sz w:val="28"/>
          <w:szCs w:val="28"/>
          <w:u w:val="single"/>
        </w:rPr>
        <w:t>FHC-PTCG20201229005</w:t>
      </w:r>
      <w:r>
        <w:rPr>
          <w:rFonts w:hint="eastAsia"/>
          <w:sz w:val="28"/>
          <w:szCs w:val="28"/>
        </w:rPr>
        <w:t>）</w:t>
      </w:r>
    </w:p>
    <w:p>
      <w:pPr>
        <w:pStyle w:val="2"/>
        <w:jc w:val="center"/>
        <w:rPr>
          <w:sz w:val="28"/>
          <w:szCs w:val="28"/>
        </w:rPr>
      </w:pP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二〇二一年一月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2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20" w:lineRule="exact"/>
        <w:ind w:firstLine="480" w:firstLineChars="200"/>
        <w:rPr>
          <w:sz w:val="24"/>
          <w:szCs w:val="24"/>
          <w:lang w:eastAsia="zh-CN"/>
        </w:rPr>
      </w:pPr>
      <w:r>
        <w:rPr>
          <w:sz w:val="24"/>
          <w:szCs w:val="24"/>
          <w:lang w:eastAsia="zh-CN"/>
        </w:rPr>
        <w:t>附件二：参选文件（范本）</w:t>
      </w:r>
    </w:p>
    <w:p>
      <w:pPr>
        <w:spacing w:line="62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540" w:lineRule="exact"/>
        <w:rPr>
          <w:b/>
          <w:w w:val="95"/>
          <w:sz w:val="28"/>
          <w:lang w:eastAsia="zh-CN"/>
        </w:rPr>
      </w:pPr>
      <w:r>
        <w:rPr>
          <w:b/>
          <w:spacing w:val="-1"/>
          <w:w w:val="95"/>
          <w:sz w:val="28"/>
          <w:lang w:eastAsia="zh-CN"/>
        </w:rPr>
        <w:t>比选公</w:t>
      </w:r>
      <w:r>
        <w:rPr>
          <w:b/>
          <w:w w:val="95"/>
          <w:sz w:val="28"/>
          <w:lang w:eastAsia="zh-CN"/>
        </w:rPr>
        <w:t>告</w:t>
      </w:r>
    </w:p>
    <w:p>
      <w:pPr>
        <w:spacing w:line="460" w:lineRule="exact"/>
        <w:ind w:firstLine="480" w:firstLineChars="200"/>
        <w:rPr>
          <w:rFonts w:asciiTheme="minorEastAsia" w:hAnsiTheme="minorEastAsia" w:eastAsiaTheme="minorEastAsia"/>
          <w:bCs/>
          <w:spacing w:val="-2"/>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2021年春节慰问品采购（</w:t>
      </w:r>
      <w:r>
        <w:rPr>
          <w:rFonts w:hint="eastAsia" w:asciiTheme="minorEastAsia" w:hAnsiTheme="minorEastAsia" w:eastAsiaTheme="minorEastAsia"/>
          <w:sz w:val="24"/>
          <w:szCs w:val="24"/>
          <w:lang w:eastAsia="zh-CN"/>
        </w:rPr>
        <w:t>项目编号：</w:t>
      </w:r>
      <w:r>
        <w:rPr>
          <w:rFonts w:hint="eastAsia"/>
          <w:sz w:val="24"/>
          <w:szCs w:val="24"/>
          <w:u w:val="single"/>
          <w:lang w:eastAsia="zh-CN"/>
        </w:rPr>
        <w:t>FHC-PTCG20201229005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w:t>
      </w:r>
      <w:r>
        <w:rPr>
          <w:rFonts w:hint="eastAsia" w:asciiTheme="minorEastAsia" w:hAnsiTheme="minorEastAsia" w:eastAsiaTheme="minorEastAsia"/>
          <w:bCs/>
          <w:sz w:val="24"/>
          <w:szCs w:val="24"/>
        </w:rPr>
        <w:t>2021年春节慰问品采购</w:t>
      </w:r>
    </w:p>
    <w:p>
      <w:pPr>
        <w:pStyle w:val="2"/>
        <w:numPr>
          <w:ilvl w:val="0"/>
          <w:numId w:val="8"/>
        </w:numPr>
        <w:spacing w:line="460" w:lineRule="exact"/>
        <w:rPr>
          <w:rFonts w:asciiTheme="minorEastAsia" w:hAnsiTheme="minorEastAsia" w:eastAsiaTheme="minorEastAsia"/>
          <w:sz w:val="24"/>
          <w:szCs w:val="24"/>
        </w:rPr>
      </w:pPr>
      <w:r>
        <w:rPr>
          <w:rFonts w:hint="eastAsia" w:asciiTheme="minorEastAsia" w:hAnsiTheme="minorEastAsia" w:eastAsiaTheme="minorEastAsia"/>
          <w:bCs/>
          <w:sz w:val="24"/>
          <w:szCs w:val="24"/>
        </w:rPr>
        <w:t>比选控制价：66,999.00元</w:t>
      </w:r>
      <w:r>
        <w:rPr>
          <w:rFonts w:asciiTheme="minorEastAsia" w:hAnsiTheme="minorEastAsia" w:eastAsiaTheme="minorEastAsia"/>
          <w:sz w:val="24"/>
          <w:szCs w:val="24"/>
        </w:rPr>
        <w:t xml:space="preserve"> </w:t>
      </w:r>
    </w:p>
    <w:p>
      <w:pPr>
        <w:pStyle w:val="2"/>
        <w:numPr>
          <w:ilvl w:val="0"/>
          <w:numId w:val="7"/>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报名时间：2021年01 月</w:t>
      </w:r>
      <w:r>
        <w:rPr>
          <w:rFonts w:hint="eastAsia" w:asciiTheme="minorEastAsia" w:hAnsiTheme="minorEastAsia" w:eastAsiaTheme="minorEastAsia"/>
          <w:sz w:val="24"/>
          <w:szCs w:val="24"/>
          <w:lang w:val="en-US" w:eastAsia="zh-CN"/>
        </w:rPr>
        <w:t>07</w:t>
      </w:r>
      <w:r>
        <w:rPr>
          <w:rFonts w:hint="eastAsia" w:asciiTheme="minorEastAsia" w:hAnsiTheme="minorEastAsia" w:eastAsiaTheme="minorEastAsia"/>
          <w:sz w:val="24"/>
          <w:szCs w:val="24"/>
        </w:rPr>
        <w:t>日至2021年01 月</w:t>
      </w: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日（共10天）</w:t>
      </w:r>
    </w:p>
    <w:p>
      <w:pPr>
        <w:spacing w:line="46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6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6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6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01</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18</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6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5"/>
          <w:rFonts w:cs="宋体" w:asciiTheme="minorEastAsia" w:hAnsiTheme="minorEastAsia" w:eastAsiaTheme="minorEastAsia"/>
          <w:bCs/>
          <w:color w:val="000000" w:themeColor="text1"/>
          <w:szCs w:val="24"/>
        </w:rPr>
        <w:t>qlin@fhcpec.com.cn</w:t>
      </w:r>
      <w:r>
        <w:rPr>
          <w:rStyle w:val="55"/>
          <w:rFonts w:cs="宋体" w:asciiTheme="minorEastAsia" w:hAnsiTheme="minorEastAsia" w:eastAsiaTheme="minorEastAsia"/>
          <w:bCs/>
          <w:color w:val="000000" w:themeColor="text1"/>
          <w:szCs w:val="24"/>
        </w:rPr>
        <w:fldChar w:fldCharType="end"/>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right="121" w:firstLine="360" w:firstLineChars="150"/>
        <w:jc w:val="both"/>
        <w:rPr>
          <w:rFonts w:asciiTheme="minorEastAsia" w:hAnsiTheme="minorEastAsia" w:eastAsiaTheme="minorEastAsia"/>
          <w:lang w:eastAsia="zh-CN"/>
        </w:rPr>
      </w:pPr>
      <w:r>
        <w:rPr>
          <w:rFonts w:hint="eastAsia"/>
          <w:lang w:eastAsia="zh-CN"/>
        </w:rPr>
        <w:t>1、采购</w:t>
      </w:r>
      <w:r>
        <w:rPr>
          <w:lang w:eastAsia="zh-CN"/>
        </w:rPr>
        <w:t>名称：</w:t>
      </w:r>
      <w:r>
        <w:rPr>
          <w:rFonts w:hint="eastAsia" w:asciiTheme="minorEastAsia" w:hAnsiTheme="minorEastAsia" w:eastAsiaTheme="minorEastAsia"/>
          <w:bCs/>
          <w:lang w:eastAsia="zh-CN"/>
        </w:rPr>
        <w:t>2021年春节慰问品采购</w:t>
      </w:r>
    </w:p>
    <w:p>
      <w:pPr>
        <w:pStyle w:val="20"/>
        <w:spacing w:line="460" w:lineRule="exact"/>
        <w:ind w:right="121" w:firstLine="360" w:firstLineChars="150"/>
        <w:jc w:val="both"/>
        <w:rPr>
          <w:lang w:eastAsia="zh-CN"/>
        </w:rPr>
      </w:pPr>
      <w:r>
        <w:rPr>
          <w:rFonts w:hint="eastAsia"/>
          <w:lang w:eastAsia="zh-CN"/>
        </w:rPr>
        <w:t>2、送货</w:t>
      </w:r>
      <w:r>
        <w:rPr>
          <w:lang w:eastAsia="zh-CN"/>
        </w:rPr>
        <w:t>地点：</w:t>
      </w:r>
      <w:r>
        <w:rPr>
          <w:rFonts w:hint="eastAsia"/>
          <w:lang w:eastAsia="zh-CN"/>
        </w:rPr>
        <w:t>福建杜浔</w:t>
      </w:r>
    </w:p>
    <w:p>
      <w:pPr>
        <w:pStyle w:val="77"/>
        <w:spacing w:line="460" w:lineRule="exact"/>
        <w:ind w:firstLine="360" w:firstLineChars="150"/>
        <w:rPr>
          <w:rFonts w:hAnsi="宋体"/>
          <w:bCs/>
        </w:rPr>
      </w:pPr>
      <w:r>
        <w:rPr>
          <w:rFonts w:hint="eastAsia"/>
        </w:rPr>
        <w:t>3、采购联系人</w:t>
      </w:r>
    </w:p>
    <w:p>
      <w:pPr>
        <w:pStyle w:val="20"/>
        <w:spacing w:line="460" w:lineRule="exact"/>
        <w:ind w:right="121" w:firstLine="720" w:firstLineChars="300"/>
        <w:jc w:val="both"/>
        <w:rPr>
          <w:lang w:eastAsia="zh-CN"/>
        </w:rPr>
      </w:pPr>
      <w:r>
        <w:rPr>
          <w:rFonts w:hint="eastAsia"/>
          <w:lang w:eastAsia="zh-CN"/>
        </w:rPr>
        <w:t>技术联系人：</w:t>
      </w:r>
      <w:r>
        <w:rPr>
          <w:rFonts w:hint="eastAsia" w:asciiTheme="minorEastAsia" w:hAnsiTheme="minorEastAsia" w:eastAsiaTheme="minorEastAsia"/>
          <w:lang w:eastAsia="zh-CN"/>
        </w:rPr>
        <w:t>林红   18006958909</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spacing w:line="500" w:lineRule="exact"/>
        <w:rPr>
          <w:b/>
          <w:w w:val="95"/>
          <w:sz w:val="24"/>
          <w:szCs w:val="24"/>
          <w:lang w:eastAsia="zh-CN"/>
        </w:rPr>
      </w:pPr>
      <w:r>
        <w:rPr>
          <w:b/>
          <w:w w:val="95"/>
          <w:sz w:val="24"/>
          <w:szCs w:val="24"/>
          <w:lang w:eastAsia="zh-CN"/>
        </w:rPr>
        <w:t>七、参选保证金</w:t>
      </w:r>
    </w:p>
    <w:p>
      <w:pPr>
        <w:pStyle w:val="2"/>
        <w:rPr>
          <w:sz w:val="24"/>
          <w:szCs w:val="24"/>
        </w:rPr>
      </w:pPr>
      <w:r>
        <w:rPr>
          <w:rFonts w:hint="eastAsia"/>
        </w:rPr>
        <w:t xml:space="preserve">   </w:t>
      </w:r>
      <w:r>
        <w:rPr>
          <w:rFonts w:hint="eastAsia"/>
          <w:sz w:val="24"/>
          <w:szCs w:val="24"/>
        </w:rPr>
        <w:t>无</w:t>
      </w:r>
    </w:p>
    <w:p>
      <w:pPr>
        <w:spacing w:line="500" w:lineRule="exact"/>
        <w:rPr>
          <w:b/>
          <w:w w:val="95"/>
          <w:sz w:val="24"/>
          <w:szCs w:val="24"/>
          <w:lang w:eastAsia="zh-CN"/>
        </w:rPr>
      </w:pPr>
      <w:r>
        <w:rPr>
          <w:b/>
          <w:w w:val="95"/>
          <w:sz w:val="24"/>
          <w:szCs w:val="24"/>
          <w:lang w:eastAsia="zh-CN"/>
        </w:rPr>
        <w:t>八、参选文件的递交</w:t>
      </w:r>
    </w:p>
    <w:p>
      <w:pPr>
        <w:pStyle w:val="4"/>
        <w:tabs>
          <w:tab w:val="left" w:pos="6879"/>
        </w:tabs>
        <w:spacing w:before="107" w:line="38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38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38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Theme="minorEastAsia" w:hAnsiTheme="minorEastAsia" w:eastAsiaTheme="minorEastAsia"/>
          <w:bCs/>
          <w:lang w:eastAsia="zh-CN"/>
        </w:rPr>
        <w:t>66,999.00</w:t>
      </w:r>
      <w:r>
        <w:rPr>
          <w:rFonts w:hint="eastAsia" w:ascii="inherit" w:hAnsi="inherit"/>
          <w:sz w:val="22"/>
          <w:szCs w:val="22"/>
          <w:lang w:eastAsia="zh-CN"/>
        </w:rPr>
        <w:t>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5"/>
          <w:rFonts w:hint="eastAsia"/>
          <w:lang w:eastAsia="zh-CN"/>
        </w:rPr>
        <w:t>如参选人对控制价存疑请于报价截止前发邮件至ybchen@fhcpec.com.cn</w:t>
      </w:r>
      <w:r>
        <w:rPr>
          <w:rStyle w:val="55"/>
          <w:rFonts w:hint="eastAsia"/>
          <w:lang w:eastAsia="zh-CN"/>
        </w:rPr>
        <w:fldChar w:fldCharType="end"/>
      </w:r>
      <w:r>
        <w:rPr>
          <w:rFonts w:hint="eastAsia"/>
          <w:lang w:eastAsia="zh-CN"/>
        </w:rPr>
        <w:t>。</w:t>
      </w:r>
    </w:p>
    <w:p>
      <w:pPr>
        <w:tabs>
          <w:tab w:val="left" w:pos="709"/>
        </w:tabs>
        <w:spacing w:line="480" w:lineRule="exact"/>
        <w:rPr>
          <w:rFonts w:asciiTheme="minorEastAsia" w:hAnsiTheme="minorEastAsia" w:eastAsiaTheme="minorEastAsia"/>
          <w:color w:val="333333"/>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1661" w:firstLineChars="591"/>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221" w:firstLineChars="7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 </w:t>
      </w:r>
    </w:p>
    <w:p>
      <w:pPr>
        <w:spacing w:line="120" w:lineRule="auto"/>
        <w:ind w:firstLine="3662" w:firstLineChars="1140"/>
        <w:rPr>
          <w:b/>
          <w:sz w:val="32"/>
          <w:szCs w:val="32"/>
          <w:lang w:eastAsia="zh-CN"/>
        </w:rPr>
      </w:pPr>
      <w:r>
        <w:rPr>
          <w:rFonts w:hint="eastAsia"/>
          <w:b/>
          <w:sz w:val="32"/>
          <w:szCs w:val="32"/>
          <w:lang w:eastAsia="zh-CN"/>
        </w:rPr>
        <w:t>采购合同</w:t>
      </w:r>
    </w:p>
    <w:p>
      <w:pPr>
        <w:spacing w:line="120" w:lineRule="auto"/>
        <w:ind w:firstLine="480" w:firstLineChars="200"/>
        <w:rPr>
          <w:sz w:val="24"/>
          <w:lang w:eastAsia="zh-CN"/>
        </w:rPr>
      </w:pPr>
      <w:r>
        <w:rPr>
          <w:rFonts w:hint="eastAsia"/>
          <w:sz w:val="24"/>
          <w:lang w:eastAsia="zh-CN"/>
        </w:rPr>
        <w:t xml:space="preserve">                                             合同编号：</w:t>
      </w:r>
    </w:p>
    <w:p>
      <w:pPr>
        <w:spacing w:line="120" w:lineRule="auto"/>
        <w:ind w:firstLine="480" w:firstLineChars="200"/>
        <w:rPr>
          <w:sz w:val="24"/>
          <w:lang w:eastAsia="zh-CN"/>
        </w:rPr>
      </w:pPr>
      <w:r>
        <w:rPr>
          <w:rFonts w:hint="eastAsia"/>
          <w:sz w:val="24"/>
          <w:lang w:eastAsia="zh-CN"/>
        </w:rPr>
        <w:t>甲方：                                       签订地点：</w:t>
      </w:r>
    </w:p>
    <w:p>
      <w:pPr>
        <w:pStyle w:val="2"/>
        <w:rPr>
          <w:sz w:val="24"/>
          <w:szCs w:val="24"/>
        </w:rPr>
      </w:pPr>
      <w:r>
        <w:rPr>
          <w:rFonts w:hint="eastAsia"/>
        </w:rPr>
        <w:t xml:space="preserve">  </w:t>
      </w:r>
      <w:r>
        <w:rPr>
          <w:rFonts w:hint="eastAsia"/>
          <w:sz w:val="24"/>
          <w:szCs w:val="24"/>
        </w:rPr>
        <w:t xml:space="preserve"> 乙方：                                       签订日期</w:t>
      </w:r>
    </w:p>
    <w:p>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w:t>
      </w:r>
      <w:r>
        <w:rPr>
          <w:color w:val="111111"/>
          <w:sz w:val="24"/>
          <w:szCs w:val="24"/>
          <w:lang w:eastAsia="zh-CN"/>
        </w:rPr>
        <w:t>中华人民共和国民法典</w:t>
      </w:r>
      <w:r>
        <w:rPr>
          <w:rFonts w:hint="eastAsia"/>
          <w:sz w:val="24"/>
          <w:lang w:eastAsia="zh-CN"/>
        </w:rPr>
        <w:t>》及其他相关法律法规规定，双方签订如下协议：</w:t>
      </w:r>
    </w:p>
    <w:p>
      <w:pPr>
        <w:spacing w:line="120" w:lineRule="auto"/>
        <w:rPr>
          <w:sz w:val="24"/>
        </w:rPr>
      </w:pPr>
      <w:r>
        <w:rPr>
          <w:rFonts w:hint="eastAsia"/>
          <w:sz w:val="24"/>
        </w:rPr>
        <w:t>1、合同标的和合同价格</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1753"/>
        <w:gridCol w:w="1753"/>
        <w:gridCol w:w="1753"/>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center"/>
          </w:tcPr>
          <w:p>
            <w:pPr>
              <w:spacing w:line="360" w:lineRule="auto"/>
              <w:jc w:val="center"/>
              <w:rPr>
                <w:b/>
                <w:sz w:val="18"/>
                <w:szCs w:val="18"/>
                <w:lang w:eastAsia="zh-CN"/>
              </w:rPr>
            </w:pPr>
          </w:p>
          <w:p>
            <w:pPr>
              <w:pStyle w:val="2"/>
              <w:spacing w:line="360" w:lineRule="auto"/>
              <w:jc w:val="center"/>
              <w:rPr>
                <w:b/>
                <w:sz w:val="18"/>
                <w:szCs w:val="18"/>
              </w:rPr>
            </w:pPr>
            <w:r>
              <w:rPr>
                <w:rFonts w:hint="eastAsia"/>
                <w:b/>
                <w:sz w:val="18"/>
                <w:szCs w:val="18"/>
              </w:rPr>
              <w:t>产品名称</w:t>
            </w:r>
          </w:p>
        </w:tc>
        <w:tc>
          <w:tcPr>
            <w:tcW w:w="1753" w:type="dxa"/>
            <w:vAlign w:val="center"/>
          </w:tcPr>
          <w:p>
            <w:pPr>
              <w:spacing w:line="360" w:lineRule="auto"/>
              <w:jc w:val="center"/>
              <w:rPr>
                <w:b/>
                <w:sz w:val="18"/>
                <w:szCs w:val="18"/>
                <w:lang w:eastAsia="zh-CN"/>
              </w:rPr>
            </w:pPr>
          </w:p>
          <w:p>
            <w:pPr>
              <w:pStyle w:val="2"/>
              <w:spacing w:line="360" w:lineRule="auto"/>
              <w:jc w:val="center"/>
              <w:rPr>
                <w:b/>
                <w:sz w:val="18"/>
                <w:szCs w:val="18"/>
              </w:rPr>
            </w:pPr>
            <w:r>
              <w:rPr>
                <w:rFonts w:hint="eastAsia"/>
                <w:b/>
                <w:sz w:val="18"/>
                <w:szCs w:val="18"/>
              </w:rPr>
              <w:t>规格型号</w:t>
            </w:r>
          </w:p>
        </w:tc>
        <w:tc>
          <w:tcPr>
            <w:tcW w:w="1753" w:type="dxa"/>
            <w:vAlign w:val="center"/>
          </w:tcPr>
          <w:p>
            <w:pPr>
              <w:spacing w:line="360" w:lineRule="auto"/>
              <w:jc w:val="center"/>
              <w:rPr>
                <w:b/>
                <w:sz w:val="18"/>
                <w:szCs w:val="18"/>
                <w:lang w:eastAsia="zh-CN"/>
              </w:rPr>
            </w:pPr>
          </w:p>
          <w:p>
            <w:pPr>
              <w:pStyle w:val="2"/>
              <w:spacing w:line="360" w:lineRule="auto"/>
              <w:jc w:val="center"/>
              <w:rPr>
                <w:b/>
                <w:sz w:val="18"/>
                <w:szCs w:val="18"/>
              </w:rPr>
            </w:pPr>
            <w:r>
              <w:rPr>
                <w:rFonts w:hint="eastAsia"/>
                <w:b/>
                <w:sz w:val="18"/>
                <w:szCs w:val="18"/>
              </w:rPr>
              <w:t>数量</w:t>
            </w:r>
          </w:p>
        </w:tc>
        <w:tc>
          <w:tcPr>
            <w:tcW w:w="1753" w:type="dxa"/>
            <w:vAlign w:val="center"/>
          </w:tcPr>
          <w:p>
            <w:pPr>
              <w:spacing w:line="360" w:lineRule="auto"/>
              <w:jc w:val="center"/>
              <w:rPr>
                <w:b/>
                <w:sz w:val="18"/>
                <w:szCs w:val="18"/>
                <w:lang w:eastAsia="zh-CN"/>
              </w:rPr>
            </w:pPr>
          </w:p>
          <w:p>
            <w:pPr>
              <w:pStyle w:val="2"/>
              <w:spacing w:line="360" w:lineRule="auto"/>
              <w:jc w:val="center"/>
              <w:rPr>
                <w:b/>
                <w:sz w:val="18"/>
                <w:szCs w:val="18"/>
              </w:rPr>
            </w:pPr>
            <w:r>
              <w:rPr>
                <w:rFonts w:hint="eastAsia"/>
                <w:b/>
                <w:sz w:val="18"/>
                <w:szCs w:val="18"/>
              </w:rPr>
              <w:t>单价/元</w:t>
            </w:r>
          </w:p>
        </w:tc>
        <w:tc>
          <w:tcPr>
            <w:tcW w:w="1754" w:type="dxa"/>
            <w:vAlign w:val="center"/>
          </w:tcPr>
          <w:p>
            <w:pPr>
              <w:spacing w:line="360" w:lineRule="auto"/>
              <w:jc w:val="center"/>
              <w:rPr>
                <w:b/>
                <w:sz w:val="18"/>
                <w:szCs w:val="18"/>
                <w:lang w:eastAsia="zh-CN"/>
              </w:rPr>
            </w:pPr>
          </w:p>
          <w:p>
            <w:pPr>
              <w:pStyle w:val="2"/>
              <w:spacing w:line="360" w:lineRule="auto"/>
              <w:jc w:val="center"/>
              <w:rPr>
                <w:b/>
                <w:sz w:val="18"/>
                <w:szCs w:val="18"/>
              </w:rPr>
            </w:pPr>
            <w:r>
              <w:rPr>
                <w:rFonts w:hint="eastAsia"/>
                <w:b/>
                <w:sz w:val="18"/>
                <w:szCs w:val="1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center"/>
          </w:tcPr>
          <w:p>
            <w:pPr>
              <w:pStyle w:val="2"/>
              <w:jc w:val="center"/>
            </w:pPr>
          </w:p>
        </w:tc>
        <w:tc>
          <w:tcPr>
            <w:tcW w:w="1753" w:type="dxa"/>
            <w:vAlign w:val="center"/>
          </w:tcPr>
          <w:p>
            <w:pPr>
              <w:spacing w:line="120" w:lineRule="auto"/>
              <w:jc w:val="center"/>
              <w:rPr>
                <w:sz w:val="24"/>
                <w:lang w:eastAsia="zh-CN"/>
              </w:rPr>
            </w:pPr>
          </w:p>
        </w:tc>
        <w:tc>
          <w:tcPr>
            <w:tcW w:w="1753" w:type="dxa"/>
            <w:vAlign w:val="center"/>
          </w:tcPr>
          <w:p>
            <w:pPr>
              <w:spacing w:line="120" w:lineRule="auto"/>
              <w:jc w:val="center"/>
              <w:rPr>
                <w:sz w:val="24"/>
                <w:lang w:eastAsia="zh-CN"/>
              </w:rPr>
            </w:pPr>
          </w:p>
        </w:tc>
        <w:tc>
          <w:tcPr>
            <w:tcW w:w="1753" w:type="dxa"/>
            <w:vAlign w:val="center"/>
          </w:tcPr>
          <w:p>
            <w:pPr>
              <w:spacing w:line="120" w:lineRule="auto"/>
              <w:jc w:val="center"/>
              <w:rPr>
                <w:sz w:val="24"/>
                <w:lang w:eastAsia="zh-CN"/>
              </w:rPr>
            </w:pPr>
          </w:p>
        </w:tc>
        <w:tc>
          <w:tcPr>
            <w:tcW w:w="1754" w:type="dxa"/>
            <w:vAlign w:val="center"/>
          </w:tcPr>
          <w:p>
            <w:pPr>
              <w:spacing w:line="120" w:lineRule="auto"/>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center"/>
          </w:tcPr>
          <w:p>
            <w:pPr>
              <w:pStyle w:val="2"/>
              <w:jc w:val="center"/>
            </w:pPr>
          </w:p>
        </w:tc>
        <w:tc>
          <w:tcPr>
            <w:tcW w:w="1753" w:type="dxa"/>
            <w:vAlign w:val="center"/>
          </w:tcPr>
          <w:p>
            <w:pPr>
              <w:spacing w:line="120" w:lineRule="auto"/>
              <w:jc w:val="center"/>
              <w:rPr>
                <w:sz w:val="24"/>
                <w:lang w:eastAsia="zh-CN"/>
              </w:rPr>
            </w:pPr>
          </w:p>
        </w:tc>
        <w:tc>
          <w:tcPr>
            <w:tcW w:w="1753" w:type="dxa"/>
            <w:vAlign w:val="center"/>
          </w:tcPr>
          <w:p>
            <w:pPr>
              <w:spacing w:line="120" w:lineRule="auto"/>
              <w:jc w:val="center"/>
              <w:rPr>
                <w:sz w:val="24"/>
                <w:lang w:eastAsia="zh-CN"/>
              </w:rPr>
            </w:pPr>
          </w:p>
        </w:tc>
        <w:tc>
          <w:tcPr>
            <w:tcW w:w="1753" w:type="dxa"/>
            <w:vAlign w:val="center"/>
          </w:tcPr>
          <w:p>
            <w:pPr>
              <w:spacing w:line="120" w:lineRule="auto"/>
              <w:jc w:val="center"/>
              <w:rPr>
                <w:sz w:val="24"/>
                <w:lang w:eastAsia="zh-CN"/>
              </w:rPr>
            </w:pPr>
          </w:p>
        </w:tc>
        <w:tc>
          <w:tcPr>
            <w:tcW w:w="1754" w:type="dxa"/>
            <w:vAlign w:val="center"/>
          </w:tcPr>
          <w:p>
            <w:pPr>
              <w:spacing w:line="120" w:lineRule="auto"/>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506" w:type="dxa"/>
            <w:gridSpan w:val="2"/>
            <w:vAlign w:val="center"/>
          </w:tcPr>
          <w:p>
            <w:pPr>
              <w:spacing w:line="360" w:lineRule="auto"/>
              <w:jc w:val="center"/>
              <w:rPr>
                <w:sz w:val="24"/>
                <w:lang w:eastAsia="zh-CN"/>
              </w:rPr>
            </w:pPr>
            <w:r>
              <w:rPr>
                <w:rFonts w:hint="eastAsia"/>
                <w:sz w:val="24"/>
                <w:lang w:eastAsia="zh-CN"/>
              </w:rPr>
              <w:t>合同金额合计：</w:t>
            </w:r>
          </w:p>
        </w:tc>
        <w:tc>
          <w:tcPr>
            <w:tcW w:w="5260" w:type="dxa"/>
            <w:gridSpan w:val="3"/>
            <w:vAlign w:val="center"/>
          </w:tcPr>
          <w:p>
            <w:pPr>
              <w:spacing w:line="120" w:lineRule="auto"/>
              <w:jc w:val="center"/>
              <w:rPr>
                <w:sz w:val="24"/>
                <w:lang w:eastAsia="zh-CN"/>
              </w:rPr>
            </w:pPr>
          </w:p>
        </w:tc>
      </w:tr>
    </w:tbl>
    <w:p>
      <w:pPr>
        <w:spacing w:line="120" w:lineRule="auto"/>
        <w:ind w:firstLine="360" w:firstLineChars="150"/>
        <w:rPr>
          <w:sz w:val="24"/>
          <w:lang w:eastAsia="zh-CN"/>
        </w:rPr>
      </w:pPr>
    </w:p>
    <w:p>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pPr>
        <w:spacing w:line="360" w:lineRule="auto"/>
        <w:rPr>
          <w:sz w:val="24"/>
          <w:lang w:eastAsia="zh-CN"/>
        </w:rPr>
      </w:pPr>
      <w:r>
        <w:rPr>
          <w:rFonts w:hint="eastAsia"/>
          <w:sz w:val="24"/>
          <w:lang w:eastAsia="zh-CN"/>
        </w:rPr>
        <w:t>2、交货：</w:t>
      </w:r>
    </w:p>
    <w:p>
      <w:pPr>
        <w:spacing w:line="360" w:lineRule="auto"/>
        <w:ind w:firstLine="480" w:firstLineChars="200"/>
        <w:rPr>
          <w:sz w:val="24"/>
          <w:lang w:eastAsia="zh-CN"/>
        </w:rPr>
      </w:pPr>
      <w:r>
        <w:rPr>
          <w:rFonts w:hint="eastAsia"/>
          <w:sz w:val="24"/>
          <w:lang w:eastAsia="zh-CN"/>
        </w:rPr>
        <w:t>2.1交货方式：</w:t>
      </w:r>
      <w:r>
        <w:rPr>
          <w:rFonts w:hint="eastAsia"/>
          <w:sz w:val="24"/>
          <w:u w:val="single"/>
          <w:lang w:eastAsia="zh-CN"/>
        </w:rPr>
        <w:t>货运</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以甲方提供的送货清单和地址明细为准</w:t>
      </w:r>
      <w:r>
        <w:rPr>
          <w:sz w:val="24"/>
          <w:u w:val="single"/>
          <w:lang w:eastAsia="zh-CN"/>
        </w:rPr>
        <w:t xml:space="preserve">   </w:t>
      </w:r>
      <w:r>
        <w:rPr>
          <w:rFonts w:hint="eastAsia"/>
          <w:sz w:val="24"/>
          <w:lang w:eastAsia="zh-CN"/>
        </w:rPr>
        <w:t>（以甲方提供的送货清单和地址明细为准）</w:t>
      </w:r>
    </w:p>
    <w:p>
      <w:pPr>
        <w:spacing w:line="360" w:lineRule="auto"/>
        <w:ind w:firstLine="480" w:firstLineChars="20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提前3个工作日以书面的形式通知乙方。</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360" w:lineRule="auto"/>
        <w:ind w:firstLine="480" w:firstLineChars="200"/>
        <w:rPr>
          <w:sz w:val="24"/>
          <w:lang w:eastAsia="zh-CN"/>
        </w:rPr>
      </w:pPr>
      <w:r>
        <w:rPr>
          <w:rFonts w:hint="eastAsia"/>
          <w:sz w:val="24"/>
          <w:lang w:eastAsia="zh-CN"/>
        </w:rPr>
        <w:t>3.1乙方交付的产品按合同约定标准经甲方验收合格后，甲方向乙方支付合同价款总额的</w:t>
      </w:r>
      <w:r>
        <w:rPr>
          <w:rFonts w:hint="eastAsia"/>
          <w:sz w:val="24"/>
          <w:u w:val="single"/>
          <w:lang w:eastAsia="zh-CN"/>
        </w:rPr>
        <w:t>100</w:t>
      </w:r>
      <w:r>
        <w:rPr>
          <w:rFonts w:hint="eastAsia"/>
          <w:sz w:val="24"/>
          <w:lang w:eastAsia="zh-CN"/>
        </w:rPr>
        <w:t>%货款。</w:t>
      </w:r>
    </w:p>
    <w:p>
      <w:pPr>
        <w:spacing w:line="360" w:lineRule="auto"/>
        <w:ind w:firstLine="480" w:firstLineChars="20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pPr>
        <w:spacing w:line="360" w:lineRule="auto"/>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 xml:space="preserve">    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ind w:firstLine="480" w:firstLineChars="200"/>
        <w:rPr>
          <w:sz w:val="24"/>
          <w:lang w:eastAsia="zh-CN"/>
        </w:rPr>
      </w:pPr>
      <w:r>
        <w:rPr>
          <w:rFonts w:hint="eastAsia"/>
          <w:sz w:val="24"/>
          <w:lang w:eastAsia="zh-CN"/>
        </w:rPr>
        <w:t>5.1乙方为甲方提供下列服务（具体以在□内打“√”为准）</w:t>
      </w:r>
    </w:p>
    <w:p>
      <w:pPr>
        <w:spacing w:line="360" w:lineRule="auto"/>
        <w:ind w:left="604" w:leftChars="220" w:hanging="120" w:hangingChars="5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r>
        <w:rPr>
          <w:rFonts w:hint="eastAsia"/>
          <w:sz w:val="24"/>
          <w:u w:val="single"/>
          <w:lang w:eastAsia="zh-CN"/>
        </w:rPr>
        <w:t xml:space="preserve">        无                                                        </w:t>
      </w:r>
    </w:p>
    <w:p>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r>
        <w:rPr>
          <w:rFonts w:hint="eastAsia"/>
          <w:sz w:val="24"/>
          <w:u w:val="single"/>
          <w:lang w:eastAsia="zh-CN"/>
        </w:rPr>
        <w:t xml:space="preserve"> 无</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r>
        <w:rPr>
          <w:rFonts w:hint="eastAsia"/>
          <w:sz w:val="24"/>
          <w:u w:val="single"/>
          <w:lang w:eastAsia="zh-CN"/>
        </w:rPr>
        <w:t xml:space="preserve"> 无</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r>
        <w:rPr>
          <w:rFonts w:hint="eastAsia"/>
          <w:sz w:val="24"/>
          <w:u w:val="single"/>
          <w:lang w:eastAsia="zh-CN"/>
        </w:rPr>
        <w:t>无</w:t>
      </w:r>
      <w:r>
        <w:rPr>
          <w:sz w:val="24"/>
          <w:u w:val="single"/>
          <w:lang w:eastAsia="zh-CN"/>
        </w:rPr>
        <w:t xml:space="preserve">                                                         </w:t>
      </w:r>
    </w:p>
    <w:p>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 xml:space="preserve">    6.1货物的货到验收包括：型号、规格、数量、外观质量、及货物包装是否完好。</w:t>
      </w:r>
    </w:p>
    <w:p>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 xml:space="preserve">   8.1乙方逾期交货的，每日按照合同总额</w:t>
      </w:r>
      <w:r>
        <w:rPr>
          <w:rFonts w:hint="eastAsia"/>
          <w:color w:val="000000" w:themeColor="text1"/>
          <w:sz w:val="24"/>
          <w:lang w:eastAsia="zh-CN"/>
        </w:rPr>
        <w:t>的</w:t>
      </w:r>
      <w:r>
        <w:rPr>
          <w:color w:val="000000" w:themeColor="text1"/>
          <w:sz w:val="24"/>
          <w:u w:val="single"/>
          <w:lang w:eastAsia="zh-CN"/>
        </w:rPr>
        <w:t xml:space="preserve"> </w:t>
      </w:r>
      <w:r>
        <w:rPr>
          <w:rFonts w:hint="eastAsia"/>
          <w:color w:val="000000" w:themeColor="text1"/>
          <w:sz w:val="24"/>
          <w:u w:val="single"/>
          <w:lang w:eastAsia="zh-CN"/>
        </w:rPr>
        <w:t xml:space="preserve">3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rFonts w:hint="eastAsia"/>
          <w:sz w:val="24"/>
          <w:lang w:eastAsia="zh-CN"/>
        </w:rPr>
        <w:t>%的违约金（甲方可从应付给乙方的货款中直接扣除）。乙方部分交货、交货不合格的，均按照逾期交货处理。</w:t>
      </w:r>
    </w:p>
    <w:p>
      <w:pPr>
        <w:spacing w:line="360" w:lineRule="auto"/>
        <w:rPr>
          <w:sz w:val="24"/>
          <w:lang w:eastAsia="zh-CN"/>
        </w:rPr>
      </w:pPr>
      <w:r>
        <w:rPr>
          <w:rFonts w:hint="eastAsia"/>
          <w:sz w:val="24"/>
          <w:lang w:eastAsia="zh-CN"/>
        </w:rPr>
        <w:t xml:space="preserve">   8.2 乙方交付的产品经甲方验收不合格的，每次应向甲方支付违约金人民币</w:t>
      </w:r>
      <w:r>
        <w:rPr>
          <w:rFonts w:hint="eastAsia"/>
          <w:sz w:val="24"/>
          <w:u w:val="single"/>
          <w:lang w:eastAsia="zh-CN"/>
        </w:rPr>
        <w:t>1000元</w:t>
      </w:r>
      <w:r>
        <w:rPr>
          <w:rFonts w:hint="eastAsia"/>
          <w:sz w:val="24"/>
          <w:lang w:eastAsia="zh-CN"/>
        </w:rPr>
        <w:t>，并应根据甲方要求进行修理、更换或采取其他补救措施。累计</w:t>
      </w:r>
      <w:r>
        <w:rPr>
          <w:sz w:val="24"/>
          <w:u w:val="single"/>
          <w:lang w:eastAsia="zh-CN"/>
        </w:rPr>
        <w:t xml:space="preserve"> </w:t>
      </w:r>
      <w:r>
        <w:rPr>
          <w:rFonts w:hint="eastAsia"/>
          <w:sz w:val="24"/>
          <w:u w:val="single"/>
          <w:lang w:eastAsia="zh-CN"/>
        </w:rPr>
        <w:t>三</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 xml:space="preserve">   8.3 甲方无故逾期付款的，按照银行同期贷款利率标准支付利息。</w:t>
      </w:r>
    </w:p>
    <w:p>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120" w:firstLineChars="50"/>
        <w:rPr>
          <w:sz w:val="24"/>
          <w:lang w:eastAsia="zh-CN"/>
        </w:rPr>
      </w:pPr>
      <w:r>
        <w:rPr>
          <w:rFonts w:hint="eastAsia"/>
          <w:sz w:val="24"/>
          <w:lang w:eastAsia="zh-CN"/>
        </w:rPr>
        <w:t>9、法律的适用及争议解决方式</w:t>
      </w:r>
    </w:p>
    <w:p>
      <w:pPr>
        <w:spacing w:line="360" w:lineRule="auto"/>
        <w:ind w:firstLine="360" w:firstLineChars="150"/>
        <w:rPr>
          <w:sz w:val="24"/>
          <w:lang w:eastAsia="zh-CN"/>
        </w:rPr>
      </w:pPr>
      <w:r>
        <w:rPr>
          <w:rFonts w:hint="eastAsia"/>
          <w:sz w:val="24"/>
          <w:lang w:eastAsia="zh-CN"/>
        </w:rPr>
        <w:t>9.1、本合同的效力、解释及履行均适用中华人民共和国法律。</w:t>
      </w:r>
    </w:p>
    <w:p>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lang w:eastAsia="zh-CN"/>
        </w:rPr>
      </w:pPr>
      <w:r>
        <w:rPr>
          <w:rFonts w:hint="eastAsia"/>
          <w:sz w:val="24"/>
          <w:lang w:eastAsia="zh-CN"/>
        </w:rPr>
        <w:t>12、本合同一式四份，经双方签订后生效，甲方执三份、乙方执一份，具有同等效力。</w:t>
      </w:r>
    </w:p>
    <w:p>
      <w:pPr>
        <w:spacing w:line="360" w:lineRule="auto"/>
        <w:ind w:firstLine="480" w:firstLineChars="200"/>
        <w:rPr>
          <w:sz w:val="24"/>
          <w:lang w:eastAsia="zh-CN"/>
        </w:rPr>
      </w:pPr>
    </w:p>
    <w:p>
      <w:pPr>
        <w:spacing w:line="360" w:lineRule="auto"/>
        <w:ind w:firstLine="480" w:firstLineChars="200"/>
        <w:rPr>
          <w:sz w:val="24"/>
          <w:lang w:eastAsia="zh-CN"/>
        </w:rPr>
      </w:pP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甲方：</w:t>
            </w:r>
          </w:p>
        </w:tc>
        <w:tc>
          <w:tcPr>
            <w:tcW w:w="4821" w:type="dxa"/>
            <w:vAlign w:val="center"/>
          </w:tcPr>
          <w:p>
            <w:pPr>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w:t>
            </w:r>
          </w:p>
        </w:tc>
        <w:tc>
          <w:tcPr>
            <w:tcW w:w="4821" w:type="dxa"/>
            <w:vAlign w:val="center"/>
          </w:tcPr>
          <w:p>
            <w:pPr>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委托代理人：</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电话：</w:t>
            </w:r>
          </w:p>
        </w:tc>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开户银行：</w:t>
            </w:r>
          </w:p>
        </w:tc>
        <w:tc>
          <w:tcPr>
            <w:tcW w:w="4821" w:type="dxa"/>
            <w:vAlign w:val="center"/>
          </w:tcPr>
          <w:p>
            <w:pPr>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账号：</w:t>
            </w:r>
          </w:p>
        </w:tc>
        <w:tc>
          <w:tcPr>
            <w:tcW w:w="4821" w:type="dxa"/>
            <w:vAlign w:val="center"/>
          </w:tcPr>
          <w:p>
            <w:pPr>
              <w:spacing w:line="360" w:lineRule="auto"/>
              <w:rPr>
                <w:sz w:val="24"/>
              </w:rPr>
            </w:pPr>
            <w:r>
              <w:rPr>
                <w:rFonts w:hint="eastAsia"/>
                <w:sz w:val="24"/>
              </w:rPr>
              <w:t>账号：</w:t>
            </w:r>
          </w:p>
        </w:tc>
      </w:tr>
    </w:tbl>
    <w:p>
      <w:pPr>
        <w:ind w:firstLine="883" w:firstLineChars="200"/>
        <w:rPr>
          <w:b/>
          <w:sz w:val="44"/>
          <w:szCs w:val="44"/>
          <w:lang w:eastAsia="zh-CN"/>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8"/>
          <w:szCs w:val="48"/>
          <w:lang w:eastAsia="zh-CN"/>
        </w:rPr>
      </w:pPr>
    </w:p>
    <w:p>
      <w:pPr>
        <w:pStyle w:val="25"/>
        <w:spacing w:line="615" w:lineRule="exact"/>
        <w:jc w:val="center"/>
        <w:rPr>
          <w:rFonts w:ascii="方正小标宋简体" w:hAnsi="方正小标宋简体" w:eastAsia="方正小标宋简体" w:cs="方正小标宋简体"/>
          <w:b/>
          <w:sz w:val="48"/>
          <w:szCs w:val="48"/>
          <w:lang w:eastAsia="zh-CN"/>
        </w:rPr>
      </w:pPr>
    </w:p>
    <w:p>
      <w:pPr>
        <w:tabs>
          <w:tab w:val="left" w:pos="5376"/>
        </w:tabs>
        <w:jc w:val="center"/>
        <w:rPr>
          <w:rFonts w:asciiTheme="minorEastAsia" w:hAnsiTheme="minorEastAsia" w:eastAsiaTheme="minorEastAsia"/>
          <w:b/>
          <w:bCs/>
          <w:sz w:val="44"/>
          <w:szCs w:val="44"/>
          <w:lang w:eastAsia="zh-CN"/>
        </w:rPr>
      </w:pPr>
      <w:r>
        <w:rPr>
          <w:rFonts w:hint="eastAsia" w:asciiTheme="minorEastAsia" w:hAnsiTheme="minorEastAsia" w:eastAsiaTheme="minorEastAsia"/>
          <w:b/>
          <w:bCs/>
          <w:sz w:val="44"/>
          <w:szCs w:val="44"/>
          <w:lang w:eastAsia="zh-CN"/>
        </w:rPr>
        <w:t>2021年春节慰问品采购项目</w:t>
      </w: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1</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pStyle w:val="2"/>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tabs>
          <w:tab w:val="left" w:pos="5376"/>
        </w:tabs>
        <w:spacing w:line="700" w:lineRule="exact"/>
        <w:rPr>
          <w:rFonts w:asciiTheme="minorEastAsia" w:hAnsiTheme="minorEastAsia" w:eastAsiaTheme="minorEastAsia"/>
          <w:b/>
          <w:bCs/>
          <w:sz w:val="24"/>
          <w:szCs w:val="24"/>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bCs/>
          <w:sz w:val="24"/>
          <w:szCs w:val="24"/>
          <w:lang w:eastAsia="zh-CN"/>
        </w:rPr>
        <w:t>2021年春节慰问品采购项目</w:t>
      </w:r>
      <w:r>
        <w:rPr>
          <w:rFonts w:hint="eastAsia"/>
          <w:lang w:eastAsia="zh-CN"/>
        </w:rPr>
        <w:t>公开自主比选，以本公司名义参与报价、合同执行并处理与之有关的其他事务，相关责任及后果由本公司承担。</w:t>
      </w:r>
    </w:p>
    <w:p>
      <w:pPr>
        <w:spacing w:line="7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eastAsia="zh-CN"/>
        </w:rPr>
        <w:t>1年1月   日</w:t>
      </w:r>
      <w:r>
        <w:rPr>
          <w:rFonts w:hint="eastAsia"/>
          <w:sz w:val="24"/>
          <w:lang w:eastAsia="zh-CN"/>
        </w:rPr>
        <w:t>生效，本授权书有效期至此次报价，以及合同履行完毕时止。</w:t>
      </w:r>
    </w:p>
    <w:p>
      <w:pPr>
        <w:spacing w:line="700" w:lineRule="exact"/>
        <w:ind w:firstLine="480" w:firstLineChars="200"/>
        <w:rPr>
          <w:sz w:val="24"/>
          <w:lang w:eastAsia="zh-CN"/>
        </w:rPr>
      </w:pPr>
      <w:r>
        <w:rPr>
          <w:rFonts w:hint="eastAsia"/>
          <w:sz w:val="24"/>
          <w:lang w:eastAsia="zh-CN"/>
        </w:rPr>
        <w:t>特此声明。</w:t>
      </w:r>
    </w:p>
    <w:p>
      <w:pPr>
        <w:pStyle w:val="2"/>
        <w:spacing w:line="700" w:lineRule="exact"/>
      </w:pPr>
    </w:p>
    <w:p>
      <w:pPr>
        <w:spacing w:line="700" w:lineRule="exact"/>
        <w:rPr>
          <w:sz w:val="24"/>
          <w:lang w:eastAsia="zh-CN"/>
        </w:rPr>
      </w:pPr>
      <w:r>
        <w:rPr>
          <w:rFonts w:hint="eastAsia"/>
          <w:sz w:val="24"/>
          <w:lang w:eastAsia="zh-CN"/>
        </w:rPr>
        <w:t xml:space="preserve">    法人代表（签字）：</w:t>
      </w:r>
    </w:p>
    <w:p>
      <w:pPr>
        <w:spacing w:line="700" w:lineRule="exact"/>
        <w:rPr>
          <w:sz w:val="24"/>
          <w:lang w:eastAsia="zh-CN"/>
        </w:rPr>
      </w:pPr>
    </w:p>
    <w:p>
      <w:pPr>
        <w:spacing w:line="700" w:lineRule="exact"/>
        <w:rPr>
          <w:sz w:val="24"/>
          <w:lang w:eastAsia="zh-CN"/>
        </w:rPr>
      </w:pPr>
      <w:r>
        <w:rPr>
          <w:rFonts w:hint="eastAsia"/>
          <w:sz w:val="24"/>
          <w:lang w:eastAsia="zh-CN"/>
        </w:rPr>
        <w:t xml:space="preserve">    被授权代表签字：</w:t>
      </w:r>
    </w:p>
    <w:p>
      <w:pPr>
        <w:spacing w:line="700" w:lineRule="exact"/>
        <w:rPr>
          <w:sz w:val="24"/>
          <w:lang w:eastAsia="zh-CN"/>
        </w:rPr>
      </w:pPr>
    </w:p>
    <w:p>
      <w:pPr>
        <w:pStyle w:val="2"/>
      </w:pPr>
    </w:p>
    <w:p>
      <w:pPr>
        <w:pStyle w:val="2"/>
      </w:pPr>
    </w:p>
    <w:p>
      <w:pPr>
        <w:pStyle w:val="2"/>
      </w:pPr>
    </w:p>
    <w:p>
      <w:pPr>
        <w:pStyle w:val="2"/>
        <w:ind w:firstLine="3480" w:firstLineChars="1450"/>
        <w:rPr>
          <w:color w:val="4E6127"/>
        </w:rPr>
      </w:pPr>
      <w:r>
        <w:rPr>
          <w:rFonts w:hint="eastAsia"/>
          <w:sz w:val="24"/>
          <w:szCs w:val="24"/>
        </w:rPr>
        <w:t>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bookmarkEnd w:id="0"/>
    <w:p>
      <w:pPr>
        <w:snapToGrid w:val="0"/>
        <w:spacing w:line="400" w:lineRule="exact"/>
        <w:rPr>
          <w:b/>
          <w:bCs/>
          <w:sz w:val="32"/>
          <w:szCs w:val="32"/>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4C5E"/>
    <w:rsid w:val="000063E0"/>
    <w:rsid w:val="00024F57"/>
    <w:rsid w:val="00025717"/>
    <w:rsid w:val="000277D1"/>
    <w:rsid w:val="000367ED"/>
    <w:rsid w:val="00037CA5"/>
    <w:rsid w:val="00037D7F"/>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A17"/>
    <w:rsid w:val="001B5CD4"/>
    <w:rsid w:val="001B698B"/>
    <w:rsid w:val="001B6BA4"/>
    <w:rsid w:val="001B75C3"/>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6CDC"/>
    <w:rsid w:val="0022539B"/>
    <w:rsid w:val="002265AD"/>
    <w:rsid w:val="00227556"/>
    <w:rsid w:val="002305DA"/>
    <w:rsid w:val="002318C1"/>
    <w:rsid w:val="00233571"/>
    <w:rsid w:val="002336A1"/>
    <w:rsid w:val="00241E6B"/>
    <w:rsid w:val="002420C3"/>
    <w:rsid w:val="00242301"/>
    <w:rsid w:val="002426AB"/>
    <w:rsid w:val="002427A9"/>
    <w:rsid w:val="00242853"/>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6560"/>
    <w:rsid w:val="00277016"/>
    <w:rsid w:val="00277153"/>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6D59"/>
    <w:rsid w:val="002B7711"/>
    <w:rsid w:val="002C1AC1"/>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6FF9"/>
    <w:rsid w:val="0037744D"/>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3F3C"/>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7706"/>
    <w:rsid w:val="00437CA2"/>
    <w:rsid w:val="0045384C"/>
    <w:rsid w:val="0045422B"/>
    <w:rsid w:val="00456BAB"/>
    <w:rsid w:val="00457960"/>
    <w:rsid w:val="00457D92"/>
    <w:rsid w:val="00465443"/>
    <w:rsid w:val="00465D19"/>
    <w:rsid w:val="00471DDB"/>
    <w:rsid w:val="0047282D"/>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61CBA"/>
    <w:rsid w:val="006631EB"/>
    <w:rsid w:val="00664A57"/>
    <w:rsid w:val="00664E56"/>
    <w:rsid w:val="00670D8E"/>
    <w:rsid w:val="00672C67"/>
    <w:rsid w:val="006853EF"/>
    <w:rsid w:val="0068543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1047"/>
    <w:rsid w:val="00714008"/>
    <w:rsid w:val="00714DA2"/>
    <w:rsid w:val="00714E93"/>
    <w:rsid w:val="00720604"/>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5F8"/>
    <w:rsid w:val="00756D3B"/>
    <w:rsid w:val="007579F8"/>
    <w:rsid w:val="007601EF"/>
    <w:rsid w:val="00760373"/>
    <w:rsid w:val="00765516"/>
    <w:rsid w:val="007663DB"/>
    <w:rsid w:val="0077340B"/>
    <w:rsid w:val="00774034"/>
    <w:rsid w:val="00774B0C"/>
    <w:rsid w:val="0078000C"/>
    <w:rsid w:val="007835A6"/>
    <w:rsid w:val="00783DB3"/>
    <w:rsid w:val="007852EA"/>
    <w:rsid w:val="00786BE0"/>
    <w:rsid w:val="00794F72"/>
    <w:rsid w:val="00795740"/>
    <w:rsid w:val="00795E53"/>
    <w:rsid w:val="007A03D6"/>
    <w:rsid w:val="007A3E3F"/>
    <w:rsid w:val="007B0D4F"/>
    <w:rsid w:val="007B4F0E"/>
    <w:rsid w:val="007B6DEA"/>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4593"/>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8F3984"/>
    <w:rsid w:val="0090146C"/>
    <w:rsid w:val="00902DF2"/>
    <w:rsid w:val="009032FB"/>
    <w:rsid w:val="0090741A"/>
    <w:rsid w:val="0091639C"/>
    <w:rsid w:val="00917368"/>
    <w:rsid w:val="00930487"/>
    <w:rsid w:val="009312CA"/>
    <w:rsid w:val="00932AE2"/>
    <w:rsid w:val="009353D9"/>
    <w:rsid w:val="00937414"/>
    <w:rsid w:val="00944ED5"/>
    <w:rsid w:val="00946DB3"/>
    <w:rsid w:val="009508B9"/>
    <w:rsid w:val="00952F8D"/>
    <w:rsid w:val="0095432E"/>
    <w:rsid w:val="00955A6F"/>
    <w:rsid w:val="009626F3"/>
    <w:rsid w:val="00963B02"/>
    <w:rsid w:val="00964F96"/>
    <w:rsid w:val="009663D1"/>
    <w:rsid w:val="00967170"/>
    <w:rsid w:val="00967702"/>
    <w:rsid w:val="00967BFC"/>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9F6AA0"/>
    <w:rsid w:val="00A00E59"/>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20E5"/>
    <w:rsid w:val="00B544E9"/>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6B7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D7A67"/>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1981"/>
    <w:rsid w:val="00C22A4E"/>
    <w:rsid w:val="00C257AE"/>
    <w:rsid w:val="00C2610F"/>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5372"/>
    <w:rsid w:val="00CB65E8"/>
    <w:rsid w:val="00CC6798"/>
    <w:rsid w:val="00CD371C"/>
    <w:rsid w:val="00CD3723"/>
    <w:rsid w:val="00CD623F"/>
    <w:rsid w:val="00CD6E7E"/>
    <w:rsid w:val="00CD7E0C"/>
    <w:rsid w:val="00CE2DB4"/>
    <w:rsid w:val="00CE411C"/>
    <w:rsid w:val="00CE52B5"/>
    <w:rsid w:val="00CE591F"/>
    <w:rsid w:val="00CE79E4"/>
    <w:rsid w:val="00CE7A4A"/>
    <w:rsid w:val="00CF089D"/>
    <w:rsid w:val="00CF10F2"/>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20DC"/>
    <w:rsid w:val="00DD3B90"/>
    <w:rsid w:val="00DD56C2"/>
    <w:rsid w:val="00DD7548"/>
    <w:rsid w:val="00DE63EC"/>
    <w:rsid w:val="00DF1709"/>
    <w:rsid w:val="00DF30E1"/>
    <w:rsid w:val="00DF35F4"/>
    <w:rsid w:val="00DF41E5"/>
    <w:rsid w:val="00DF463A"/>
    <w:rsid w:val="00DF5B52"/>
    <w:rsid w:val="00DF7638"/>
    <w:rsid w:val="00E00780"/>
    <w:rsid w:val="00E0472B"/>
    <w:rsid w:val="00E05BE2"/>
    <w:rsid w:val="00E068F1"/>
    <w:rsid w:val="00E12E5B"/>
    <w:rsid w:val="00E13875"/>
    <w:rsid w:val="00E155F5"/>
    <w:rsid w:val="00E2053F"/>
    <w:rsid w:val="00E21054"/>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12C3"/>
    <w:rsid w:val="00F33553"/>
    <w:rsid w:val="00F33B6B"/>
    <w:rsid w:val="00F35A38"/>
    <w:rsid w:val="00F37425"/>
    <w:rsid w:val="00F40CA6"/>
    <w:rsid w:val="00F418B2"/>
    <w:rsid w:val="00F43F82"/>
    <w:rsid w:val="00F456BA"/>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62BA"/>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6E6"/>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E3A3448"/>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8"/>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5"/>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4"/>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9"/>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9"/>
    <w:qFormat/>
    <w:uiPriority w:val="1"/>
    <w:rPr>
      <w:sz w:val="24"/>
      <w:szCs w:val="24"/>
    </w:rPr>
  </w:style>
  <w:style w:type="paragraph" w:styleId="21">
    <w:name w:val="Body Text Indent"/>
    <w:basedOn w:val="1"/>
    <w:link w:val="93"/>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0"/>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9"/>
    <w:uiPriority w:val="99"/>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8"/>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0">
    <w:name w:val="footer"/>
    <w:basedOn w:val="1"/>
    <w:link w:val="71"/>
    <w:qFormat/>
    <w:uiPriority w:val="99"/>
    <w:pPr>
      <w:tabs>
        <w:tab w:val="center" w:pos="4153"/>
        <w:tab w:val="right" w:pos="8306"/>
      </w:tabs>
      <w:snapToGrid w:val="0"/>
    </w:pPr>
    <w:rPr>
      <w:sz w:val="18"/>
      <w:szCs w:val="18"/>
    </w:rPr>
  </w:style>
  <w:style w:type="paragraph" w:styleId="31">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7"/>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00"/>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102"/>
    <w:uiPriority w:val="0"/>
    <w:pPr>
      <w:widowControl/>
    </w:pPr>
    <w:rPr>
      <w:b/>
      <w:bCs/>
      <w:sz w:val="24"/>
      <w:szCs w:val="24"/>
    </w:rPr>
  </w:style>
  <w:style w:type="paragraph" w:styleId="45">
    <w:name w:val="Body Text First Indent"/>
    <w:basedOn w:val="20"/>
    <w:link w:val="101"/>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qFormat/>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cs="宋体"/>
      <w:b/>
      <w:bCs/>
      <w:sz w:val="28"/>
      <w:szCs w:val="28"/>
      <w:lang w:eastAsia="en-US"/>
    </w:rPr>
  </w:style>
  <w:style w:type="character" w:customStyle="1" w:styleId="60">
    <w:name w:val="标题 2 Char"/>
    <w:basedOn w:val="48"/>
    <w:link w:val="4"/>
    <w:qFormat/>
    <w:uiPriority w:val="0"/>
    <w:rPr>
      <w:rFonts w:ascii="宋体" w:hAnsi="宋体" w:cs="宋体"/>
      <w:b/>
      <w:bCs/>
      <w:sz w:val="24"/>
      <w:szCs w:val="24"/>
      <w:lang w:eastAsia="en-US"/>
    </w:rPr>
  </w:style>
  <w:style w:type="character" w:customStyle="1" w:styleId="61">
    <w:name w:val="标题 3 Char"/>
    <w:basedOn w:val="48"/>
    <w:link w:val="5"/>
    <w:qFormat/>
    <w:uiPriority w:val="0"/>
    <w:rPr>
      <w:b/>
      <w:bCs/>
      <w:kern w:val="2"/>
      <w:sz w:val="32"/>
      <w:szCs w:val="32"/>
    </w:rPr>
  </w:style>
  <w:style w:type="character" w:customStyle="1" w:styleId="62">
    <w:name w:val="标题 4 Char"/>
    <w:basedOn w:val="48"/>
    <w:link w:val="6"/>
    <w:qFormat/>
    <w:uiPriority w:val="0"/>
    <w:rPr>
      <w:b/>
      <w:kern w:val="2"/>
      <w:sz w:val="24"/>
      <w:szCs w:val="24"/>
    </w:rPr>
  </w:style>
  <w:style w:type="character" w:customStyle="1" w:styleId="63">
    <w:name w:val="标题 5 Char"/>
    <w:basedOn w:val="48"/>
    <w:link w:val="7"/>
    <w:qFormat/>
    <w:uiPriority w:val="0"/>
    <w:rPr>
      <w:b/>
      <w:bCs/>
      <w:kern w:val="2"/>
      <w:sz w:val="28"/>
      <w:szCs w:val="28"/>
    </w:rPr>
  </w:style>
  <w:style w:type="character" w:customStyle="1" w:styleId="64">
    <w:name w:val="标题 6 Char"/>
    <w:basedOn w:val="48"/>
    <w:link w:val="8"/>
    <w:qFormat/>
    <w:uiPriority w:val="0"/>
    <w:rPr>
      <w:b/>
      <w:sz w:val="24"/>
    </w:rPr>
  </w:style>
  <w:style w:type="character" w:customStyle="1" w:styleId="65">
    <w:name w:val="正文缩进 Char"/>
    <w:basedOn w:val="48"/>
    <w:link w:val="10"/>
    <w:qFormat/>
    <w:uiPriority w:val="0"/>
    <w:rPr>
      <w:sz w:val="24"/>
    </w:rPr>
  </w:style>
  <w:style w:type="character" w:customStyle="1" w:styleId="66">
    <w:name w:val="标题 7 Char"/>
    <w:basedOn w:val="48"/>
    <w:link w:val="9"/>
    <w:qFormat/>
    <w:uiPriority w:val="0"/>
    <w:rPr>
      <w:b/>
      <w:kern w:val="2"/>
      <w:sz w:val="24"/>
    </w:rPr>
  </w:style>
  <w:style w:type="character" w:customStyle="1" w:styleId="67">
    <w:name w:val="标题 8 Char"/>
    <w:basedOn w:val="48"/>
    <w:link w:val="11"/>
    <w:qFormat/>
    <w:uiPriority w:val="0"/>
    <w:rPr>
      <w:rFonts w:ascii="Arial" w:hAnsi="Arial" w:eastAsia="黑体"/>
      <w:kern w:val="2"/>
      <w:sz w:val="24"/>
    </w:rPr>
  </w:style>
  <w:style w:type="character" w:customStyle="1" w:styleId="68">
    <w:name w:val="标题 9 Char"/>
    <w:basedOn w:val="48"/>
    <w:link w:val="12"/>
    <w:qFormat/>
    <w:uiPriority w:val="0"/>
    <w:rPr>
      <w:rFonts w:ascii="Arial" w:hAnsi="Arial" w:eastAsia="黑体"/>
      <w:kern w:val="2"/>
      <w:sz w:val="21"/>
    </w:rPr>
  </w:style>
  <w:style w:type="character" w:customStyle="1" w:styleId="69">
    <w:name w:val="正文文本 Char1"/>
    <w:basedOn w:val="48"/>
    <w:link w:val="20"/>
    <w:qFormat/>
    <w:uiPriority w:val="0"/>
    <w:rPr>
      <w:rFonts w:ascii="宋体" w:hAnsi="宋体" w:cs="宋体"/>
      <w:sz w:val="24"/>
      <w:szCs w:val="24"/>
      <w:lang w:eastAsia="en-US"/>
    </w:rPr>
  </w:style>
  <w:style w:type="character" w:customStyle="1" w:styleId="70">
    <w:name w:val="纯文本 Char"/>
    <w:basedOn w:val="48"/>
    <w:link w:val="25"/>
    <w:qFormat/>
    <w:uiPriority w:val="0"/>
    <w:rPr>
      <w:rFonts w:ascii="宋体" w:hAnsi="Courier New" w:cs="Courier New"/>
      <w:sz w:val="22"/>
      <w:szCs w:val="21"/>
      <w:lang w:eastAsia="en-US"/>
    </w:rPr>
  </w:style>
  <w:style w:type="character" w:customStyle="1" w:styleId="71">
    <w:name w:val="页脚 Char"/>
    <w:basedOn w:val="48"/>
    <w:link w:val="30"/>
    <w:qFormat/>
    <w:uiPriority w:val="99"/>
    <w:rPr>
      <w:rFonts w:ascii="宋体" w:hAnsi="宋体" w:cs="宋体"/>
      <w:sz w:val="18"/>
      <w:szCs w:val="18"/>
      <w:lang w:eastAsia="en-US"/>
    </w:rPr>
  </w:style>
  <w:style w:type="character" w:customStyle="1" w:styleId="72">
    <w:name w:val="页眉 Char"/>
    <w:basedOn w:val="48"/>
    <w:link w:val="31"/>
    <w:qFormat/>
    <w:uiPriority w:val="99"/>
    <w:rPr>
      <w:rFonts w:ascii="宋体" w:hAnsi="宋体" w:cs="宋体"/>
      <w:sz w:val="18"/>
      <w:szCs w:val="22"/>
      <w:lang w:eastAsia="en-US"/>
    </w:rPr>
  </w:style>
  <w:style w:type="table" w:customStyle="1" w:styleId="73">
    <w:name w:val="Table Normal"/>
    <w:semiHidden/>
    <w:unhideWhenUsed/>
    <w:qFormat/>
    <w:uiPriority w:val="2"/>
    <w:tblPr>
      <w:tblCellMar>
        <w:top w:w="0" w:type="dxa"/>
        <w:left w:w="0" w:type="dxa"/>
        <w:bottom w:w="0" w:type="dxa"/>
        <w:right w:w="0" w:type="dxa"/>
      </w:tblCellMar>
    </w:tblPr>
  </w:style>
  <w:style w:type="paragraph" w:styleId="74">
    <w:name w:val="List Paragraph"/>
    <w:basedOn w:val="1"/>
    <w:link w:val="252"/>
    <w:qFormat/>
    <w:uiPriority w:val="34"/>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8"/>
    <w:link w:val="19"/>
    <w:qFormat/>
    <w:uiPriority w:val="0"/>
    <w:rPr>
      <w:b/>
      <w:kern w:val="2"/>
      <w:sz w:val="21"/>
    </w:rPr>
  </w:style>
  <w:style w:type="character" w:customStyle="1" w:styleId="80">
    <w:name w:val="普通(网站) Char"/>
    <w:basedOn w:val="48"/>
    <w:link w:val="41"/>
    <w:qFormat/>
    <w:locked/>
    <w:uiPriority w:val="0"/>
    <w:rPr>
      <w:rFonts w:ascii="宋体" w:hAnsi="宋体" w:cs="宋体"/>
      <w:sz w:val="24"/>
      <w:szCs w:val="24"/>
    </w:rPr>
  </w:style>
  <w:style w:type="character" w:customStyle="1" w:styleId="81">
    <w:name w:val="xdrichtextbox2"/>
    <w:basedOn w:val="48"/>
    <w:qFormat/>
    <w:uiPriority w:val="0"/>
    <w:rPr>
      <w:color w:val="0000FF"/>
      <w:sz w:val="18"/>
      <w:szCs w:val="18"/>
      <w:u w:val="none"/>
      <w:bdr w:val="single" w:color="DCDCDC" w:sz="8" w:space="0"/>
      <w:shd w:val="clear" w:color="auto" w:fill="FFFFFF"/>
    </w:rPr>
  </w:style>
  <w:style w:type="character" w:customStyle="1" w:styleId="82">
    <w:name w:val="apple-converted-space"/>
    <w:basedOn w:val="48"/>
    <w:qFormat/>
    <w:uiPriority w:val="0"/>
  </w:style>
  <w:style w:type="character" w:customStyle="1" w:styleId="83">
    <w:name w:val="无间隔 Char"/>
    <w:basedOn w:val="48"/>
    <w:link w:val="84"/>
    <w:qFormat/>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8"/>
    <w:link w:val="17"/>
    <w:qFormat/>
    <w:uiPriority w:val="0"/>
    <w:rPr>
      <w:kern w:val="2"/>
      <w:sz w:val="21"/>
    </w:rPr>
  </w:style>
  <w:style w:type="character" w:customStyle="1" w:styleId="86">
    <w:name w:val="批注框文本 Char"/>
    <w:basedOn w:val="48"/>
    <w:link w:val="29"/>
    <w:qFormat/>
    <w:uiPriority w:val="99"/>
    <w:rPr>
      <w:kern w:val="2"/>
      <w:sz w:val="18"/>
      <w:szCs w:val="18"/>
    </w:rPr>
  </w:style>
  <w:style w:type="character" w:customStyle="1" w:styleId="87">
    <w:name w:val="正文文本缩进 3 Char"/>
    <w:basedOn w:val="48"/>
    <w:link w:val="35"/>
    <w:qFormat/>
    <w:uiPriority w:val="0"/>
    <w:rPr>
      <w:kern w:val="2"/>
      <w:sz w:val="28"/>
    </w:rPr>
  </w:style>
  <w:style w:type="character" w:customStyle="1" w:styleId="88">
    <w:name w:val="正文文本缩进 2 Char"/>
    <w:basedOn w:val="48"/>
    <w:link w:val="28"/>
    <w:uiPriority w:val="0"/>
    <w:rPr>
      <w:rFonts w:ascii="宋体" w:hAnsi="宋体"/>
      <w:iCs/>
      <w:kern w:val="2"/>
      <w:sz w:val="24"/>
      <w:szCs w:val="24"/>
    </w:rPr>
  </w:style>
  <w:style w:type="character" w:customStyle="1" w:styleId="89">
    <w:name w:val="正文文本 Char"/>
    <w:basedOn w:val="48"/>
    <w:qFormat/>
    <w:uiPriority w:val="0"/>
    <w:rPr>
      <w:rFonts w:eastAsia="宋体"/>
      <w:sz w:val="24"/>
      <w:szCs w:val="24"/>
      <w:lang w:val="en-US" w:eastAsia="zh-CN" w:bidi="ar-SA"/>
    </w:rPr>
  </w:style>
  <w:style w:type="character" w:customStyle="1" w:styleId="90">
    <w:name w:val="en1"/>
    <w:basedOn w:val="48"/>
    <w:qFormat/>
    <w:uiPriority w:val="0"/>
    <w:rPr>
      <w:b/>
      <w:bCs/>
      <w:color w:val="154C7F"/>
      <w:sz w:val="24"/>
      <w:szCs w:val="24"/>
    </w:rPr>
  </w:style>
  <w:style w:type="character" w:customStyle="1" w:styleId="91">
    <w:name w:val="font01"/>
    <w:basedOn w:val="48"/>
    <w:qFormat/>
    <w:uiPriority w:val="0"/>
    <w:rPr>
      <w:rFonts w:hint="eastAsia" w:ascii="宋体" w:hAnsi="宋体" w:eastAsia="宋体" w:cs="宋体"/>
      <w:color w:val="000000"/>
      <w:sz w:val="20"/>
      <w:szCs w:val="20"/>
      <w:u w:val="none"/>
    </w:rPr>
  </w:style>
  <w:style w:type="character" w:customStyle="1" w:styleId="92">
    <w:name w:val="标题 Char"/>
    <w:basedOn w:val="48"/>
    <w:link w:val="43"/>
    <w:uiPriority w:val="0"/>
    <w:rPr>
      <w:rFonts w:ascii="Arial" w:hAnsi="Arial" w:cs="Arial"/>
      <w:b/>
      <w:bCs/>
      <w:sz w:val="44"/>
      <w:szCs w:val="32"/>
    </w:rPr>
  </w:style>
  <w:style w:type="character" w:customStyle="1" w:styleId="93">
    <w:name w:val="正文文本缩进 Char"/>
    <w:basedOn w:val="48"/>
    <w:link w:val="21"/>
    <w:qFormat/>
    <w:uiPriority w:val="0"/>
    <w:rPr>
      <w:i/>
      <w:iCs/>
      <w:kern w:val="2"/>
      <w:sz w:val="21"/>
    </w:rPr>
  </w:style>
  <w:style w:type="character" w:customStyle="1" w:styleId="94">
    <w:name w:val="正文文本 3 Char"/>
    <w:basedOn w:val="48"/>
    <w:link w:val="18"/>
    <w:uiPriority w:val="0"/>
    <w:rPr>
      <w:color w:val="0000FF"/>
      <w:kern w:val="2"/>
      <w:sz w:val="24"/>
      <w:szCs w:val="24"/>
    </w:rPr>
  </w:style>
  <w:style w:type="character" w:customStyle="1" w:styleId="95">
    <w:name w:val="font11"/>
    <w:basedOn w:val="48"/>
    <w:qFormat/>
    <w:uiPriority w:val="0"/>
    <w:rPr>
      <w:rFonts w:hint="default" w:ascii="Times New Roman" w:hAnsi="Times New Roman" w:cs="Times New Roman"/>
      <w:color w:val="000000"/>
      <w:sz w:val="20"/>
      <w:szCs w:val="20"/>
      <w:u w:val="none"/>
    </w:rPr>
  </w:style>
  <w:style w:type="character" w:customStyle="1" w:styleId="96">
    <w:name w:val="glossaryitem"/>
    <w:basedOn w:val="48"/>
    <w:uiPriority w:val="0"/>
    <w:rPr>
      <w:u w:val="none"/>
    </w:rPr>
  </w:style>
  <w:style w:type="character" w:customStyle="1" w:styleId="97">
    <w:name w:val="HTML 预设格式 Char"/>
    <w:basedOn w:val="48"/>
    <w:link w:val="40"/>
    <w:qFormat/>
    <w:uiPriority w:val="0"/>
    <w:rPr>
      <w:rFonts w:ascii="Arial Unicode MS" w:hAnsi="Arial Unicode MS" w:eastAsia="Courier New" w:cs="Courier New"/>
    </w:rPr>
  </w:style>
  <w:style w:type="character" w:customStyle="1" w:styleId="98">
    <w:name w:val="文档结构图 Char"/>
    <w:basedOn w:val="48"/>
    <w:link w:val="16"/>
    <w:qFormat/>
    <w:uiPriority w:val="0"/>
    <w:rPr>
      <w:rFonts w:ascii="宋体"/>
      <w:sz w:val="28"/>
      <w:shd w:val="clear" w:color="auto" w:fill="000080"/>
    </w:rPr>
  </w:style>
  <w:style w:type="character" w:customStyle="1" w:styleId="99">
    <w:name w:val="日期 Char"/>
    <w:basedOn w:val="48"/>
    <w:link w:val="27"/>
    <w:qFormat/>
    <w:uiPriority w:val="99"/>
    <w:rPr>
      <w:kern w:val="2"/>
      <w:sz w:val="21"/>
      <w:szCs w:val="24"/>
    </w:rPr>
  </w:style>
  <w:style w:type="character" w:customStyle="1" w:styleId="100">
    <w:name w:val="正文文本 2 Char"/>
    <w:basedOn w:val="48"/>
    <w:link w:val="38"/>
    <w:uiPriority w:val="0"/>
    <w:rPr>
      <w:kern w:val="2"/>
      <w:sz w:val="21"/>
      <w:szCs w:val="24"/>
    </w:rPr>
  </w:style>
  <w:style w:type="character" w:customStyle="1" w:styleId="101">
    <w:name w:val="正文首行缩进 Char"/>
    <w:basedOn w:val="89"/>
    <w:link w:val="45"/>
    <w:uiPriority w:val="0"/>
    <w:rPr>
      <w:sz w:val="21"/>
      <w:szCs w:val="21"/>
    </w:rPr>
  </w:style>
  <w:style w:type="character" w:customStyle="1" w:styleId="102">
    <w:name w:val="批注主题 Char"/>
    <w:basedOn w:val="85"/>
    <w:link w:val="44"/>
    <w:uiPriority w:val="0"/>
    <w:rPr>
      <w:b/>
      <w:bCs/>
      <w:kern w:val="2"/>
      <w:sz w:val="24"/>
      <w:szCs w:val="24"/>
    </w:rPr>
  </w:style>
  <w:style w:type="paragraph" w:customStyle="1" w:styleId="103">
    <w:name w:val="标题3(小3号)"/>
    <w:basedOn w:val="5"/>
    <w:next w:val="104"/>
    <w:uiPriority w:val="0"/>
    <w:pPr>
      <w:widowControl/>
      <w:spacing w:before="0" w:after="0" w:line="420" w:lineRule="exact"/>
    </w:pPr>
    <w:rPr>
      <w:b w:val="0"/>
      <w:bCs w:val="0"/>
      <w:color w:val="000000"/>
      <w:kern w:val="0"/>
      <w:sz w:val="30"/>
      <w:szCs w:val="21"/>
    </w:rPr>
  </w:style>
  <w:style w:type="paragraph" w:customStyle="1" w:styleId="104">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8"/>
    <w:link w:val="39"/>
    <w:qFormat/>
    <w:uiPriority w:val="0"/>
    <w:rPr>
      <w:rFonts w:ascii="Arial" w:hAnsi="Arial" w:cs="Arial"/>
      <w:kern w:val="2"/>
      <w:sz w:val="24"/>
      <w:szCs w:val="24"/>
      <w:shd w:val="pct20" w:color="auto" w:fill="auto"/>
    </w:rPr>
  </w:style>
  <w:style w:type="character" w:customStyle="1" w:styleId="107">
    <w:name w:val="正文文本 3 Char1"/>
    <w:basedOn w:val="48"/>
    <w:qFormat/>
    <w:uiPriority w:val="0"/>
    <w:rPr>
      <w:rFonts w:ascii="宋体" w:hAnsi="宋体" w:cs="宋体"/>
      <w:sz w:val="16"/>
      <w:szCs w:val="16"/>
      <w:lang w:eastAsia="en-US"/>
    </w:rPr>
  </w:style>
  <w:style w:type="paragraph" w:customStyle="1" w:styleId="108">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8"/>
    <w:uiPriority w:val="0"/>
    <w:rPr>
      <w:rFonts w:ascii="宋体" w:hAnsi="宋体" w:cs="宋体"/>
      <w:sz w:val="22"/>
      <w:szCs w:val="22"/>
      <w:lang w:eastAsia="en-US"/>
    </w:rPr>
  </w:style>
  <w:style w:type="character" w:customStyle="1" w:styleId="111">
    <w:name w:val="批注文字 Char1"/>
    <w:basedOn w:val="48"/>
    <w:qFormat/>
    <w:uiPriority w:val="0"/>
    <w:rPr>
      <w:rFonts w:ascii="宋体" w:hAnsi="宋体" w:cs="宋体"/>
      <w:sz w:val="22"/>
      <w:szCs w:val="22"/>
      <w:lang w:eastAsia="en-US"/>
    </w:rPr>
  </w:style>
  <w:style w:type="paragraph" w:customStyle="1" w:styleId="112">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8"/>
    <w:qFormat/>
    <w:uiPriority w:val="0"/>
    <w:rPr>
      <w:rFonts w:ascii="宋体" w:hAnsi="宋体" w:cs="宋体"/>
      <w:sz w:val="18"/>
      <w:szCs w:val="18"/>
      <w:lang w:eastAsia="en-US"/>
    </w:rPr>
  </w:style>
  <w:style w:type="character" w:customStyle="1" w:styleId="116">
    <w:name w:val="日期 Char1"/>
    <w:basedOn w:val="48"/>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8"/>
    <w:qFormat/>
    <w:uiPriority w:val="0"/>
    <w:rPr>
      <w:rFonts w:ascii="Courier New" w:hAnsi="Courier New" w:cs="Courier New"/>
      <w:lang w:eastAsia="en-US"/>
    </w:rPr>
  </w:style>
  <w:style w:type="character" w:customStyle="1" w:styleId="121">
    <w:name w:val="正文文本缩进 Char1"/>
    <w:basedOn w:val="48"/>
    <w:qFormat/>
    <w:uiPriority w:val="0"/>
    <w:rPr>
      <w:rFonts w:ascii="宋体" w:hAnsi="宋体" w:cs="宋体"/>
      <w:sz w:val="22"/>
      <w:szCs w:val="22"/>
      <w:lang w:eastAsia="en-US"/>
    </w:rPr>
  </w:style>
  <w:style w:type="paragraph" w:customStyle="1" w:styleId="122">
    <w:name w:val="标题2(小3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8"/>
    <w:uiPriority w:val="0"/>
    <w:rPr>
      <w:rFonts w:ascii="宋体" w:hAnsi="宋体" w:cs="宋体"/>
      <w:sz w:val="22"/>
      <w:szCs w:val="22"/>
      <w:lang w:eastAsia="en-US"/>
    </w:rPr>
  </w:style>
  <w:style w:type="character" w:customStyle="1" w:styleId="129">
    <w:name w:val="标题 Char1"/>
    <w:basedOn w:val="48"/>
    <w:uiPriority w:val="0"/>
    <w:rPr>
      <w:rFonts w:asciiTheme="majorHAnsi" w:hAnsiTheme="majorHAnsi" w:cstheme="majorBidi"/>
      <w:b/>
      <w:bCs/>
      <w:sz w:val="32"/>
      <w:szCs w:val="32"/>
      <w:lang w:eastAsia="en-US"/>
    </w:rPr>
  </w:style>
  <w:style w:type="character" w:customStyle="1" w:styleId="130">
    <w:name w:val="正文文本缩进 3 Char1"/>
    <w:basedOn w:val="48"/>
    <w:uiPriority w:val="0"/>
    <w:rPr>
      <w:rFonts w:ascii="宋体" w:hAnsi="宋体" w:cs="宋体"/>
      <w:sz w:val="16"/>
      <w:szCs w:val="16"/>
      <w:lang w:eastAsia="en-US"/>
    </w:rPr>
  </w:style>
  <w:style w:type="paragraph" w:customStyle="1" w:styleId="131">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8"/>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qFormat/>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qFormat/>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0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qFormat/>
    <w:uiPriority w:val="0"/>
    <w:pPr>
      <w:numPr>
        <w:ilvl w:val="3"/>
      </w:numPr>
      <w:outlineLvl w:val="3"/>
    </w:pPr>
  </w:style>
  <w:style w:type="paragraph" w:customStyle="1" w:styleId="188">
    <w:name w:val="大纲5"/>
    <w:basedOn w:val="187"/>
    <w:qFormat/>
    <w:uiPriority w:val="0"/>
    <w:pPr>
      <w:numPr>
        <w:ilvl w:val="4"/>
      </w:numPr>
      <w:tabs>
        <w:tab w:val="left" w:pos="360"/>
      </w:tabs>
      <w:outlineLvl w:val="4"/>
    </w:pPr>
    <w:rPr>
      <w:b w:val="0"/>
      <w:szCs w:val="36"/>
    </w:rPr>
  </w:style>
  <w:style w:type="paragraph" w:customStyle="1" w:styleId="189">
    <w:name w:val="大纲6"/>
    <w:basedOn w:val="188"/>
    <w:qFormat/>
    <w:uiPriority w:val="0"/>
    <w:pPr>
      <w:numPr>
        <w:ilvl w:val="5"/>
      </w:numPr>
      <w:outlineLvl w:val="5"/>
    </w:pPr>
    <w:rPr>
      <w:rFonts w:ascii="宋体"/>
      <w:szCs w:val="24"/>
    </w:rPr>
  </w:style>
  <w:style w:type="paragraph" w:customStyle="1" w:styleId="190">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kern w:val="2"/>
      <w:sz w:val="24"/>
    </w:rPr>
  </w:style>
  <w:style w:type="paragraph" w:customStyle="1" w:styleId="249">
    <w:name w:val="Revision"/>
    <w:hidden/>
    <w:unhideWhenUsed/>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qFormat/>
    <w:uiPriority w:val="0"/>
    <w:rPr>
      <w:rFonts w:hint="default" w:ascii="Arial" w:hAnsi="Arial" w:cs="Arial"/>
      <w:color w:val="000000"/>
      <w:sz w:val="21"/>
      <w:szCs w:val="21"/>
    </w:rPr>
  </w:style>
  <w:style w:type="character" w:customStyle="1" w:styleId="252">
    <w:name w:val="列出段落 Char"/>
    <w:link w:val="74"/>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37135-22A4-4DC7-AEB1-E368B86AE6E6}">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21</Pages>
  <Words>1353</Words>
  <Characters>7717</Characters>
  <Lines>64</Lines>
  <Paragraphs>18</Paragraphs>
  <TotalTime>888</TotalTime>
  <ScaleCrop>false</ScaleCrop>
  <LinksUpToDate>false</LinksUpToDate>
  <CharactersWithSpaces>9052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潘骏</cp:lastModifiedBy>
  <dcterms:modified xsi:type="dcterms:W3CDTF">2021-01-07T08:00:39Z</dcterms:modified>
  <dc:title>公开招标文件（货物服务类）</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2052-11.1.0.10228</vt:lpwstr>
  </property>
</Properties>
</file>