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微软雅黑" w:eastAsia="微软雅黑"/>
          <w:b/>
          <w:sz w:val="52"/>
          <w:szCs w:val="52"/>
          <w:u w:val="single"/>
          <w:lang w:eastAsia="zh-CN"/>
        </w:rPr>
      </w:pPr>
    </w:p>
    <w:p>
      <w:pPr>
        <w:pStyle w:val="77"/>
        <w:spacing w:line="360" w:lineRule="auto"/>
        <w:jc w:val="center"/>
        <w:rPr>
          <w:rFonts w:hAnsi="宋体"/>
          <w:b/>
          <w:bCs/>
          <w:sz w:val="44"/>
          <w:szCs w:val="44"/>
        </w:rPr>
      </w:pPr>
      <w:r>
        <w:rPr>
          <w:rFonts w:hint="eastAsia" w:hAnsi="宋体"/>
          <w:b/>
          <w:bCs/>
          <w:sz w:val="44"/>
          <w:szCs w:val="44"/>
        </w:rPr>
        <w:t>2021年易制毒、易制爆化学试剂年约采购</w:t>
      </w:r>
    </w:p>
    <w:p>
      <w:pPr>
        <w:pStyle w:val="20"/>
        <w:jc w:val="center"/>
        <w:rPr>
          <w:rFonts w:ascii="微软雅黑" w:eastAsia="微软雅黑"/>
          <w:b/>
          <w:sz w:val="44"/>
          <w:szCs w:val="44"/>
          <w:lang w:eastAsia="zh-CN"/>
        </w:rPr>
      </w:pPr>
      <w:r>
        <w:rPr>
          <w:rFonts w:hint="eastAsia" w:ascii="微软雅黑" w:eastAsia="微软雅黑"/>
          <w:b/>
          <w:sz w:val="44"/>
          <w:szCs w:val="44"/>
          <w:lang w:eastAsia="zh-CN"/>
        </w:rPr>
        <w:t>(第二次公告)</w:t>
      </w:r>
    </w:p>
    <w:p>
      <w:pPr>
        <w:pStyle w:val="20"/>
        <w:jc w:val="center"/>
        <w:rPr>
          <w:rFonts w:ascii="微软雅黑" w:eastAsia="微软雅黑"/>
          <w:b/>
          <w:sz w:val="30"/>
          <w:szCs w:val="30"/>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FHC-PTCG20201110001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36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rFonts w:cs="Times New Roman" w:asciiTheme="minorEastAsia" w:hAnsiTheme="minorEastAsia" w:eastAsiaTheme="minorEastAsia"/>
          <w:bCs/>
          <w:sz w:val="24"/>
          <w:szCs w:val="24"/>
          <w:lang w:eastAsia="zh-CN"/>
        </w:rPr>
      </w:pPr>
    </w:p>
    <w:p>
      <w:pPr>
        <w:ind w:firstLine="480" w:firstLineChars="200"/>
        <w:rPr>
          <w:sz w:val="24"/>
          <w:szCs w:val="24"/>
          <w:lang w:eastAsia="zh-CN"/>
        </w:rPr>
      </w:pPr>
    </w:p>
    <w:p>
      <w:pPr>
        <w:pStyle w:val="2"/>
        <w:rPr>
          <w:sz w:val="24"/>
          <w:szCs w:val="24"/>
        </w:rPr>
      </w:pPr>
    </w:p>
    <w:p>
      <w:pPr>
        <w:pStyle w:val="2"/>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46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“易制毒、</w:t>
      </w:r>
      <w:r>
        <w:rPr>
          <w:rFonts w:hint="eastAsia" w:asciiTheme="minorEastAsia" w:hAnsiTheme="minorEastAsia" w:eastAsiaTheme="minorEastAsia"/>
          <w:bCs/>
          <w:sz w:val="24"/>
          <w:szCs w:val="24"/>
          <w:lang w:eastAsia="zh-CN"/>
        </w:rPr>
        <w:t>易制爆化学试剂年约采购（</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FHC-PTCG20201110001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项目名称：易制毒、</w:t>
      </w:r>
      <w:r>
        <w:rPr>
          <w:rFonts w:hint="eastAsia" w:asciiTheme="minorEastAsia" w:hAnsiTheme="minorEastAsia" w:eastAsiaTheme="minorEastAsia"/>
          <w:bCs/>
          <w:sz w:val="24"/>
          <w:szCs w:val="24"/>
        </w:rPr>
        <w:t>易制爆化学试剂年约采购。</w:t>
      </w:r>
    </w:p>
    <w:p>
      <w:pPr>
        <w:pStyle w:val="2"/>
        <w:numPr>
          <w:ilvl w:val="0"/>
          <w:numId w:val="7"/>
        </w:numPr>
        <w:spacing w:line="46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6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cs="宋体" w:asciiTheme="minorEastAsia" w:hAnsiTheme="minorEastAsia" w:eastAsiaTheme="minorEastAsia"/>
          <w:sz w:val="24"/>
          <w:szCs w:val="24"/>
        </w:rPr>
        <w:t>要求供方危险化学品经营许可证、易制毒化学品经营备案证明</w:t>
      </w:r>
      <w:r>
        <w:rPr>
          <w:rFonts w:hint="eastAsia" w:cs="宋体" w:asciiTheme="minorEastAsia" w:hAnsiTheme="minorEastAsia" w:eastAsiaTheme="minorEastAsia"/>
          <w:sz w:val="24"/>
          <w:szCs w:val="24"/>
        </w:rPr>
        <w:t>的</w:t>
      </w:r>
      <w:r>
        <w:rPr>
          <w:rFonts w:cs="宋体" w:asciiTheme="minorEastAsia" w:hAnsiTheme="minorEastAsia" w:eastAsiaTheme="minorEastAsia"/>
          <w:sz w:val="24"/>
          <w:szCs w:val="24"/>
        </w:rPr>
        <w:t>相关资质。</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cs="宋体" w:asciiTheme="minorEastAsia" w:hAnsiTheme="minorEastAsia" w:eastAsiaTheme="minorEastAsia"/>
          <w:sz w:val="24"/>
          <w:szCs w:val="24"/>
        </w:rPr>
        <w:t>所提供的化学试剂必须保证有效期大于1年（进厂后），附相应的出厂合格证明</w:t>
      </w:r>
      <w:r>
        <w:rPr>
          <w:rFonts w:hint="eastAsia" w:cs="宋体" w:asciiTheme="minorEastAsia" w:hAnsiTheme="minorEastAsia" w:eastAsiaTheme="minorEastAsia"/>
          <w:sz w:val="24"/>
          <w:szCs w:val="24"/>
        </w:rPr>
        <w:t>。需</w:t>
      </w:r>
      <w:r>
        <w:rPr>
          <w:rFonts w:cs="宋体" w:asciiTheme="minorEastAsia" w:hAnsiTheme="minorEastAsia" w:eastAsiaTheme="minorEastAsia"/>
          <w:sz w:val="24"/>
          <w:szCs w:val="24"/>
        </w:rPr>
        <w:t>提供危险化学品的“一书一签”</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基准试剂提供相关证书。</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4、没有失信黑名单记录（以最高院失信被执行人系统发布信息为准）。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报名时间：2021年1月</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日至2021年1月</w:t>
      </w: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日（共10天）</w:t>
      </w:r>
    </w:p>
    <w:p>
      <w:pPr>
        <w:spacing w:line="46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6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6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6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2020年1月</w:t>
      </w:r>
      <w:r>
        <w:rPr>
          <w:rFonts w:hint="eastAsia" w:asciiTheme="minorEastAsia" w:hAnsiTheme="minorEastAsia" w:eastAsiaTheme="minorEastAsia"/>
          <w:spacing w:val="8"/>
          <w:sz w:val="24"/>
          <w:szCs w:val="24"/>
          <w:u w:val="single"/>
          <w:lang w:val="en-US" w:eastAsia="zh-CN"/>
        </w:rPr>
        <w:t>15</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6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46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rFonts w:asciiTheme="minorEastAsia" w:hAnsiTheme="minorEastAsia" w:eastAsiaTheme="minorEastAsia"/>
          <w:bCs/>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易制毒、</w:t>
      </w:r>
      <w:r>
        <w:rPr>
          <w:rFonts w:hint="eastAsia" w:asciiTheme="minorEastAsia" w:hAnsiTheme="minorEastAsia" w:eastAsiaTheme="minorEastAsia"/>
          <w:bCs/>
          <w:lang w:eastAsia="zh-CN"/>
        </w:rPr>
        <w:t>易制爆化学试剂年约采购</w:t>
      </w:r>
    </w:p>
    <w:p>
      <w:pPr>
        <w:pStyle w:val="20"/>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20"/>
        <w:spacing w:line="460" w:lineRule="exact"/>
        <w:ind w:right="121" w:firstLine="360" w:firstLineChars="150"/>
        <w:jc w:val="both"/>
        <w:rPr>
          <w:lang w:eastAsia="zh-CN"/>
        </w:rPr>
      </w:pPr>
      <w:r>
        <w:rPr>
          <w:rFonts w:hint="eastAsia"/>
          <w:lang w:eastAsia="zh-CN"/>
        </w:rPr>
        <w:t>3、承包方式：无</w:t>
      </w:r>
    </w:p>
    <w:p>
      <w:pPr>
        <w:pStyle w:val="77"/>
        <w:spacing w:line="460" w:lineRule="exact"/>
        <w:ind w:left="363" w:leftChars="165"/>
      </w:pPr>
      <w:r>
        <w:rPr>
          <w:rFonts w:hint="eastAsia"/>
        </w:rPr>
        <w:t>4、项目工作范围及技术要求：</w:t>
      </w:r>
      <w:r>
        <w:t xml:space="preserve"> </w:t>
      </w:r>
      <w:r>
        <w:rPr>
          <w:rFonts w:hint="eastAsia"/>
        </w:rPr>
        <w:t>无</w:t>
      </w:r>
    </w:p>
    <w:p>
      <w:pPr>
        <w:pStyle w:val="77"/>
        <w:spacing w:line="460" w:lineRule="exact"/>
        <w:ind w:firstLine="360" w:firstLineChars="150"/>
        <w:rPr>
          <w:rFonts w:hAnsi="宋体"/>
          <w:bCs/>
        </w:rPr>
      </w:pPr>
      <w:r>
        <w:rPr>
          <w:rFonts w:hint="eastAsia"/>
        </w:rPr>
        <w:t>5、项目联系人</w:t>
      </w:r>
    </w:p>
    <w:p>
      <w:pPr>
        <w:pStyle w:val="20"/>
        <w:spacing w:line="460" w:lineRule="exact"/>
        <w:ind w:right="121" w:firstLine="720" w:firstLineChars="300"/>
        <w:jc w:val="both"/>
        <w:rPr>
          <w:lang w:eastAsia="zh-CN"/>
        </w:rPr>
      </w:pPr>
      <w:r>
        <w:rPr>
          <w:rFonts w:hint="eastAsia"/>
          <w:lang w:eastAsia="zh-CN"/>
        </w:rPr>
        <w:t>技术联系人：</w:t>
      </w:r>
      <w:r>
        <w:rPr>
          <w:rFonts w:hint="eastAsia" w:asciiTheme="minorEastAsia" w:hAnsiTheme="minorEastAsia" w:eastAsiaTheme="minorEastAsia"/>
          <w:lang w:eastAsia="zh-CN"/>
        </w:rPr>
        <w:t>边可春  0596-6088645</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60" w:lineRule="exact"/>
        <w:ind w:left="484" w:leftChars="22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60" w:lineRule="exact"/>
        <w:ind w:left="840" w:hanging="840" w:hangingChars="350"/>
        <w:rPr>
          <w:rFonts w:cs="宋体" w:asciiTheme="minorEastAsia" w:hAnsiTheme="minorEastAsia" w:eastAsiaTheme="minorEastAsia"/>
          <w:sz w:val="24"/>
          <w:szCs w:val="24"/>
        </w:rPr>
      </w:pPr>
      <w:r>
        <w:rPr>
          <w:rFonts w:hint="eastAsia" w:asciiTheme="minorEastAsia" w:hAnsiTheme="minorEastAsia" w:eastAsiaTheme="minorEastAsia"/>
          <w:sz w:val="24"/>
          <w:szCs w:val="24"/>
        </w:rPr>
        <w:t xml:space="preserve">    2、</w:t>
      </w:r>
      <w:r>
        <w:rPr>
          <w:rFonts w:cs="宋体" w:asciiTheme="minorEastAsia" w:hAnsiTheme="minorEastAsia" w:eastAsiaTheme="minorEastAsia"/>
          <w:sz w:val="24"/>
          <w:szCs w:val="24"/>
        </w:rPr>
        <w:t>要求供方危险化学品经营许可证、易制毒化学品经营备案证明</w:t>
      </w:r>
      <w:r>
        <w:rPr>
          <w:rFonts w:hint="eastAsia" w:cs="宋体" w:asciiTheme="minorEastAsia" w:hAnsiTheme="minorEastAsia" w:eastAsiaTheme="minorEastAsia"/>
          <w:sz w:val="24"/>
          <w:szCs w:val="24"/>
        </w:rPr>
        <w:t>的</w:t>
      </w:r>
      <w:r>
        <w:rPr>
          <w:rFonts w:cs="宋体" w:asciiTheme="minorEastAsia" w:hAnsiTheme="minorEastAsia" w:eastAsiaTheme="minorEastAsia"/>
          <w:sz w:val="24"/>
          <w:szCs w:val="24"/>
        </w:rPr>
        <w:t>相关资质。</w:t>
      </w:r>
    </w:p>
    <w:p>
      <w:pPr>
        <w:pStyle w:val="2"/>
        <w:spacing w:line="46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cs="宋体" w:asciiTheme="minorEastAsia" w:hAnsiTheme="minorEastAsia" w:eastAsiaTheme="minorEastAsia"/>
          <w:sz w:val="24"/>
          <w:szCs w:val="24"/>
        </w:rPr>
        <w:t>所提供的化学试剂必须保证有效期大于1年（进厂后），附相应的出厂合格证明</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需提供危险化学品的“一书一签”</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基准试剂提供相关证书。</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4、没有失信黑名单记录（以最高院失信被执行人系统发布信息为准）。</w:t>
      </w:r>
    </w:p>
    <w:p>
      <w:pPr>
        <w:autoSpaceDE/>
        <w:autoSpaceDN/>
        <w:spacing w:line="46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38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1 月 日17时00分</w:t>
      </w:r>
      <w:r>
        <w:rPr>
          <w:rFonts w:hint="eastAsia"/>
          <w:lang w:eastAsia="zh-CN"/>
        </w:rPr>
        <w:t>。</w:t>
      </w:r>
    </w:p>
    <w:p>
      <w:pPr>
        <w:pStyle w:val="4"/>
        <w:tabs>
          <w:tab w:val="left" w:pos="6879"/>
        </w:tabs>
        <w:spacing w:before="107" w:line="38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38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ascii="inherit" w:hAnsi="inherit"/>
          <w:sz w:val="22"/>
          <w:szCs w:val="22"/>
          <w:lang w:eastAsia="zh-CN"/>
        </w:rPr>
        <w:t>危</w:t>
      </w:r>
      <w:r>
        <w:rPr>
          <w:rFonts w:ascii="inherit" w:hAnsi="inherit"/>
          <w:lang w:eastAsia="zh-CN"/>
        </w:rPr>
        <w:t>险化学品经营许可证、易制毒化学品经营备案证明</w:t>
      </w:r>
      <w:r>
        <w:rPr>
          <w:rFonts w:hint="eastAsia"/>
          <w:lang w:eastAsia="zh-CN"/>
        </w:rPr>
        <w:t>、</w:t>
      </w:r>
      <w:r>
        <w:rPr>
          <w:lang w:eastAsia="zh-CN"/>
        </w:rPr>
        <w:t>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60" w:lineRule="exact"/>
        <w:ind w:left="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spacing w:line="120" w:lineRule="auto"/>
        <w:ind w:firstLine="1813" w:firstLineChars="645"/>
        <w:rPr>
          <w:b/>
          <w:sz w:val="28"/>
          <w:szCs w:val="28"/>
          <w:lang w:eastAsia="zh-CN"/>
        </w:rPr>
      </w:pPr>
      <w:r>
        <w:rPr>
          <w:rFonts w:hint="eastAsia" w:asciiTheme="minorEastAsia" w:hAnsiTheme="minorEastAsia" w:eastAsiaTheme="minorEastAsia"/>
          <w:b/>
          <w:sz w:val="28"/>
          <w:szCs w:val="28"/>
          <w:lang w:eastAsia="zh-CN"/>
        </w:rPr>
        <w:t>易制毒、</w:t>
      </w:r>
      <w:r>
        <w:rPr>
          <w:rFonts w:hint="eastAsia" w:asciiTheme="minorEastAsia" w:hAnsiTheme="minorEastAsia" w:eastAsiaTheme="minorEastAsia"/>
          <w:b/>
          <w:bCs/>
          <w:sz w:val="28"/>
          <w:szCs w:val="28"/>
          <w:lang w:eastAsia="zh-CN"/>
        </w:rPr>
        <w:t>易制爆化学试剂年约采购采购</w:t>
      </w:r>
      <w:r>
        <w:rPr>
          <w:rFonts w:hint="eastAsia"/>
          <w:b/>
          <w:sz w:val="28"/>
          <w:szCs w:val="28"/>
          <w:lang w:eastAsia="zh-CN"/>
        </w:rPr>
        <w:t>合同</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r>
        <w:rPr>
          <w:rFonts w:hint="eastAsia"/>
          <w:sz w:val="24"/>
          <w:szCs w:val="24"/>
          <w:lang w:eastAsia="zh-CN"/>
        </w:rPr>
        <w:t>腾龙芳烃（漳州）有限公司</w:t>
      </w:r>
      <w:r>
        <w:rPr>
          <w:rFonts w:hint="eastAsia" w:asciiTheme="minorEastAsia" w:hAnsiTheme="minorEastAsia" w:eastAsiaTheme="minorEastAsia"/>
          <w:sz w:val="24"/>
          <w:szCs w:val="24"/>
          <w:lang w:eastAsia="zh-CN"/>
        </w:rPr>
        <w:t xml:space="preserve">     合同编号：</w:t>
      </w:r>
    </w:p>
    <w:p>
      <w:pPr>
        <w:pStyle w:val="2"/>
        <w:rPr>
          <w:sz w:val="24"/>
          <w:szCs w:val="24"/>
        </w:rPr>
      </w:pPr>
      <w:r>
        <w:rPr>
          <w:rFonts w:hint="eastAsia"/>
        </w:rPr>
        <w:t xml:space="preserve">   </w:t>
      </w:r>
      <w:r>
        <w:rPr>
          <w:rFonts w:hint="eastAsia"/>
          <w:sz w:val="24"/>
          <w:szCs w:val="24"/>
        </w:rPr>
        <w:t xml:space="preserve">  翔鹭石化（漳州）有限公司     </w:t>
      </w:r>
      <w:r>
        <w:rPr>
          <w:rFonts w:hint="eastAsia" w:asciiTheme="minorEastAsia" w:hAnsiTheme="minorEastAsia" w:eastAsiaTheme="minorEastAsia"/>
          <w:sz w:val="24"/>
          <w:szCs w:val="24"/>
        </w:rPr>
        <w:t>签订地址：漳浦古雷</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                             签订日期：</w:t>
      </w:r>
    </w:p>
    <w:p>
      <w:pPr>
        <w:spacing w:line="12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1、合同标的和合同价格</w:t>
      </w:r>
    </w:p>
    <w:tbl>
      <w:tblPr>
        <w:tblStyle w:val="47"/>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02"/>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预估数量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02"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总价/元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rPr>
            </w:pPr>
            <w:r>
              <w:rPr>
                <w:rFonts w:hint="eastAsia"/>
                <w:b/>
                <w:color w:val="000000"/>
                <w:kern w:val="2"/>
                <w:lang w:eastAsia="zh-CN"/>
              </w:rPr>
              <w:t>合同</w:t>
            </w:r>
            <w:r>
              <w:rPr>
                <w:rFonts w:hint="eastAsia"/>
                <w:b/>
                <w:color w:val="000000"/>
                <w:kern w:val="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p>
        </w:tc>
        <w:tc>
          <w:tcPr>
            <w:tcW w:w="1274" w:type="dxa"/>
            <w:vAlign w:val="center"/>
          </w:tcPr>
          <w:p>
            <w:pPr>
              <w:rPr>
                <w:rFonts w:asciiTheme="minorEastAsia" w:hAnsiTheme="minorEastAsia" w:eastAsiaTheme="minorEastAsia"/>
                <w:color w:val="000000"/>
                <w:sz w:val="20"/>
                <w:szCs w:val="20"/>
                <w:lang w:eastAsia="zh-CN"/>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p>
        </w:tc>
        <w:tc>
          <w:tcPr>
            <w:tcW w:w="1274" w:type="dxa"/>
            <w:vAlign w:val="center"/>
          </w:tcPr>
          <w:p>
            <w:pPr>
              <w:rPr>
                <w:rFonts w:asciiTheme="minorEastAsia" w:hAnsiTheme="minorEastAsia" w:eastAsiaTheme="minorEastAsia"/>
                <w:color w:val="000000"/>
                <w:sz w:val="20"/>
                <w:szCs w:val="20"/>
                <w:lang w:eastAsia="zh-CN"/>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p>
        </w:tc>
        <w:tc>
          <w:tcPr>
            <w:tcW w:w="1274" w:type="dxa"/>
            <w:vAlign w:val="center"/>
          </w:tcPr>
          <w:p>
            <w:pPr>
              <w:pStyle w:val="2"/>
              <w:jc w:val="left"/>
              <w:rPr>
                <w:rFonts w:asciiTheme="minorEastAsia" w:hAnsiTheme="minorEastAsia" w:eastAsiaTheme="minorEastAsia"/>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p>
        </w:tc>
        <w:tc>
          <w:tcPr>
            <w:tcW w:w="1274" w:type="dxa"/>
            <w:vAlign w:val="center"/>
          </w:tcPr>
          <w:p>
            <w:pPr>
              <w:widowControl/>
              <w:rPr>
                <w:rFonts w:asciiTheme="minorEastAsia" w:hAnsiTheme="minorEastAsia" w:eastAsiaTheme="minorEastAsia"/>
                <w:color w:val="000000"/>
                <w:sz w:val="20"/>
                <w:szCs w:val="20"/>
              </w:rPr>
            </w:pP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8"/>
          </w:tcPr>
          <w:p>
            <w:pPr>
              <w:pStyle w:val="2"/>
              <w:rPr>
                <w:rFonts w:asciiTheme="minorEastAsia" w:hAnsiTheme="minorEastAsia" w:eastAsiaTheme="minorEastAsia"/>
                <w:sz w:val="20"/>
                <w:szCs w:val="20"/>
              </w:rPr>
            </w:pPr>
            <w:r>
              <w:rPr>
                <w:rFonts w:hint="eastAsia" w:asciiTheme="minorEastAsia" w:hAnsiTheme="minorEastAsia" w:eastAsiaTheme="minorEastAsia"/>
                <w:sz w:val="20"/>
                <w:szCs w:val="20"/>
              </w:rPr>
              <w:t>合同金额合计：</w:t>
            </w:r>
          </w:p>
        </w:tc>
      </w:tr>
    </w:tbl>
    <w:p>
      <w:pPr>
        <w:pStyle w:val="2"/>
        <w:rPr>
          <w:sz w:val="24"/>
        </w:rPr>
      </w:pPr>
      <w:r>
        <w:rPr>
          <w:rFonts w:hint="eastAsia" w:hAnsi="宋体" w:cs="宋体"/>
          <w:sz w:val="24"/>
        </w:rPr>
        <w:t>1.1上述数量仅作为预估参考，不作为实际采购数量承诺，最终结算依据甲方实际需求提货数量。</w:t>
      </w:r>
    </w:p>
    <w:p>
      <w:pPr>
        <w:widowControl/>
        <w:spacing w:line="288" w:lineRule="auto"/>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1.3物资清单为预采购品种，采购时按市场价及种类灵活调配（不限定于采购清单内物品种类）。</w:t>
      </w:r>
    </w:p>
    <w:p>
      <w:pPr>
        <w:spacing w:line="360" w:lineRule="auto"/>
        <w:rPr>
          <w:sz w:val="24"/>
          <w:lang w:eastAsia="zh-CN"/>
        </w:rPr>
      </w:pPr>
      <w:r>
        <w:rPr>
          <w:rFonts w:hint="eastAsia"/>
          <w:sz w:val="24"/>
          <w:lang w:eastAsia="zh-CN"/>
        </w:rPr>
        <w:t>2、交货：</w:t>
      </w:r>
    </w:p>
    <w:p>
      <w:pPr>
        <w:spacing w:line="360" w:lineRule="auto"/>
        <w:ind w:firstLine="120" w:firstLineChars="50"/>
        <w:rPr>
          <w:sz w:val="24"/>
          <w:lang w:eastAsia="zh-CN"/>
        </w:rPr>
      </w:pPr>
      <w:r>
        <w:rPr>
          <w:rFonts w:hint="eastAsia"/>
          <w:sz w:val="24"/>
          <w:lang w:eastAsia="zh-CN"/>
        </w:rPr>
        <w:t>2.1交货方式</w:t>
      </w:r>
      <w:r>
        <w:rPr>
          <w:rFonts w:hint="eastAsia"/>
          <w:sz w:val="24"/>
          <w:u w:val="single"/>
          <w:lang w:eastAsia="zh-CN"/>
        </w:rPr>
        <w:t>：乙方负责送到（需危险品专用车配送）</w:t>
      </w:r>
      <w:r>
        <w:rPr>
          <w:sz w:val="24"/>
          <w:u w:val="single"/>
          <w:lang w:eastAsia="zh-CN"/>
        </w:rPr>
        <w:t xml:space="preserve">  </w:t>
      </w:r>
    </w:p>
    <w:p>
      <w:pPr>
        <w:spacing w:line="360" w:lineRule="auto"/>
        <w:ind w:left="121" w:leftChars="55"/>
        <w:rPr>
          <w:sz w:val="24"/>
          <w:lang w:eastAsia="zh-CN"/>
        </w:rPr>
      </w:pPr>
      <w:r>
        <w:rPr>
          <w:rFonts w:hint="eastAsia"/>
          <w:sz w:val="24"/>
          <w:lang w:eastAsia="zh-CN"/>
        </w:rPr>
        <w:t>2.2交货地点：运送到</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pPr>
        <w:spacing w:line="360" w:lineRule="auto"/>
        <w:ind w:left="121" w:leftChars="55"/>
        <w:rPr>
          <w:sz w:val="24"/>
          <w:lang w:eastAsia="zh-CN"/>
        </w:rPr>
      </w:pPr>
      <w:r>
        <w:rPr>
          <w:rFonts w:hint="eastAsia"/>
          <w:sz w:val="24"/>
          <w:lang w:eastAsia="zh-CN"/>
        </w:rPr>
        <w:t>2.3交货时间：</w:t>
      </w:r>
      <w:r>
        <w:rPr>
          <w:rFonts w:hint="eastAsia"/>
          <w:sz w:val="24"/>
          <w:u w:val="single"/>
          <w:lang w:eastAsia="zh-CN"/>
        </w:rPr>
        <w:t xml:space="preserve">甲方完成易制毒备案工作后，乙方按甲方的需求量送货。                 </w:t>
      </w:r>
      <w:r>
        <w:rPr>
          <w:rFonts w:hint="eastAsia"/>
          <w:sz w:val="24"/>
          <w:lang w:eastAsia="zh-CN"/>
        </w:rPr>
        <w:t xml:space="preserve">        </w:t>
      </w:r>
    </w:p>
    <w:p>
      <w:pPr>
        <w:spacing w:line="360" w:lineRule="auto"/>
        <w:ind w:left="121" w:leftChars="55"/>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460" w:lineRule="exact"/>
        <w:ind w:left="121" w:leftChars="55"/>
        <w:rPr>
          <w:sz w:val="24"/>
          <w:lang w:eastAsia="zh-CN"/>
        </w:rPr>
      </w:pPr>
      <w:r>
        <w:rPr>
          <w:rFonts w:hint="eastAsia"/>
          <w:sz w:val="24"/>
          <w:lang w:eastAsia="zh-CN"/>
        </w:rPr>
        <w:t>3.1乙方交付的产品经甲方验收合格后，按合同单价*当批货物数量据实结算，甲方在收到</w:t>
      </w:r>
      <w:r>
        <w:rPr>
          <w:rFonts w:hint="eastAsia"/>
          <w:sz w:val="24"/>
          <w:u w:val="single"/>
          <w:lang w:eastAsia="zh-CN"/>
        </w:rPr>
        <w:t xml:space="preserve">    </w:t>
      </w:r>
      <w:r>
        <w:rPr>
          <w:rFonts w:hint="eastAsia"/>
          <w:sz w:val="24"/>
          <w:lang w:eastAsia="zh-CN"/>
        </w:rPr>
        <w:t xml:space="preserve">专用发票原件后30个工作日内，将货款转帐至乙方帐户： </w:t>
      </w:r>
    </w:p>
    <w:p>
      <w:pPr>
        <w:pStyle w:val="2"/>
        <w:spacing w:line="460" w:lineRule="exact"/>
        <w:ind w:firstLine="120" w:firstLineChars="50"/>
        <w:rPr>
          <w:sz w:val="24"/>
          <w:szCs w:val="24"/>
        </w:rPr>
      </w:pPr>
      <w:r>
        <w:rPr>
          <w:rFonts w:hint="eastAsia"/>
          <w:sz w:val="24"/>
          <w:szCs w:val="24"/>
        </w:rPr>
        <w:t>乙方帐号信息：</w:t>
      </w:r>
    </w:p>
    <w:p>
      <w:pPr>
        <w:pStyle w:val="2"/>
        <w:spacing w:line="460" w:lineRule="exact"/>
        <w:ind w:firstLine="120" w:firstLineChars="50"/>
        <w:rPr>
          <w:sz w:val="24"/>
          <w:szCs w:val="24"/>
        </w:rPr>
      </w:pPr>
      <w:r>
        <w:rPr>
          <w:rFonts w:hint="eastAsia"/>
          <w:sz w:val="24"/>
          <w:szCs w:val="24"/>
        </w:rPr>
        <w:t>收 款 人：</w:t>
      </w:r>
    </w:p>
    <w:p>
      <w:pPr>
        <w:pStyle w:val="2"/>
        <w:spacing w:line="460" w:lineRule="exact"/>
        <w:ind w:firstLine="120" w:firstLineChars="50"/>
        <w:rPr>
          <w:sz w:val="24"/>
          <w:szCs w:val="24"/>
        </w:rPr>
      </w:pPr>
      <w:r>
        <w:rPr>
          <w:rFonts w:hint="eastAsia"/>
          <w:sz w:val="24"/>
          <w:szCs w:val="24"/>
        </w:rPr>
        <w:t>开户银行：</w:t>
      </w:r>
    </w:p>
    <w:p>
      <w:pPr>
        <w:pStyle w:val="2"/>
        <w:spacing w:line="460" w:lineRule="exact"/>
        <w:ind w:firstLine="120" w:firstLineChars="50"/>
        <w:rPr>
          <w:sz w:val="24"/>
          <w:szCs w:val="24"/>
        </w:rPr>
      </w:pPr>
      <w:r>
        <w:rPr>
          <w:rFonts w:hint="eastAsia"/>
          <w:sz w:val="24"/>
          <w:szCs w:val="24"/>
        </w:rPr>
        <w:t>帐    号：</w:t>
      </w:r>
    </w:p>
    <w:p>
      <w:pPr>
        <w:pStyle w:val="2"/>
        <w:spacing w:line="460" w:lineRule="exact"/>
        <w:rPr>
          <w:sz w:val="24"/>
          <w:szCs w:val="24"/>
        </w:rPr>
      </w:pPr>
      <w:r>
        <w:rPr>
          <w:rFonts w:hint="eastAsia"/>
          <w:sz w:val="24"/>
          <w:szCs w:val="24"/>
        </w:rPr>
        <w:t>3.2、合同履行期限： 年 月 日至 年 月 日</w:t>
      </w:r>
    </w:p>
    <w:p>
      <w:pPr>
        <w:spacing w:line="460" w:lineRule="exact"/>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rFonts w:hint="eastAsia"/>
          <w:sz w:val="24"/>
          <w:u w:val="single"/>
          <w:lang w:eastAsia="zh-CN"/>
        </w:rPr>
        <w:t xml:space="preserve">                                                      </w:t>
      </w:r>
    </w:p>
    <w:p>
      <w:pPr>
        <w:spacing w:line="360" w:lineRule="auto"/>
        <w:ind w:firstLine="360" w:firstLineChars="150"/>
        <w:rPr>
          <w:sz w:val="24"/>
          <w:lang w:eastAsia="zh-CN"/>
        </w:rPr>
      </w:pPr>
      <w:r>
        <w:rPr>
          <w:rFonts w:hint="eastAsia"/>
          <w:sz w:val="24"/>
          <w:lang w:eastAsia="zh-CN"/>
        </w:rPr>
        <w:t xml:space="preserve"> </w:t>
      </w: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6.1货物的货到验收包括：型号、规格、数量、外观质量、及货物包装是否完好。 6.2乙方对一次开箱不合格（产品有质量故障）的产品予以换新，承担一切与之有关的费用。</w:t>
      </w:r>
    </w:p>
    <w:p>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8.1乙方逾期交货的，每日按照合同总额的</w:t>
      </w:r>
      <w:r>
        <w:rPr>
          <w:color w:val="FF0000"/>
          <w:sz w:val="24"/>
          <w:u w:val="single"/>
          <w:lang w:eastAsia="zh-CN"/>
        </w:rPr>
        <w:t xml:space="preserve"> </w:t>
      </w:r>
      <w:r>
        <w:rPr>
          <w:rFonts w:hint="eastAsia"/>
          <w:color w:val="FF0000"/>
          <w:sz w:val="24"/>
          <w:u w:val="single"/>
          <w:lang w:eastAsia="zh-CN"/>
        </w:rPr>
        <w:t>10</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w:t>
      </w:r>
      <w:r>
        <w:rPr>
          <w:rFonts w:hint="eastAsia"/>
          <w:sz w:val="24"/>
          <w:szCs w:val="24"/>
          <w:lang w:eastAsia="zh-CN"/>
        </w:rPr>
        <w:t>如甲方逾期付款，应按全国银行间同业拆借中心公布的贷款市场报价利率支付利息。</w:t>
      </w:r>
    </w:p>
    <w:p>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rPr>
          <w:sz w:val="24"/>
          <w:lang w:eastAsia="zh-CN"/>
        </w:rPr>
      </w:pPr>
      <w:r>
        <w:rPr>
          <w:rFonts w:hint="eastAsia"/>
          <w:sz w:val="24"/>
          <w:lang w:eastAsia="zh-CN"/>
        </w:rPr>
        <w:t>9、法律的适用及争议解决方式</w:t>
      </w:r>
    </w:p>
    <w:p>
      <w:pPr>
        <w:spacing w:line="360" w:lineRule="auto"/>
        <w:rPr>
          <w:sz w:val="24"/>
          <w:lang w:eastAsia="zh-CN"/>
        </w:rPr>
      </w:pPr>
      <w:r>
        <w:rPr>
          <w:rFonts w:hint="eastAsia"/>
          <w:sz w:val="24"/>
          <w:lang w:eastAsia="zh-CN"/>
        </w:rPr>
        <w:t>9.1、本合同的效力、解释及履行均适用中华人民共和国法律。</w:t>
      </w:r>
    </w:p>
    <w:p>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sz w:val="24"/>
          <w:lang w:eastAsia="zh-CN"/>
        </w:rPr>
      </w:pPr>
      <w:r>
        <w:rPr>
          <w:rFonts w:hint="eastAsia"/>
          <w:sz w:val="24"/>
          <w:lang w:eastAsia="zh-CN"/>
        </w:rPr>
        <w:t>12、本合同一式四份，经双方签订后生效，甲方执三份、乙方执一份，具有同等效力。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
      </w:pPr>
    </w:p>
    <w:p>
      <w:pPr>
        <w:pStyle w:val="2"/>
      </w:pPr>
    </w:p>
    <w:p>
      <w:pPr>
        <w:pStyle w:val="2"/>
      </w:pPr>
    </w:p>
    <w:p>
      <w:pPr>
        <w:pStyle w:val="2"/>
      </w:pPr>
    </w:p>
    <w:p>
      <w:pPr>
        <w:pStyle w:val="2"/>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0"/>
        <w:jc w:val="center"/>
        <w:rPr>
          <w:rFonts w:ascii="微软雅黑" w:eastAsia="微软雅黑"/>
          <w:b/>
          <w:sz w:val="52"/>
          <w:szCs w:val="52"/>
          <w:u w:val="single"/>
          <w:lang w:eastAsia="zh-CN"/>
        </w:rPr>
      </w:pPr>
    </w:p>
    <w:p>
      <w:pPr>
        <w:pStyle w:val="20"/>
        <w:jc w:val="center"/>
        <w:rPr>
          <w:rFonts w:asciiTheme="minorEastAsia" w:hAnsiTheme="minorEastAsia" w:eastAsiaTheme="minorEastAsia"/>
          <w:b/>
          <w:sz w:val="30"/>
          <w:szCs w:val="30"/>
          <w:u w:val="single"/>
          <w:lang w:eastAsia="zh-CN"/>
        </w:rPr>
      </w:pPr>
      <w:r>
        <w:rPr>
          <w:rFonts w:hint="eastAsia" w:asciiTheme="minorEastAsia" w:hAnsiTheme="minorEastAsia" w:eastAsiaTheme="minorEastAsia"/>
          <w:sz w:val="30"/>
          <w:szCs w:val="30"/>
          <w:lang w:eastAsia="zh-CN"/>
        </w:rPr>
        <w:t>易制毒、</w:t>
      </w:r>
      <w:r>
        <w:rPr>
          <w:rFonts w:hint="eastAsia" w:asciiTheme="minorEastAsia" w:hAnsiTheme="minorEastAsia" w:eastAsiaTheme="minorEastAsia"/>
          <w:bCs/>
          <w:sz w:val="30"/>
          <w:szCs w:val="30"/>
          <w:lang w:eastAsia="zh-CN"/>
        </w:rPr>
        <w:t>易制爆化学试剂年约采购</w:t>
      </w: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77"/>
        <w:spacing w:line="360" w:lineRule="auto"/>
        <w:rPr>
          <w:rFonts w:hAnsi="宋体"/>
          <w:b/>
          <w:bCs/>
          <w:sz w:val="44"/>
          <w:szCs w:val="44"/>
        </w:rPr>
      </w:pPr>
      <w:r>
        <w:rPr>
          <w:rFonts w:hint="eastAsia"/>
        </w:rPr>
        <w:t>本授权书声明：注册于</w:t>
      </w:r>
      <w:r>
        <w:rPr>
          <w:rFonts w:hint="eastAsia" w:cs="Times New Roman"/>
          <w:color w:val="00B050"/>
          <w:sz w:val="28"/>
          <w:szCs w:val="28"/>
          <w:u w:val="single"/>
        </w:rPr>
        <w:t>注册地址</w:t>
      </w:r>
      <w:r>
        <w:rPr>
          <w:rFonts w:hint="eastAsia"/>
        </w:rPr>
        <w:t>的</w:t>
      </w:r>
      <w:r>
        <w:rPr>
          <w:rFonts w:hint="eastAsia" w:cs="Times New Roman"/>
          <w:color w:val="00B050"/>
          <w:sz w:val="28"/>
          <w:szCs w:val="28"/>
          <w:u w:val="single"/>
        </w:rPr>
        <w:t>公司名称</w:t>
      </w:r>
      <w:r>
        <w:rPr>
          <w:rFonts w:hint="eastAsia"/>
        </w:rPr>
        <w:t>的在下方签字（或签章）的</w:t>
      </w:r>
      <w:r>
        <w:rPr>
          <w:rFonts w:hint="eastAsia" w:cs="Times New Roman"/>
          <w:color w:val="00B050"/>
          <w:sz w:val="28"/>
          <w:szCs w:val="28"/>
          <w:u w:val="single"/>
        </w:rPr>
        <w:t>法人代表姓名</w:t>
      </w:r>
      <w:r>
        <w:rPr>
          <w:rFonts w:hint="eastAsia"/>
        </w:rPr>
        <w:t>代表本公司授权</w:t>
      </w:r>
      <w:r>
        <w:rPr>
          <w:rFonts w:hint="eastAsia" w:cs="Times New Roman"/>
          <w:color w:val="00B050"/>
          <w:sz w:val="28"/>
          <w:szCs w:val="28"/>
          <w:u w:val="single"/>
        </w:rPr>
        <w:t>被授权代表人姓名、职务</w:t>
      </w:r>
      <w:r>
        <w:rPr>
          <w:rFonts w:hint="eastAsia"/>
        </w:rPr>
        <w:t>为本公司的合法代理人，就福建福海创石油化工有限公司易制毒、</w:t>
      </w:r>
      <w:r>
        <w:rPr>
          <w:rFonts w:hint="eastAsia" w:asciiTheme="minorEastAsia" w:hAnsiTheme="minorEastAsia" w:eastAsiaTheme="minorEastAsia"/>
          <w:bCs/>
        </w:rPr>
        <w:t>易制爆化学试剂年约采购</w:t>
      </w:r>
      <w:r>
        <w:rPr>
          <w:rFonts w:hint="eastAsia"/>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eastAsia="zh-CN"/>
        </w:rPr>
        <w:t>1年1月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20"/>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在充分研究福建福海创石油化工有限公司易制毒、</w:t>
      </w:r>
      <w:r>
        <w:rPr>
          <w:rFonts w:hint="eastAsia" w:asciiTheme="minorEastAsia" w:hAnsiTheme="minorEastAsia" w:eastAsiaTheme="minorEastAsia"/>
          <w:bCs/>
          <w:lang w:eastAsia="zh-CN"/>
        </w:rPr>
        <w:t>易制爆化学试剂年约采购</w:t>
      </w:r>
      <w:r>
        <w:rPr>
          <w:rFonts w:hint="eastAsia" w:asciiTheme="minorEastAsia" w:hAnsiTheme="minorEastAsia" w:eastAsiaTheme="minorEastAsia"/>
          <w:lang w:eastAsia="zh-CN"/>
        </w:rPr>
        <w:t>比选文件的全部内容后，我方愿以以下报价，严格按照自主比选文件的要求执行。</w:t>
      </w:r>
    </w:p>
    <w:tbl>
      <w:tblPr>
        <w:tblStyle w:val="47"/>
        <w:tblW w:w="10314" w:type="dxa"/>
        <w:tblInd w:w="-8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9"/>
        <w:gridCol w:w="2127"/>
        <w:gridCol w:w="1718"/>
        <w:gridCol w:w="848"/>
        <w:gridCol w:w="1115"/>
        <w:gridCol w:w="1134"/>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序号</w:t>
            </w:r>
          </w:p>
        </w:tc>
        <w:tc>
          <w:tcPr>
            <w:tcW w:w="1559" w:type="dxa"/>
            <w:vAlign w:val="center"/>
          </w:tcPr>
          <w:p>
            <w:pPr>
              <w:widowControl/>
              <w:jc w:val="center"/>
              <w:rPr>
                <w:b/>
                <w:color w:val="000000"/>
                <w:kern w:val="2"/>
                <w:sz w:val="20"/>
                <w:szCs w:val="20"/>
                <w:lang w:eastAsia="zh-CN"/>
              </w:rPr>
            </w:pPr>
            <w:r>
              <w:rPr>
                <w:rFonts w:hint="eastAsia"/>
                <w:b/>
                <w:color w:val="000000"/>
                <w:kern w:val="2"/>
                <w:sz w:val="20"/>
                <w:szCs w:val="20"/>
                <w:lang w:eastAsia="zh-CN"/>
              </w:rPr>
              <w:t>品牌</w:t>
            </w:r>
          </w:p>
        </w:tc>
        <w:tc>
          <w:tcPr>
            <w:tcW w:w="2127"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产品名称</w:t>
            </w:r>
          </w:p>
        </w:tc>
        <w:tc>
          <w:tcPr>
            <w:tcW w:w="1718"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规格型号及材质</w:t>
            </w:r>
          </w:p>
        </w:tc>
        <w:tc>
          <w:tcPr>
            <w:tcW w:w="848"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数量</w:t>
            </w:r>
          </w:p>
        </w:tc>
        <w:tc>
          <w:tcPr>
            <w:tcW w:w="1115"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单价/元</w:t>
            </w:r>
          </w:p>
        </w:tc>
        <w:tc>
          <w:tcPr>
            <w:tcW w:w="1134" w:type="dxa"/>
          </w:tcPr>
          <w:p>
            <w:pPr>
              <w:pStyle w:val="2"/>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总价/元</w:t>
            </w:r>
          </w:p>
        </w:tc>
        <w:tc>
          <w:tcPr>
            <w:tcW w:w="1138" w:type="dxa"/>
            <w:vAlign w:val="center"/>
          </w:tcPr>
          <w:p>
            <w:pPr>
              <w:widowControl/>
              <w:jc w:val="center"/>
              <w:rPr>
                <w:b/>
                <w:color w:val="000000"/>
                <w:kern w:val="2"/>
                <w:sz w:val="20"/>
                <w:szCs w:val="20"/>
                <w:lang w:eastAsia="zh-CN"/>
              </w:rPr>
            </w:pPr>
            <w:r>
              <w:rPr>
                <w:rFonts w:hint="eastAsia"/>
                <w:b/>
                <w:color w:val="000000"/>
                <w:kern w:val="2"/>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w:t>
            </w:r>
            <w:r>
              <w:rPr>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500ml/瓶AR</w:t>
            </w:r>
          </w:p>
        </w:tc>
        <w:tc>
          <w:tcPr>
            <w:tcW w:w="848" w:type="dxa"/>
            <w:vAlign w:val="center"/>
          </w:tcPr>
          <w:p>
            <w:pPr>
              <w:jc w:val="center"/>
              <w:rPr>
                <w:rFonts w:asciiTheme="minorEastAsia" w:hAnsiTheme="minorEastAsia" w:eastAsiaTheme="minorEastAsia"/>
                <w:color w:val="000000"/>
                <w:sz w:val="20"/>
                <w:szCs w:val="20"/>
                <w:lang w:eastAsia="zh-CN"/>
              </w:rPr>
            </w:pPr>
            <w:r>
              <w:rPr>
                <w:rFonts w:asciiTheme="minorEastAsia" w:hAnsiTheme="minorEastAsia" w:eastAsiaTheme="minorEastAsia"/>
                <w:color w:val="000000"/>
                <w:sz w:val="20"/>
                <w:szCs w:val="20"/>
                <w:lang w:eastAsia="zh-CN"/>
              </w:rPr>
              <w:t>60</w:t>
            </w:r>
            <w:r>
              <w:rPr>
                <w:rFonts w:hint="eastAsia" w:asciiTheme="minorEastAsia" w:hAnsiTheme="minorEastAsia" w:eastAsiaTheme="minorEastAsia"/>
                <w:color w:val="000000"/>
                <w:sz w:val="20"/>
                <w:szCs w:val="20"/>
                <w:lang w:eastAsia="zh-CN"/>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w:t>
            </w:r>
            <w:r>
              <w:rPr>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500g/瓶GR</w:t>
            </w:r>
          </w:p>
        </w:tc>
        <w:tc>
          <w:tcPr>
            <w:tcW w:w="848" w:type="dxa"/>
            <w:vAlign w:val="center"/>
          </w:tcPr>
          <w:p>
            <w:pPr>
              <w:pStyle w:val="2"/>
              <w:jc w:val="center"/>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硝酸钠</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100g/瓶GR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rPr>
                <w:sz w:val="20"/>
                <w:szCs w:val="20"/>
              </w:rPr>
            </w:pPr>
            <w:r>
              <w:rPr>
                <w:rFonts w:hint="eastAsia"/>
                <w:sz w:val="20"/>
                <w:szCs w:val="20"/>
              </w:rPr>
              <w:t>硝酸钾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500g/瓶GR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硝酸银</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100g/瓶PT</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硝基苯酚（邻、间、对）类化合物</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100g/瓶PT</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过氧化氢</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六甲基四胺</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11</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2-丁酮（甲基乙基酮）</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mL/瓶、色谱纯</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12</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13</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 ml/瓶、色谱纯</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14</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丙酮</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15</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16</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17</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18</w:t>
            </w:r>
          </w:p>
        </w:tc>
        <w:tc>
          <w:tcPr>
            <w:tcW w:w="1559"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国药试剂</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翔鹭石化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19</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过氧化氢（双氧水）</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w:t>
            </w:r>
            <w:r>
              <w:rPr>
                <w:rFonts w:asciiTheme="minorEastAsia" w:hAnsiTheme="minorEastAsia" w:eastAsiaTheme="minorEastAsia"/>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21</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w:t>
            </w:r>
            <w:r>
              <w:rPr>
                <w:rFonts w:asciiTheme="minorEastAsia" w:hAnsiTheme="minorEastAsia" w:eastAsiaTheme="minorEastAsia"/>
                <w:sz w:val="20"/>
                <w:szCs w:val="20"/>
              </w:rPr>
              <w:t>[含硝酸≥70%]</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22</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500ml，UP</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23</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24</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硝酸钠</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25</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西陇光复或国药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硝酸银</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100g/瓶PT</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26</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硼氢化钾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27</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高氯酸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28</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29</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30</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重铬酸钾</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100g/瓶 PT</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31</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硝酸镁</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32</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三水合高氯酸锂</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500g/瓶AR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33</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34</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甲苯</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 ml/瓶、色谱纯</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35</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36</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硫酸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37</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38</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盐酸</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mL/瓶、GR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39</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三氯甲烷</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40</w:t>
            </w:r>
          </w:p>
        </w:tc>
        <w:tc>
          <w:tcPr>
            <w:tcW w:w="1559" w:type="dxa"/>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西陇或国药</w:t>
            </w:r>
          </w:p>
        </w:tc>
        <w:tc>
          <w:tcPr>
            <w:tcW w:w="2127"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乙醚</w:t>
            </w:r>
          </w:p>
        </w:tc>
        <w:tc>
          <w:tcPr>
            <w:tcW w:w="171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500 mL/瓶、AR</w:t>
            </w:r>
          </w:p>
        </w:tc>
        <w:tc>
          <w:tcPr>
            <w:tcW w:w="848"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w:t>
            </w:r>
            <w:r>
              <w:rPr>
                <w:rFonts w:hint="eastAsia" w:asciiTheme="minorEastAsia" w:hAnsiTheme="minorEastAsia" w:eastAsiaTheme="minorEastAsia"/>
                <w:color w:val="000000"/>
                <w:sz w:val="20"/>
                <w:szCs w:val="20"/>
              </w:rPr>
              <w:t>瓶</w:t>
            </w:r>
          </w:p>
        </w:tc>
        <w:tc>
          <w:tcPr>
            <w:tcW w:w="1115" w:type="dxa"/>
          </w:tcPr>
          <w:p>
            <w:pPr>
              <w:pStyle w:val="2"/>
              <w:jc w:val="center"/>
              <w:rPr>
                <w:rFonts w:asciiTheme="minorEastAsia" w:hAnsiTheme="minorEastAsia" w:eastAsiaTheme="minorEastAsia"/>
                <w:sz w:val="20"/>
                <w:szCs w:val="20"/>
              </w:rPr>
            </w:pPr>
          </w:p>
        </w:tc>
        <w:tc>
          <w:tcPr>
            <w:tcW w:w="1134" w:type="dxa"/>
          </w:tcPr>
          <w:p>
            <w:pPr>
              <w:pStyle w:val="2"/>
              <w:jc w:val="center"/>
              <w:rPr>
                <w:rFonts w:asciiTheme="minorEastAsia" w:hAnsiTheme="minorEastAsia" w:eastAsiaTheme="minorEastAsia"/>
                <w:sz w:val="20"/>
                <w:szCs w:val="20"/>
              </w:rPr>
            </w:pPr>
          </w:p>
        </w:tc>
        <w:tc>
          <w:tcPr>
            <w:tcW w:w="1138"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腾龙芳烃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9" w:type="dxa"/>
            <w:gridSpan w:val="4"/>
            <w:vAlign w:val="center"/>
          </w:tcPr>
          <w:p>
            <w:pPr>
              <w:pStyle w:val="2"/>
              <w:ind w:firstLine="3700" w:firstLineChars="18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合计：</w:t>
            </w:r>
          </w:p>
        </w:tc>
        <w:tc>
          <w:tcPr>
            <w:tcW w:w="4235" w:type="dxa"/>
            <w:gridSpan w:val="4"/>
            <w:vAlign w:val="center"/>
          </w:tcPr>
          <w:p>
            <w:pPr>
              <w:widowControl/>
              <w:rPr>
                <w:rFonts w:asciiTheme="minorEastAsia" w:hAnsiTheme="minorEastAsia" w:eastAsiaTheme="minorEastAsia"/>
                <w:color w:val="000000"/>
                <w:kern w:val="2"/>
                <w:sz w:val="20"/>
                <w:szCs w:val="20"/>
                <w:lang w:eastAsia="zh-CN"/>
              </w:rPr>
            </w:pP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ind w:firstLine="2502" w:firstLineChars="890"/>
        <w:rPr>
          <w:rFonts w:asciiTheme="minorEastAsia" w:hAnsiTheme="minorEastAsia" w:eastAsiaTheme="minorEastAsia"/>
          <w:b/>
          <w:color w:val="000000"/>
          <w:sz w:val="28"/>
          <w:szCs w:val="28"/>
          <w:lang w:eastAsia="zh-CN"/>
        </w:rPr>
      </w:pPr>
    </w:p>
    <w:p>
      <w:pPr>
        <w:rPr>
          <w:lang w:eastAsia="zh-CN"/>
        </w:rPr>
      </w:pPr>
    </w:p>
    <w:p>
      <w:pPr>
        <w:pStyle w:val="2"/>
      </w:pPr>
    </w:p>
    <w:p>
      <w:pPr>
        <w:pStyle w:val="2"/>
      </w:pPr>
    </w:p>
    <w:p>
      <w:pPr>
        <w:pStyle w:val="2"/>
      </w:pPr>
    </w:p>
    <w:p>
      <w:pPr>
        <w:pStyle w:val="2"/>
      </w:pPr>
    </w:p>
    <w:p>
      <w:pPr>
        <w:pStyle w:val="2"/>
      </w:pPr>
    </w:p>
    <w:p>
      <w:pPr>
        <w:pStyle w:val="2"/>
      </w:pPr>
    </w:p>
    <w:p>
      <w:pPr>
        <w:pStyle w:val="2"/>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2</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063E0"/>
    <w:rsid w:val="00025717"/>
    <w:rsid w:val="000277D1"/>
    <w:rsid w:val="000367ED"/>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4F6"/>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555CB"/>
    <w:rsid w:val="001660AB"/>
    <w:rsid w:val="001676AA"/>
    <w:rsid w:val="00167FF4"/>
    <w:rsid w:val="00170E87"/>
    <w:rsid w:val="00177E03"/>
    <w:rsid w:val="00180851"/>
    <w:rsid w:val="0018116F"/>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54DD"/>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153"/>
    <w:rsid w:val="0028420D"/>
    <w:rsid w:val="002855A5"/>
    <w:rsid w:val="002859D4"/>
    <w:rsid w:val="00285F4F"/>
    <w:rsid w:val="00287A75"/>
    <w:rsid w:val="00287AA4"/>
    <w:rsid w:val="00290B7A"/>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073F"/>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3697"/>
    <w:rsid w:val="00376FF9"/>
    <w:rsid w:val="0037744D"/>
    <w:rsid w:val="00381036"/>
    <w:rsid w:val="00383DFA"/>
    <w:rsid w:val="003845B6"/>
    <w:rsid w:val="00385474"/>
    <w:rsid w:val="003856F2"/>
    <w:rsid w:val="00385C99"/>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402F"/>
    <w:rsid w:val="00474BB0"/>
    <w:rsid w:val="004774E5"/>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3968"/>
    <w:rsid w:val="00605E48"/>
    <w:rsid w:val="00606A94"/>
    <w:rsid w:val="00613503"/>
    <w:rsid w:val="006149C8"/>
    <w:rsid w:val="006152B6"/>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009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E54AA"/>
    <w:rsid w:val="009F0778"/>
    <w:rsid w:val="009F290D"/>
    <w:rsid w:val="009F4789"/>
    <w:rsid w:val="009F4A63"/>
    <w:rsid w:val="009F6299"/>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0BB3"/>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7AF9"/>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C6F93"/>
    <w:rsid w:val="00BD0C5C"/>
    <w:rsid w:val="00BD53D9"/>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50A6C4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uiPriority w:val="0"/>
    <w:rPr>
      <w:rFonts w:ascii="宋体" w:hAnsi="宋体" w:cs="宋体"/>
      <w:b/>
      <w:bCs/>
      <w:sz w:val="24"/>
      <w:szCs w:val="24"/>
      <w:lang w:eastAsia="en-US"/>
    </w:rPr>
  </w:style>
  <w:style w:type="character" w:customStyle="1" w:styleId="61">
    <w:name w:val="标题 3 Char"/>
    <w:basedOn w:val="48"/>
    <w:link w:val="5"/>
    <w:uiPriority w:val="0"/>
    <w:rPr>
      <w:b/>
      <w:bCs/>
      <w:kern w:val="2"/>
      <w:sz w:val="32"/>
      <w:szCs w:val="32"/>
    </w:rPr>
  </w:style>
  <w:style w:type="character" w:customStyle="1" w:styleId="62">
    <w:name w:val="标题 4 Char"/>
    <w:basedOn w:val="48"/>
    <w:link w:val="6"/>
    <w:uiPriority w:val="0"/>
    <w:rPr>
      <w:b/>
      <w:kern w:val="2"/>
      <w:sz w:val="24"/>
      <w:szCs w:val="24"/>
    </w:rPr>
  </w:style>
  <w:style w:type="character" w:customStyle="1" w:styleId="63">
    <w:name w:val="标题 5 Char"/>
    <w:basedOn w:val="48"/>
    <w:link w:val="7"/>
    <w:uiPriority w:val="0"/>
    <w:rPr>
      <w:b/>
      <w:bCs/>
      <w:kern w:val="2"/>
      <w:sz w:val="28"/>
      <w:szCs w:val="28"/>
    </w:rPr>
  </w:style>
  <w:style w:type="character" w:customStyle="1" w:styleId="64">
    <w:name w:val="标题 6 Char"/>
    <w:basedOn w:val="48"/>
    <w:link w:val="8"/>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uiPriority w:val="0"/>
    <w:rPr>
      <w:b/>
      <w:kern w:val="2"/>
      <w:sz w:val="24"/>
    </w:rPr>
  </w:style>
  <w:style w:type="character" w:customStyle="1" w:styleId="67">
    <w:name w:val="标题 8 Char"/>
    <w:basedOn w:val="48"/>
    <w:link w:val="11"/>
    <w:uiPriority w:val="0"/>
    <w:rPr>
      <w:rFonts w:ascii="Arial" w:hAnsi="Arial" w:eastAsia="黑体"/>
      <w:kern w:val="2"/>
      <w:sz w:val="24"/>
    </w:rPr>
  </w:style>
  <w:style w:type="character" w:customStyle="1" w:styleId="68">
    <w:name w:val="标题 9 Char"/>
    <w:basedOn w:val="48"/>
    <w:link w:val="12"/>
    <w:uiPriority w:val="0"/>
    <w:rPr>
      <w:rFonts w:ascii="Arial" w:hAnsi="Arial" w:eastAsia="黑体"/>
      <w:kern w:val="2"/>
      <w:sz w:val="21"/>
    </w:rPr>
  </w:style>
  <w:style w:type="character" w:customStyle="1" w:styleId="69">
    <w:name w:val="正文文本 Char1"/>
    <w:basedOn w:val="48"/>
    <w:link w:val="20"/>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uiPriority w:val="0"/>
    <w:rPr>
      <w:b/>
      <w:kern w:val="2"/>
      <w:sz w:val="21"/>
    </w:rPr>
  </w:style>
  <w:style w:type="character" w:customStyle="1" w:styleId="80">
    <w:name w:val="普通(网站) Char"/>
    <w:basedOn w:val="48"/>
    <w:link w:val="41"/>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uiPriority w:val="0"/>
    <w:rPr>
      <w:rFonts w:eastAsia="宋体"/>
      <w:sz w:val="24"/>
      <w:szCs w:val="24"/>
      <w:lang w:val="en-US" w:eastAsia="zh-CN" w:bidi="ar-SA"/>
    </w:rPr>
  </w:style>
  <w:style w:type="character" w:customStyle="1" w:styleId="90">
    <w:name w:val="en1"/>
    <w:basedOn w:val="48"/>
    <w:uiPriority w:val="0"/>
    <w:rPr>
      <w:b/>
      <w:bCs/>
      <w:color w:val="154C7F"/>
      <w:sz w:val="24"/>
      <w:szCs w:val="24"/>
    </w:rPr>
  </w:style>
  <w:style w:type="character" w:customStyle="1" w:styleId="91">
    <w:name w:val="font01"/>
    <w:basedOn w:val="48"/>
    <w:uiPriority w:val="0"/>
    <w:rPr>
      <w:rFonts w:hint="eastAsia" w:ascii="宋体" w:hAnsi="宋体" w:eastAsia="宋体" w:cs="宋体"/>
      <w:color w:val="000000"/>
      <w:sz w:val="20"/>
      <w:szCs w:val="20"/>
      <w:u w:val="none"/>
    </w:rPr>
  </w:style>
  <w:style w:type="character" w:customStyle="1" w:styleId="92">
    <w:name w:val="标题 Char"/>
    <w:basedOn w:val="48"/>
    <w:link w:val="43"/>
    <w:uiPriority w:val="0"/>
    <w:rPr>
      <w:rFonts w:ascii="Arial" w:hAnsi="Arial" w:cs="Arial"/>
      <w:b/>
      <w:bCs/>
      <w:sz w:val="44"/>
      <w:szCs w:val="32"/>
    </w:rPr>
  </w:style>
  <w:style w:type="character" w:customStyle="1" w:styleId="93">
    <w:name w:val="正文文本缩进 Char"/>
    <w:basedOn w:val="48"/>
    <w:link w:val="21"/>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uiPriority w:val="0"/>
    <w:rPr>
      <w:rFonts w:ascii="Arial Unicode MS" w:hAnsi="Arial Unicode MS" w:eastAsia="Courier New" w:cs="Courier New"/>
    </w:rPr>
  </w:style>
  <w:style w:type="character" w:customStyle="1" w:styleId="98">
    <w:name w:val="文档结构图 Char"/>
    <w:basedOn w:val="48"/>
    <w:link w:val="16"/>
    <w:uiPriority w:val="0"/>
    <w:rPr>
      <w:rFonts w:ascii="宋体"/>
      <w:sz w:val="28"/>
      <w:shd w:val="clear" w:color="auto" w:fill="000080"/>
    </w:rPr>
  </w:style>
  <w:style w:type="character" w:customStyle="1" w:styleId="99">
    <w:name w:val="日期 Char"/>
    <w:basedOn w:val="48"/>
    <w:link w:val="27"/>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uiPriority w:val="0"/>
    <w:rPr>
      <w:rFonts w:ascii="Arial" w:hAnsi="Arial" w:cs="Arial"/>
      <w:kern w:val="2"/>
      <w:sz w:val="24"/>
      <w:szCs w:val="24"/>
      <w:shd w:val="pct20" w:color="auto" w:fill="auto"/>
    </w:rPr>
  </w:style>
  <w:style w:type="character" w:customStyle="1" w:styleId="107">
    <w:name w:val="正文文本 3 Char1"/>
    <w:basedOn w:val="48"/>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uiPriority w:val="0"/>
    <w:rPr>
      <w:rFonts w:ascii="Courier New" w:hAnsi="Courier New" w:cs="Courier New"/>
      <w:lang w:eastAsia="en-US"/>
    </w:rPr>
  </w:style>
  <w:style w:type="character" w:customStyle="1" w:styleId="121">
    <w:name w:val="正文文本缩进 Char1"/>
    <w:basedOn w:val="48"/>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B0904-AE39-4F3B-B6BD-CCBBDEA7542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24</Pages>
  <Words>1648</Words>
  <Characters>9398</Characters>
  <Lines>78</Lines>
  <Paragraphs>22</Paragraphs>
  <TotalTime>691</TotalTime>
  <ScaleCrop>false</ScaleCrop>
  <LinksUpToDate>false</LinksUpToDate>
  <CharactersWithSpaces>11024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潘骏</cp:lastModifiedBy>
  <dcterms:modified xsi:type="dcterms:W3CDTF">2021-01-05T09:11:22Z</dcterms:modified>
  <dc:title>公开招标文件（货物服务类）</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