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2020年下半年、2021年上半年劳动清洁与护肤用品年约合同采购发包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201126003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22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15：45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1、中选人：漳州市恒晟商贸发展有限公司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：含税包干单价R</w:t>
      </w:r>
      <w:r>
        <w:rPr>
          <w:rFonts w:cs="Helvetica" w:asciiTheme="minorEastAsia" w:hAnsiTheme="minorEastAsia" w:eastAsiaTheme="minorEastAsia"/>
        </w:rPr>
        <w:t>MB801,396.00元，含13%增值税专用发票。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23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3</w:t>
      </w:r>
      <w:r>
        <w:rPr>
          <w:rFonts w:hint="eastAsia" w:cs="Helvetica" w:asciiTheme="minorEastAsia" w:hAnsiTheme="minorEastAsia" w:eastAsiaTheme="minorEastAsia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2C7789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02038"/>
    <w:rsid w:val="00922BD0"/>
    <w:rsid w:val="00930FCF"/>
    <w:rsid w:val="0094205B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763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372</Characters>
  <Lines>3</Lines>
  <Paragraphs>1</Paragraphs>
  <TotalTime>192</TotalTime>
  <ScaleCrop>false</ScaleCrop>
  <LinksUpToDate>false</LinksUpToDate>
  <CharactersWithSpaces>436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2020-12-25T08:06:04Z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