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PX和PTA公司2021年度放射工作人员个人剂量监测年约发包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201124002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22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16：00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1、中选人：福建省鑫龙安检测技术有限公司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：含税包干单价R</w:t>
      </w:r>
      <w:r>
        <w:rPr>
          <w:rFonts w:cs="Helvetica" w:asciiTheme="minorEastAsia" w:hAnsiTheme="minorEastAsia" w:eastAsiaTheme="minorEastAsia"/>
        </w:rPr>
        <w:t>MB29元</w:t>
      </w:r>
      <w:r>
        <w:rPr>
          <w:rFonts w:hint="eastAsia" w:cs="Helvetica" w:asciiTheme="minorEastAsia" w:hAnsiTheme="minorEastAsia" w:eastAsiaTheme="minorEastAsia"/>
        </w:rPr>
        <w:t>/人/次</w:t>
      </w:r>
      <w:r>
        <w:rPr>
          <w:rFonts w:cs="Helvetica" w:asciiTheme="minorEastAsia" w:hAnsiTheme="minorEastAsia" w:eastAsiaTheme="minorEastAsia"/>
        </w:rPr>
        <w:t>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3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01BB5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02038"/>
    <w:rsid w:val="00922BD0"/>
    <w:rsid w:val="00930FCF"/>
    <w:rsid w:val="0094205B"/>
    <w:rsid w:val="00957D72"/>
    <w:rsid w:val="009732EB"/>
    <w:rsid w:val="0097593C"/>
    <w:rsid w:val="009845C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111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194</TotalTime>
  <ScaleCrop>false</ScaleCrop>
  <LinksUpToDate>false</LinksUpToDate>
  <CharactersWithSpaces>428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2020-12-25T02:36:37Z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