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rPr>
          <w:rFonts w:ascii="Times New Roman"/>
          <w:sz w:val="20"/>
          <w:lang w:eastAsia="zh-CN"/>
        </w:rPr>
      </w:pPr>
    </w:p>
    <w:p>
      <w:pPr>
        <w:pStyle w:val="14"/>
        <w:rPr>
          <w:rFonts w:ascii="Times New Roman"/>
          <w:sz w:val="20"/>
        </w:rPr>
      </w:pPr>
    </w:p>
    <w:p>
      <w:pPr>
        <w:pStyle w:val="14"/>
        <w:rPr>
          <w:rFonts w:ascii="Times New Roman"/>
          <w:sz w:val="20"/>
        </w:rPr>
      </w:pPr>
    </w:p>
    <w:p>
      <w:pPr>
        <w:pStyle w:val="14"/>
        <w:rPr>
          <w:rFonts w:ascii="Times New Roman"/>
          <w:sz w:val="20"/>
        </w:rPr>
      </w:pPr>
    </w:p>
    <w:p>
      <w:pPr>
        <w:pStyle w:val="14"/>
        <w:rPr>
          <w:rFonts w:ascii="Times New Roman"/>
          <w:sz w:val="20"/>
        </w:rPr>
      </w:pPr>
    </w:p>
    <w:p>
      <w:pPr>
        <w:pStyle w:val="14"/>
        <w:spacing w:before="5"/>
        <w:rPr>
          <w:rFonts w:ascii="Times New Roman"/>
          <w:sz w:val="20"/>
        </w:rPr>
      </w:pPr>
    </w:p>
    <w:p>
      <w:pPr>
        <w:spacing w:line="788" w:lineRule="exact"/>
        <w:ind w:left="167"/>
        <w:jc w:val="center"/>
        <w:rPr>
          <w:rFonts w:ascii="微软雅黑" w:eastAsia="微软雅黑"/>
          <w:b/>
          <w:sz w:val="44"/>
          <w:szCs w:val="44"/>
          <w:lang w:eastAsia="zh-CN"/>
        </w:rPr>
      </w:pPr>
      <w:r>
        <w:rPr>
          <w:rFonts w:hint="eastAsia" w:ascii="微软雅黑" w:eastAsia="微软雅黑"/>
          <w:b/>
          <w:sz w:val="44"/>
          <w:szCs w:val="44"/>
          <w:lang w:eastAsia="zh-CN"/>
        </w:rPr>
        <w:t>福建福海创石油化工有限公司</w:t>
      </w:r>
    </w:p>
    <w:p>
      <w:pPr>
        <w:spacing w:before="38"/>
        <w:ind w:left="172"/>
        <w:jc w:val="center"/>
        <w:rPr>
          <w:rFonts w:ascii="微软雅黑" w:eastAsia="微软雅黑"/>
          <w:b/>
          <w:sz w:val="36"/>
          <w:szCs w:val="36"/>
          <w:u w:val="single"/>
          <w:lang w:eastAsia="zh-CN"/>
        </w:rPr>
      </w:pPr>
    </w:p>
    <w:p>
      <w:pPr>
        <w:spacing w:before="38"/>
        <w:ind w:left="172"/>
        <w:jc w:val="center"/>
        <w:rPr>
          <w:rFonts w:ascii="微软雅黑" w:eastAsia="微软雅黑"/>
          <w:b/>
          <w:sz w:val="36"/>
          <w:szCs w:val="36"/>
          <w:lang w:eastAsia="zh-CN"/>
        </w:rPr>
      </w:pPr>
      <w:r>
        <w:rPr>
          <w:rFonts w:hint="eastAsia" w:ascii="微软雅黑" w:eastAsia="微软雅黑"/>
          <w:b/>
          <w:sz w:val="36"/>
          <w:szCs w:val="36"/>
          <w:u w:val="single"/>
          <w:lang w:eastAsia="zh-CN"/>
        </w:rPr>
        <w:t xml:space="preserve">  </w:t>
      </w:r>
      <w:r>
        <w:rPr>
          <w:rFonts w:hint="eastAsia" w:ascii="黑体" w:hAnsi="黑体" w:eastAsia="黑体"/>
          <w:b/>
          <w:sz w:val="36"/>
          <w:szCs w:val="36"/>
          <w:u w:val="single"/>
          <w:lang w:eastAsia="zh-CN"/>
        </w:rPr>
        <w:t>PX厂区火炬气柜检修</w:t>
      </w:r>
      <w:r>
        <w:rPr>
          <w:rFonts w:hint="eastAsia" w:ascii="微软雅黑" w:eastAsia="微软雅黑"/>
          <w:b/>
          <w:sz w:val="36"/>
          <w:szCs w:val="36"/>
          <w:u w:val="single"/>
          <w:lang w:eastAsia="zh-CN"/>
        </w:rPr>
        <w:t xml:space="preserve">  </w:t>
      </w:r>
      <w:r>
        <w:rPr>
          <w:rFonts w:hint="eastAsia" w:ascii="微软雅黑" w:eastAsia="微软雅黑"/>
          <w:b/>
          <w:sz w:val="36"/>
          <w:szCs w:val="36"/>
          <w:lang w:eastAsia="zh-CN"/>
        </w:rPr>
        <w:t>项目</w:t>
      </w:r>
    </w:p>
    <w:p>
      <w:pPr>
        <w:pStyle w:val="14"/>
        <w:rPr>
          <w:rFonts w:ascii="微软雅黑"/>
          <w:b/>
          <w:sz w:val="68"/>
          <w:lang w:eastAsia="zh-CN"/>
        </w:rPr>
      </w:pPr>
    </w:p>
    <w:p>
      <w:pPr>
        <w:pStyle w:val="14"/>
        <w:spacing w:before="4"/>
        <w:rPr>
          <w:rFonts w:ascii="微软雅黑"/>
          <w:b/>
          <w:sz w:val="39"/>
          <w:lang w:eastAsia="zh-CN"/>
        </w:rPr>
      </w:pPr>
    </w:p>
    <w:p>
      <w:pPr>
        <w:ind w:left="169"/>
        <w:jc w:val="center"/>
        <w:rPr>
          <w:rFonts w:ascii="微软雅黑" w:eastAsia="微软雅黑"/>
          <w:b/>
          <w:sz w:val="72"/>
          <w:lang w:eastAsia="zh-CN"/>
        </w:rPr>
      </w:pPr>
      <w:r>
        <w:rPr>
          <w:rFonts w:hint="eastAsia" w:ascii="微软雅黑" w:eastAsia="微软雅黑"/>
          <w:b/>
          <w:sz w:val="72"/>
          <w:lang w:eastAsia="zh-CN"/>
        </w:rPr>
        <w:t>比选文件</w:t>
      </w:r>
    </w:p>
    <w:p>
      <w:pPr>
        <w:pStyle w:val="2"/>
        <w:jc w:val="center"/>
        <w:rPr>
          <w:sz w:val="28"/>
          <w:szCs w:val="28"/>
        </w:rPr>
      </w:pPr>
      <w:r>
        <w:rPr>
          <w:rFonts w:hint="eastAsia"/>
          <w:sz w:val="28"/>
          <w:szCs w:val="28"/>
        </w:rPr>
        <w:t>（文件编号：</w:t>
      </w:r>
      <w:r>
        <w:rPr>
          <w:rFonts w:hint="eastAsia"/>
          <w:sz w:val="28"/>
          <w:szCs w:val="28"/>
          <w:u w:val="single"/>
        </w:rPr>
        <w:t xml:space="preserve"> FHC-PTCG20201123001 </w:t>
      </w:r>
      <w:r>
        <w:rPr>
          <w:rFonts w:hint="eastAsia"/>
          <w:sz w:val="28"/>
          <w:szCs w:val="28"/>
        </w:rPr>
        <w:t>）</w:t>
      </w:r>
    </w:p>
    <w:p>
      <w:pPr>
        <w:pStyle w:val="14"/>
        <w:rPr>
          <w:rFonts w:ascii="微软雅黑"/>
          <w:b/>
          <w:sz w:val="94"/>
          <w:lang w:eastAsia="zh-CN"/>
        </w:rPr>
      </w:pPr>
    </w:p>
    <w:p>
      <w:pPr>
        <w:pStyle w:val="14"/>
        <w:rPr>
          <w:rFonts w:ascii="微软雅黑"/>
          <w:b/>
          <w:sz w:val="94"/>
          <w:lang w:eastAsia="zh-CN"/>
        </w:rPr>
      </w:pPr>
    </w:p>
    <w:p>
      <w:pPr>
        <w:pStyle w:val="14"/>
        <w:spacing w:before="7"/>
        <w:rPr>
          <w:rFonts w:ascii="微软雅黑"/>
          <w:b/>
          <w:sz w:val="74"/>
          <w:lang w:eastAsia="zh-CN"/>
        </w:rPr>
      </w:pPr>
    </w:p>
    <w:p>
      <w:pPr>
        <w:spacing w:line="271" w:lineRule="auto"/>
        <w:ind w:right="612" w:firstLine="1825" w:firstLineChars="600"/>
        <w:rPr>
          <w:rFonts w:ascii="微软雅黑" w:eastAsia="微软雅黑"/>
          <w:b/>
          <w:w w:val="95"/>
          <w:sz w:val="32"/>
          <w:lang w:eastAsia="zh-CN"/>
        </w:rPr>
      </w:pPr>
      <w:r>
        <w:rPr>
          <w:rFonts w:hint="eastAsia" w:ascii="微软雅黑" w:eastAsia="微软雅黑"/>
          <w:b/>
          <w:w w:val="95"/>
          <w:sz w:val="32"/>
          <w:lang w:eastAsia="zh-CN"/>
        </w:rPr>
        <w:t>福建福海创石油化工有限公司编制</w:t>
      </w:r>
    </w:p>
    <w:p>
      <w:pPr>
        <w:spacing w:line="271" w:lineRule="auto"/>
        <w:ind w:left="2061" w:right="1889"/>
        <w:jc w:val="center"/>
        <w:rPr>
          <w:rFonts w:ascii="微软雅黑" w:eastAsia="微软雅黑"/>
          <w:b/>
          <w:sz w:val="32"/>
          <w:lang w:eastAsia="zh-CN"/>
        </w:rPr>
      </w:pPr>
      <w:r>
        <w:rPr>
          <w:rFonts w:hint="eastAsia" w:ascii="微软雅黑" w:eastAsia="微软雅黑"/>
          <w:b/>
          <w:w w:val="95"/>
          <w:sz w:val="32"/>
          <w:lang w:eastAsia="zh-CN"/>
        </w:rPr>
        <w:t>二〇二〇年十一月</w:t>
      </w:r>
    </w:p>
    <w:p>
      <w:pPr>
        <w:spacing w:line="271" w:lineRule="auto"/>
        <w:jc w:val="center"/>
        <w:rPr>
          <w:rFonts w:ascii="微软雅黑" w:eastAsia="微软雅黑"/>
          <w:sz w:val="32"/>
          <w:lang w:eastAsia="zh-CN"/>
        </w:rPr>
        <w:sectPr>
          <w:type w:val="continuous"/>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14"/>
        <w:rPr>
          <w:rFonts w:ascii="黑体"/>
          <w:sz w:val="20"/>
          <w:lang w:eastAsia="zh-CN"/>
        </w:rPr>
      </w:pPr>
    </w:p>
    <w:p>
      <w:pPr>
        <w:pStyle w:val="14"/>
        <w:rPr>
          <w:rFonts w:ascii="黑体"/>
          <w:sz w:val="20"/>
          <w:lang w:eastAsia="zh-CN"/>
        </w:rPr>
      </w:pPr>
    </w:p>
    <w:p>
      <w:pPr>
        <w:pStyle w:val="14"/>
        <w:spacing w:before="9"/>
        <w:rPr>
          <w:rFonts w:ascii="黑体"/>
          <w:lang w:eastAsia="zh-CN"/>
        </w:rPr>
      </w:pPr>
    </w:p>
    <w:p>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pPr>
        <w:pStyle w:val="14"/>
        <w:spacing w:before="8"/>
        <w:rPr>
          <w:sz w:val="19"/>
          <w:lang w:eastAsia="zh-CN"/>
        </w:rPr>
      </w:pPr>
    </w:p>
    <w:p>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pPr>
        <w:pStyle w:val="14"/>
        <w:spacing w:before="10"/>
        <w:rPr>
          <w:sz w:val="35"/>
          <w:lang w:eastAsia="zh-CN"/>
        </w:rPr>
      </w:pPr>
    </w:p>
    <w:p>
      <w:pPr>
        <w:tabs>
          <w:tab w:val="left" w:pos="1260"/>
          <w:tab w:val="left" w:pos="1800"/>
        </w:tabs>
        <w:spacing w:line="360" w:lineRule="auto"/>
        <w:ind w:firstLine="630" w:firstLineChars="225"/>
        <w:rPr>
          <w:color w:val="000000"/>
          <w:sz w:val="28"/>
          <w:szCs w:val="28"/>
          <w:lang w:eastAsia="zh-CN"/>
        </w:rPr>
      </w:pPr>
      <w:r>
        <w:rPr>
          <w:rFonts w:hint="eastAsia"/>
          <w:color w:val="000000"/>
          <w:sz w:val="28"/>
          <w:szCs w:val="28"/>
          <w:lang w:eastAsia="zh-CN"/>
        </w:rPr>
        <w:t>附件一：合同条款</w:t>
      </w:r>
    </w:p>
    <w:p>
      <w:pPr>
        <w:tabs>
          <w:tab w:val="left" w:pos="1260"/>
          <w:tab w:val="left" w:pos="1800"/>
        </w:tabs>
        <w:spacing w:line="360" w:lineRule="auto"/>
        <w:ind w:firstLine="630" w:firstLineChars="225"/>
        <w:rPr>
          <w:color w:val="000000"/>
          <w:sz w:val="28"/>
          <w:szCs w:val="28"/>
          <w:lang w:eastAsia="zh-CN"/>
        </w:rPr>
      </w:pPr>
      <w:r>
        <w:rPr>
          <w:rFonts w:hint="eastAsia"/>
          <w:color w:val="000000"/>
          <w:sz w:val="28"/>
          <w:szCs w:val="28"/>
          <w:lang w:eastAsia="zh-CN"/>
        </w:rPr>
        <w:t>附件二：参选文件格式</w:t>
      </w:r>
    </w:p>
    <w:p>
      <w:pPr>
        <w:spacing w:line="360" w:lineRule="auto"/>
        <w:ind w:firstLine="980" w:firstLineChars="350"/>
        <w:rPr>
          <w:sz w:val="28"/>
          <w:szCs w:val="28"/>
          <w:lang w:eastAsia="zh-CN"/>
        </w:rPr>
      </w:pPr>
      <w:r>
        <w:rPr>
          <w:rFonts w:hint="eastAsia"/>
          <w:sz w:val="28"/>
          <w:szCs w:val="28"/>
          <w:lang w:eastAsia="zh-CN"/>
        </w:rPr>
        <w:t>附件1：参选单位企业概况</w:t>
      </w:r>
    </w:p>
    <w:p>
      <w:pPr>
        <w:spacing w:line="360" w:lineRule="auto"/>
        <w:ind w:firstLine="980" w:firstLineChars="350"/>
        <w:rPr>
          <w:color w:val="000000"/>
          <w:sz w:val="28"/>
          <w:szCs w:val="28"/>
          <w:lang w:eastAsia="zh-CN"/>
        </w:rPr>
      </w:pPr>
      <w:r>
        <w:rPr>
          <w:rFonts w:hint="eastAsia"/>
          <w:color w:val="000000"/>
          <w:sz w:val="28"/>
          <w:szCs w:val="28"/>
          <w:lang w:eastAsia="zh-CN"/>
        </w:rPr>
        <w:t>附件2：参选书</w:t>
      </w:r>
    </w:p>
    <w:p>
      <w:pPr>
        <w:spacing w:line="360" w:lineRule="auto"/>
        <w:ind w:firstLine="980" w:firstLineChars="350"/>
        <w:rPr>
          <w:sz w:val="28"/>
          <w:szCs w:val="28"/>
          <w:lang w:eastAsia="zh-CN"/>
        </w:rPr>
      </w:pPr>
      <w:r>
        <w:rPr>
          <w:rFonts w:hint="eastAsia"/>
          <w:color w:val="000000"/>
          <w:sz w:val="28"/>
          <w:szCs w:val="28"/>
          <w:lang w:eastAsia="zh-CN"/>
        </w:rPr>
        <w:t>附件3：法定代表人授权委托书</w:t>
      </w:r>
    </w:p>
    <w:p>
      <w:pPr>
        <w:spacing w:line="360" w:lineRule="auto"/>
        <w:ind w:firstLine="980" w:firstLineChars="350"/>
        <w:rPr>
          <w:color w:val="000000"/>
          <w:sz w:val="28"/>
          <w:szCs w:val="28"/>
          <w:lang w:eastAsia="zh-CN"/>
        </w:rPr>
      </w:pPr>
      <w:r>
        <w:rPr>
          <w:rFonts w:hint="eastAsia"/>
          <w:color w:val="000000"/>
          <w:sz w:val="28"/>
          <w:szCs w:val="28"/>
          <w:lang w:eastAsia="zh-CN"/>
        </w:rPr>
        <w:t>附件4：</w:t>
      </w:r>
      <w:r>
        <w:rPr>
          <w:rFonts w:hint="eastAsia"/>
          <w:sz w:val="28"/>
          <w:szCs w:val="28"/>
          <w:lang w:eastAsia="zh-CN"/>
        </w:rPr>
        <w:t>承诺函</w:t>
      </w:r>
    </w:p>
    <w:p>
      <w:pPr>
        <w:spacing w:line="360" w:lineRule="auto"/>
        <w:ind w:firstLine="980" w:firstLineChars="350"/>
        <w:rPr>
          <w:color w:val="000000"/>
          <w:sz w:val="28"/>
          <w:szCs w:val="28"/>
          <w:lang w:eastAsia="zh-CN"/>
        </w:rPr>
      </w:pPr>
      <w:r>
        <w:rPr>
          <w:rFonts w:hint="eastAsia"/>
          <w:color w:val="000000"/>
          <w:sz w:val="28"/>
          <w:szCs w:val="28"/>
          <w:lang w:eastAsia="zh-CN"/>
        </w:rPr>
        <w:t>附件5：检修施工方案书</w:t>
      </w:r>
    </w:p>
    <w:p>
      <w:pPr>
        <w:spacing w:line="360" w:lineRule="auto"/>
        <w:ind w:firstLine="980" w:firstLineChars="350"/>
        <w:rPr>
          <w:color w:val="000000"/>
          <w:sz w:val="28"/>
          <w:szCs w:val="28"/>
          <w:lang w:eastAsia="zh-CN"/>
        </w:rPr>
      </w:pPr>
      <w:r>
        <w:rPr>
          <w:rFonts w:hint="eastAsia"/>
          <w:color w:val="000000"/>
          <w:sz w:val="28"/>
          <w:szCs w:val="28"/>
          <w:lang w:eastAsia="zh-CN"/>
        </w:rPr>
        <w:t>附件6：报价单</w:t>
      </w:r>
    </w:p>
    <w:p>
      <w:pPr>
        <w:spacing w:line="360" w:lineRule="auto"/>
        <w:ind w:firstLine="980" w:firstLineChars="350"/>
        <w:rPr>
          <w:color w:val="000000"/>
          <w:sz w:val="28"/>
          <w:szCs w:val="28"/>
          <w:lang w:eastAsia="zh-CN"/>
        </w:rPr>
      </w:pPr>
    </w:p>
    <w:p>
      <w:pPr>
        <w:pStyle w:val="2"/>
        <w:spacing w:line="360" w:lineRule="auto"/>
        <w:rPr>
          <w:sz w:val="28"/>
          <w:szCs w:val="28"/>
        </w:rPr>
      </w:pPr>
      <w:r>
        <w:rPr>
          <w:rFonts w:hint="eastAsia"/>
          <w:sz w:val="28"/>
          <w:szCs w:val="28"/>
        </w:rPr>
        <w:t xml:space="preserve">      </w:t>
      </w:r>
      <w:r>
        <w:rPr>
          <w:sz w:val="28"/>
          <w:szCs w:val="28"/>
        </w:rPr>
        <w:t xml:space="preserve"> </w:t>
      </w:r>
    </w:p>
    <w:p>
      <w:pPr>
        <w:pStyle w:val="2"/>
        <w:sectPr>
          <w:footerReference r:id="rId3" w:type="default"/>
          <w:pgSz w:w="11910" w:h="16840"/>
          <w:pgMar w:top="1480" w:right="1340" w:bottom="740" w:left="1680" w:header="0" w:footer="551" w:gutter="0"/>
          <w:pgNumType w:start="1"/>
          <w:cols w:space="720" w:num="1"/>
        </w:sectPr>
      </w:pPr>
    </w:p>
    <w:p>
      <w:pPr>
        <w:jc w:val="center"/>
        <w:rPr>
          <w:b/>
          <w:bCs/>
          <w:sz w:val="32"/>
          <w:lang w:eastAsia="zh-CN"/>
        </w:rPr>
      </w:pPr>
      <w:r>
        <w:rPr>
          <w:rFonts w:hint="eastAsia"/>
          <w:b/>
          <w:bCs/>
          <w:sz w:val="32"/>
          <w:lang w:eastAsia="zh-CN"/>
        </w:rPr>
        <w:t>第一章比选公告</w:t>
      </w:r>
    </w:p>
    <w:p>
      <w:pPr>
        <w:spacing w:before="38" w:line="360" w:lineRule="auto"/>
        <w:ind w:left="172" w:leftChars="78" w:firstLine="480" w:firstLineChars="200"/>
        <w:rPr>
          <w:rFonts w:asciiTheme="majorEastAsia" w:hAnsiTheme="majorEastAsia" w:eastAsiaTheme="majorEastAsia"/>
          <w:sz w:val="24"/>
          <w:szCs w:val="24"/>
          <w:u w:val="single"/>
          <w:lang w:eastAsia="zh-CN"/>
        </w:rPr>
      </w:pPr>
      <w:r>
        <w:rPr>
          <w:rFonts w:hint="eastAsia" w:asciiTheme="majorEastAsia" w:hAnsiTheme="majorEastAsia" w:eastAsiaTheme="majorEastAsia"/>
          <w:bCs/>
          <w:sz w:val="24"/>
          <w:szCs w:val="24"/>
          <w:lang w:eastAsia="zh-CN"/>
        </w:rPr>
        <w:t>福建福海创石油化工有限公司就</w:t>
      </w:r>
      <w:r>
        <w:rPr>
          <w:rFonts w:hint="eastAsia" w:asciiTheme="majorEastAsia" w:hAnsiTheme="majorEastAsia" w:eastAsiaTheme="majorEastAsia"/>
          <w:sz w:val="24"/>
          <w:szCs w:val="24"/>
          <w:u w:val="single"/>
          <w:lang w:eastAsia="zh-CN"/>
        </w:rPr>
        <w:t>PX厂区火炬气柜检修</w:t>
      </w:r>
      <w:r>
        <w:rPr>
          <w:rFonts w:hint="eastAsia" w:asciiTheme="majorEastAsia" w:hAnsiTheme="majorEastAsia" w:eastAsiaTheme="majorEastAsia"/>
          <w:bCs/>
          <w:sz w:val="24"/>
          <w:szCs w:val="24"/>
          <w:u w:val="single"/>
          <w:lang w:eastAsia="zh-CN"/>
        </w:rPr>
        <w:t>项目（项目编号：</w:t>
      </w:r>
      <w:r>
        <w:rPr>
          <w:rFonts w:hint="eastAsia" w:asciiTheme="majorEastAsia" w:hAnsiTheme="majorEastAsia" w:eastAsiaTheme="majorEastAsia"/>
          <w:sz w:val="24"/>
          <w:szCs w:val="24"/>
          <w:u w:val="single"/>
          <w:lang w:eastAsia="zh-CN"/>
        </w:rPr>
        <w:t>FHC-PTCG20201123001</w:t>
      </w:r>
      <w:r>
        <w:rPr>
          <w:rFonts w:hint="eastAsia" w:asciiTheme="majorEastAsia" w:hAnsiTheme="majorEastAsia" w:eastAsiaTheme="majorEastAsia"/>
          <w:bCs/>
          <w:sz w:val="24"/>
          <w:szCs w:val="24"/>
          <w:u w:val="single"/>
          <w:lang w:eastAsia="zh-CN"/>
        </w:rPr>
        <w:t>）</w:t>
      </w:r>
      <w:r>
        <w:rPr>
          <w:rFonts w:hint="eastAsia" w:asciiTheme="majorEastAsia" w:hAnsiTheme="majorEastAsia" w:eastAsiaTheme="majorEastAsia"/>
          <w:bCs/>
          <w:sz w:val="24"/>
          <w:szCs w:val="24"/>
          <w:lang w:eastAsia="zh-CN"/>
        </w:rPr>
        <w:t>进行国内公开比选，</w:t>
      </w:r>
      <w:r>
        <w:rPr>
          <w:rFonts w:hint="eastAsia" w:asciiTheme="majorEastAsia" w:hAnsiTheme="majorEastAsia" w:eastAsiaTheme="majorEastAsia"/>
          <w:bCs/>
          <w:spacing w:val="-2"/>
          <w:sz w:val="24"/>
          <w:szCs w:val="24"/>
          <w:lang w:eastAsia="zh-CN"/>
        </w:rPr>
        <w:t>欢迎国内符合条件的供应商积极参选。</w:t>
      </w:r>
    </w:p>
    <w:p>
      <w:pPr>
        <w:pStyle w:val="45"/>
        <w:numPr>
          <w:ilvl w:val="0"/>
          <w:numId w:val="1"/>
        </w:numPr>
        <w:autoSpaceDE/>
        <w:autoSpaceDN/>
        <w:spacing w:before="0" w:line="360" w:lineRule="auto"/>
        <w:jc w:val="both"/>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项目概况</w:t>
      </w:r>
    </w:p>
    <w:p>
      <w:pPr>
        <w:pStyle w:val="45"/>
        <w:numPr>
          <w:ilvl w:val="0"/>
          <w:numId w:val="2"/>
        </w:numPr>
        <w:autoSpaceDE/>
        <w:autoSpaceDN/>
        <w:spacing w:before="0" w:line="360" w:lineRule="auto"/>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项目名称：</w:t>
      </w:r>
      <w:r>
        <w:rPr>
          <w:rFonts w:hint="eastAsia" w:asciiTheme="majorEastAsia" w:hAnsiTheme="majorEastAsia" w:eastAsiaTheme="majorEastAsia"/>
          <w:sz w:val="24"/>
          <w:szCs w:val="24"/>
          <w:lang w:eastAsia="zh-CN"/>
        </w:rPr>
        <w:t>PX厂区火炬气柜检修</w:t>
      </w:r>
      <w:r>
        <w:rPr>
          <w:rFonts w:hint="eastAsia" w:asciiTheme="majorEastAsia" w:hAnsiTheme="majorEastAsia" w:eastAsiaTheme="majorEastAsia"/>
          <w:bCs/>
          <w:sz w:val="24"/>
          <w:szCs w:val="24"/>
          <w:lang w:eastAsia="zh-CN"/>
        </w:rPr>
        <w:t>项目</w:t>
      </w:r>
    </w:p>
    <w:p>
      <w:pPr>
        <w:pStyle w:val="45"/>
        <w:numPr>
          <w:ilvl w:val="0"/>
          <w:numId w:val="2"/>
        </w:numPr>
        <w:autoSpaceDE/>
        <w:autoSpaceDN/>
        <w:spacing w:before="0" w:line="360" w:lineRule="auto"/>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比选项目简要说明：</w:t>
      </w:r>
      <w:r>
        <w:rPr>
          <w:rFonts w:hint="eastAsia" w:asciiTheme="majorEastAsia" w:hAnsiTheme="majorEastAsia" w:eastAsiaTheme="majorEastAsia"/>
          <w:sz w:val="24"/>
          <w:szCs w:val="24"/>
          <w:lang w:eastAsia="zh-CN"/>
        </w:rPr>
        <w:t xml:space="preserve">火炬气柜检修                    </w:t>
      </w:r>
    </w:p>
    <w:p>
      <w:pPr>
        <w:pStyle w:val="45"/>
        <w:numPr>
          <w:ilvl w:val="0"/>
          <w:numId w:val="2"/>
        </w:numPr>
        <w:autoSpaceDE/>
        <w:autoSpaceDN/>
        <w:spacing w:before="0" w:line="360" w:lineRule="auto"/>
        <w:jc w:val="both"/>
        <w:rPr>
          <w:rFonts w:asciiTheme="majorEastAsia" w:hAnsiTheme="majorEastAsia" w:eastAsiaTheme="majorEastAsia"/>
          <w:bCs/>
          <w:sz w:val="24"/>
          <w:szCs w:val="24"/>
        </w:rPr>
      </w:pPr>
      <w:r>
        <w:rPr>
          <w:rFonts w:hint="eastAsia" w:asciiTheme="majorEastAsia" w:hAnsiTheme="majorEastAsia" w:eastAsiaTheme="majorEastAsia"/>
          <w:bCs/>
          <w:sz w:val="24"/>
          <w:szCs w:val="24"/>
        </w:rPr>
        <w:t>比选控制价：</w:t>
      </w:r>
      <w:r>
        <w:rPr>
          <w:rFonts w:hint="eastAsia" w:asciiTheme="majorEastAsia" w:hAnsiTheme="majorEastAsia" w:eastAsiaTheme="majorEastAsia"/>
          <w:bCs/>
          <w:sz w:val="24"/>
          <w:szCs w:val="24"/>
          <w:lang w:eastAsia="zh-CN"/>
        </w:rPr>
        <w:t>10.75万元</w:t>
      </w:r>
    </w:p>
    <w:p>
      <w:pPr>
        <w:pStyle w:val="45"/>
        <w:numPr>
          <w:ilvl w:val="0"/>
          <w:numId w:val="1"/>
        </w:numPr>
        <w:autoSpaceDE/>
        <w:autoSpaceDN/>
        <w:spacing w:before="0" w:line="360" w:lineRule="auto"/>
        <w:jc w:val="both"/>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参选人资格要求</w:t>
      </w:r>
    </w:p>
    <w:p>
      <w:pPr>
        <w:pStyle w:val="45"/>
        <w:widowControl/>
        <w:autoSpaceDE/>
        <w:autoSpaceDN/>
        <w:spacing w:before="0" w:line="360" w:lineRule="auto"/>
        <w:ind w:left="832" w:firstLine="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1. </w:t>
      </w:r>
      <w:r>
        <w:rPr>
          <w:rFonts w:hint="eastAsia"/>
          <w:sz w:val="24"/>
          <w:szCs w:val="24"/>
          <w:lang w:eastAsia="zh-CN"/>
        </w:rPr>
        <w:t>参选人必须具备有效的企业法人营业执照，</w:t>
      </w:r>
      <w:r>
        <w:rPr>
          <w:rFonts w:hint="eastAsia" w:asciiTheme="majorEastAsia" w:hAnsiTheme="majorEastAsia" w:eastAsiaTheme="majorEastAsia"/>
          <w:sz w:val="24"/>
          <w:szCs w:val="24"/>
          <w:lang w:eastAsia="zh-CN"/>
        </w:rPr>
        <w:t>具有在中华人民共和国注册的法人资格；</w:t>
      </w:r>
    </w:p>
    <w:p>
      <w:pPr>
        <w:pStyle w:val="45"/>
        <w:widowControl/>
        <w:autoSpaceDE/>
        <w:autoSpaceDN/>
        <w:spacing w:before="0" w:line="360" w:lineRule="auto"/>
        <w:ind w:left="832" w:firstLine="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w:t>
      </w:r>
      <w:r>
        <w:rPr>
          <w:rFonts w:asciiTheme="majorEastAsia" w:hAnsiTheme="majorEastAsia" w:eastAsiaTheme="majorEastAsia"/>
          <w:sz w:val="24"/>
          <w:szCs w:val="24"/>
          <w:lang w:eastAsia="zh-CN"/>
        </w:rPr>
        <w:t xml:space="preserve"> </w:t>
      </w:r>
      <w:r>
        <w:rPr>
          <w:rFonts w:hint="eastAsia" w:asciiTheme="majorEastAsia" w:hAnsiTheme="majorEastAsia" w:eastAsiaTheme="majorEastAsia"/>
          <w:kern w:val="59"/>
          <w:sz w:val="24"/>
          <w:szCs w:val="24"/>
          <w:lang w:eastAsia="zh-CN"/>
        </w:rPr>
        <w:t>参选人应具备</w:t>
      </w:r>
      <w:r>
        <w:rPr>
          <w:rStyle w:val="80"/>
          <w:rFonts w:hint="eastAsia" w:asciiTheme="minorEastAsia" w:hAnsiTheme="minorEastAsia" w:eastAsiaTheme="minorEastAsia"/>
          <w:color w:val="000000"/>
          <w:sz w:val="24"/>
          <w:lang w:eastAsia="zh-CN"/>
        </w:rPr>
        <w:t>石油化工施工总承包一级，机电工程施工总承包一级资质；</w:t>
      </w:r>
    </w:p>
    <w:p>
      <w:pPr>
        <w:pStyle w:val="45"/>
        <w:widowControl/>
        <w:autoSpaceDE/>
        <w:autoSpaceDN/>
        <w:spacing w:before="0" w:line="360" w:lineRule="auto"/>
        <w:ind w:left="832" w:firstLine="0"/>
        <w:jc w:val="both"/>
        <w:rPr>
          <w:rStyle w:val="80"/>
          <w:rFonts w:asciiTheme="minorEastAsia" w:hAnsiTheme="minorEastAsia" w:eastAsiaTheme="minorEastAsia"/>
          <w:color w:val="000000"/>
          <w:sz w:val="24"/>
          <w:lang w:eastAsia="zh-CN"/>
        </w:rPr>
      </w:pPr>
      <w:r>
        <w:rPr>
          <w:rFonts w:hint="eastAsia" w:asciiTheme="majorEastAsia" w:hAnsiTheme="majorEastAsia" w:eastAsiaTheme="majorEastAsia"/>
          <w:sz w:val="24"/>
          <w:szCs w:val="24"/>
          <w:lang w:eastAsia="zh-CN"/>
        </w:rPr>
        <w:t xml:space="preserve">3. </w:t>
      </w:r>
      <w:r>
        <w:rPr>
          <w:rStyle w:val="80"/>
          <w:rFonts w:hint="eastAsia" w:asciiTheme="minorEastAsia" w:hAnsiTheme="minorEastAsia" w:eastAsiaTheme="minorEastAsia"/>
          <w:color w:val="000000"/>
          <w:sz w:val="24"/>
          <w:lang w:eastAsia="zh-CN"/>
        </w:rPr>
        <w:t>企业管理体系应符合并通过ISO9001、ISO14001管理体系认证；</w:t>
      </w:r>
    </w:p>
    <w:p>
      <w:pPr>
        <w:pStyle w:val="45"/>
        <w:widowControl/>
        <w:autoSpaceDE/>
        <w:autoSpaceDN/>
        <w:spacing w:before="0" w:line="360" w:lineRule="auto"/>
        <w:ind w:left="1192" w:leftChars="378" w:hanging="360" w:hangingChars="150"/>
        <w:jc w:val="both"/>
        <w:rPr>
          <w:rFonts w:asciiTheme="majorEastAsia" w:hAnsiTheme="majorEastAsia" w:eastAsiaTheme="majorEastAsia"/>
          <w:sz w:val="24"/>
          <w:szCs w:val="24"/>
          <w:lang w:eastAsia="zh-CN"/>
        </w:rPr>
      </w:pPr>
      <w:r>
        <w:rPr>
          <w:rStyle w:val="80"/>
          <w:rFonts w:hint="eastAsia" w:asciiTheme="minorEastAsia" w:hAnsiTheme="minorEastAsia" w:eastAsiaTheme="minorEastAsia"/>
          <w:color w:val="000000"/>
          <w:sz w:val="24"/>
          <w:lang w:eastAsia="zh-CN"/>
        </w:rPr>
        <w:t>4. 参选人5年以内具有在中石油、中石化、中海油有5个及5个以上的气柜检修施工业绩；</w:t>
      </w:r>
    </w:p>
    <w:p>
      <w:pPr>
        <w:pStyle w:val="45"/>
        <w:widowControl/>
        <w:autoSpaceDE/>
        <w:autoSpaceDN/>
        <w:spacing w:before="0" w:line="360" w:lineRule="auto"/>
        <w:ind w:left="832" w:firstLine="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5. </w:t>
      </w:r>
      <w:r>
        <w:rPr>
          <w:rFonts w:asciiTheme="majorEastAsia" w:hAnsiTheme="majorEastAsia" w:eastAsiaTheme="majorEastAsia"/>
          <w:sz w:val="24"/>
          <w:szCs w:val="24"/>
          <w:lang w:eastAsia="zh-CN"/>
        </w:rPr>
        <w:t>没有失信黑名单记录（以最高院失信被执行人系统发布信息为准）；</w:t>
      </w:r>
    </w:p>
    <w:p>
      <w:pPr>
        <w:pStyle w:val="45"/>
        <w:widowControl/>
        <w:autoSpaceDE/>
        <w:autoSpaceDN/>
        <w:spacing w:before="0" w:line="360" w:lineRule="auto"/>
        <w:ind w:left="832" w:firstLine="0"/>
        <w:jc w:val="both"/>
        <w:rPr>
          <w:sz w:val="24"/>
          <w:szCs w:val="24"/>
          <w:lang w:eastAsia="zh-CN"/>
        </w:rPr>
      </w:pPr>
      <w:r>
        <w:rPr>
          <w:rFonts w:hint="eastAsia" w:asciiTheme="majorEastAsia" w:hAnsiTheme="majorEastAsia" w:eastAsiaTheme="majorEastAsia"/>
          <w:sz w:val="24"/>
          <w:szCs w:val="24"/>
          <w:lang w:eastAsia="zh-CN"/>
        </w:rPr>
        <w:t xml:space="preserve">6. </w:t>
      </w:r>
      <w:r>
        <w:rPr>
          <w:rFonts w:asciiTheme="majorEastAsia" w:hAnsiTheme="majorEastAsia" w:eastAsiaTheme="majorEastAsia"/>
          <w:sz w:val="24"/>
          <w:szCs w:val="24"/>
          <w:lang w:eastAsia="zh-CN"/>
        </w:rPr>
        <w:t>与</w:t>
      </w:r>
      <w:r>
        <w:rPr>
          <w:rFonts w:hint="eastAsia" w:asciiTheme="majorEastAsia" w:hAnsiTheme="majorEastAsia" w:eastAsiaTheme="majorEastAsia"/>
          <w:sz w:val="24"/>
          <w:szCs w:val="24"/>
          <w:lang w:eastAsia="zh-CN"/>
        </w:rPr>
        <w:t>比选人</w:t>
      </w:r>
      <w:r>
        <w:rPr>
          <w:rFonts w:asciiTheme="majorEastAsia" w:hAnsiTheme="majorEastAsia" w:eastAsiaTheme="majorEastAsia"/>
          <w:sz w:val="24"/>
          <w:szCs w:val="24"/>
          <w:lang w:eastAsia="zh-CN"/>
        </w:rPr>
        <w:t>无诉讼纠纷</w:t>
      </w:r>
      <w:r>
        <w:rPr>
          <w:rFonts w:hint="eastAsia" w:asciiTheme="majorEastAsia" w:hAnsiTheme="majorEastAsia" w:eastAsiaTheme="majorEastAsia"/>
          <w:sz w:val="24"/>
          <w:szCs w:val="24"/>
          <w:lang w:eastAsia="zh-CN"/>
        </w:rPr>
        <w:t>；</w:t>
      </w:r>
    </w:p>
    <w:p>
      <w:pPr>
        <w:pStyle w:val="2"/>
        <w:spacing w:line="360" w:lineRule="auto"/>
        <w:ind w:left="832"/>
        <w:rPr>
          <w:sz w:val="24"/>
          <w:szCs w:val="24"/>
        </w:rPr>
      </w:pPr>
      <w:r>
        <w:rPr>
          <w:rFonts w:hint="eastAsia"/>
          <w:sz w:val="24"/>
          <w:szCs w:val="24"/>
        </w:rPr>
        <w:t xml:space="preserve">7. </w:t>
      </w:r>
      <w:r>
        <w:rPr>
          <w:rFonts w:hint="eastAsia" w:asciiTheme="majorEastAsia" w:hAnsiTheme="majorEastAsia" w:eastAsiaTheme="majorEastAsia"/>
          <w:sz w:val="24"/>
          <w:szCs w:val="24"/>
        </w:rPr>
        <w:t>本项目不接受联合体参选</w:t>
      </w:r>
      <w:r>
        <w:rPr>
          <w:rFonts w:hint="eastAsia"/>
          <w:sz w:val="24"/>
          <w:szCs w:val="24"/>
        </w:rPr>
        <w:t>。</w:t>
      </w:r>
    </w:p>
    <w:p>
      <w:pPr>
        <w:pStyle w:val="45"/>
        <w:numPr>
          <w:ilvl w:val="0"/>
          <w:numId w:val="1"/>
        </w:numPr>
        <w:autoSpaceDE/>
        <w:autoSpaceDN/>
        <w:spacing w:before="0" w:line="360" w:lineRule="auto"/>
        <w:jc w:val="both"/>
        <w:rPr>
          <w:rFonts w:asciiTheme="majorEastAsia" w:hAnsiTheme="majorEastAsia" w:eastAsiaTheme="majorEastAsia"/>
          <w:b/>
          <w:bCs/>
          <w:sz w:val="24"/>
          <w:szCs w:val="24"/>
        </w:rPr>
      </w:pPr>
      <w:r>
        <w:rPr>
          <w:rFonts w:hint="eastAsia" w:asciiTheme="majorEastAsia" w:hAnsiTheme="majorEastAsia" w:eastAsiaTheme="majorEastAsia"/>
          <w:b/>
          <w:bCs/>
          <w:sz w:val="24"/>
          <w:szCs w:val="24"/>
          <w:lang w:eastAsia="zh-CN"/>
        </w:rPr>
        <w:t>报名要求</w:t>
      </w:r>
    </w:p>
    <w:p>
      <w:pPr>
        <w:pStyle w:val="45"/>
        <w:numPr>
          <w:ilvl w:val="0"/>
          <w:numId w:val="3"/>
        </w:numPr>
        <w:autoSpaceDE/>
        <w:autoSpaceDN/>
        <w:spacing w:before="0" w:line="360" w:lineRule="auto"/>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报名时间：</w:t>
      </w:r>
      <w:r>
        <w:rPr>
          <w:rFonts w:hint="eastAsia" w:asciiTheme="majorEastAsia" w:hAnsiTheme="majorEastAsia" w:eastAsiaTheme="majorEastAsia"/>
          <w:sz w:val="24"/>
          <w:szCs w:val="24"/>
          <w:lang w:eastAsia="zh-CN"/>
        </w:rPr>
        <w:t>公示之日起至2020年12月</w:t>
      </w:r>
      <w:r>
        <w:rPr>
          <w:rFonts w:hint="eastAsia" w:asciiTheme="majorEastAsia" w:hAnsiTheme="majorEastAsia" w:eastAsiaTheme="majorEastAsia"/>
          <w:sz w:val="24"/>
          <w:szCs w:val="24"/>
          <w:lang w:val="en-US" w:eastAsia="zh-CN"/>
        </w:rPr>
        <w:t>27</w:t>
      </w:r>
      <w:bookmarkStart w:id="10" w:name="_GoBack"/>
      <w:bookmarkEnd w:id="10"/>
      <w:r>
        <w:rPr>
          <w:rFonts w:hint="eastAsia" w:asciiTheme="majorEastAsia" w:hAnsiTheme="majorEastAsia" w:eastAsiaTheme="majorEastAsia"/>
          <w:sz w:val="24"/>
          <w:szCs w:val="24"/>
          <w:lang w:eastAsia="zh-CN"/>
        </w:rPr>
        <w:t>日17:00时（共计10天）</w:t>
      </w:r>
    </w:p>
    <w:p>
      <w:pPr>
        <w:pStyle w:val="45"/>
        <w:numPr>
          <w:ilvl w:val="0"/>
          <w:numId w:val="3"/>
        </w:numPr>
        <w:autoSpaceDE/>
        <w:autoSpaceDN/>
        <w:spacing w:before="0" w:line="360" w:lineRule="auto"/>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报名方式：</w:t>
      </w:r>
    </w:p>
    <w:p>
      <w:pPr>
        <w:autoSpaceDE/>
        <w:autoSpaceDN/>
        <w:spacing w:line="360" w:lineRule="auto"/>
        <w:ind w:left="1210" w:leftChars="5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邮件报名（须同时提交盖公章的法定代表人授权书、</w:t>
      </w:r>
      <w:r>
        <w:rPr>
          <w:rFonts w:asciiTheme="majorEastAsia" w:hAnsiTheme="majorEastAsia" w:eastAsiaTheme="majorEastAsia"/>
          <w:kern w:val="59"/>
          <w:sz w:val="24"/>
          <w:szCs w:val="24"/>
        </w:rPr>
        <w:t>资质等级证书</w:t>
      </w:r>
      <w:r>
        <w:rPr>
          <w:rFonts w:hint="eastAsia" w:asciiTheme="majorEastAsia" w:hAnsiTheme="majorEastAsia" w:eastAsiaTheme="majorEastAsia"/>
          <w:bCs/>
          <w:sz w:val="24"/>
          <w:szCs w:val="24"/>
          <w:lang w:eastAsia="zh-CN"/>
        </w:rPr>
        <w:t>及营业执照扫描件），邮件发至：</w:t>
      </w:r>
      <w:r>
        <w:fldChar w:fldCharType="begin"/>
      </w:r>
      <w:r>
        <w:instrText xml:space="preserve"> HYPERLINK "mailto:hzji@fhcpec.com.cn" </w:instrText>
      </w:r>
      <w:r>
        <w:fldChar w:fldCharType="separate"/>
      </w:r>
      <w:r>
        <w:rPr>
          <w:rStyle w:val="35"/>
          <w:rFonts w:hint="eastAsia" w:asciiTheme="majorEastAsia" w:hAnsiTheme="majorEastAsia" w:eastAsiaTheme="majorEastAsia"/>
          <w:bCs/>
          <w:sz w:val="24"/>
          <w:szCs w:val="24"/>
        </w:rPr>
        <w:t>hzji@fhcpec.com.cn</w:t>
      </w:r>
      <w:r>
        <w:rPr>
          <w:rStyle w:val="35"/>
          <w:rFonts w:hint="eastAsia" w:asciiTheme="majorEastAsia" w:hAnsiTheme="majorEastAsia" w:eastAsiaTheme="majorEastAsia"/>
          <w:bCs/>
          <w:sz w:val="24"/>
          <w:szCs w:val="24"/>
        </w:rPr>
        <w:fldChar w:fldCharType="end"/>
      </w:r>
      <w:r>
        <w:rPr>
          <w:rFonts w:hint="eastAsia" w:asciiTheme="majorEastAsia" w:hAnsiTheme="majorEastAsia" w:eastAsiaTheme="majorEastAsia"/>
          <w:bCs/>
          <w:sz w:val="24"/>
          <w:szCs w:val="24"/>
          <w:lang w:eastAsia="zh-CN"/>
        </w:rPr>
        <w:t>。</w:t>
      </w:r>
    </w:p>
    <w:p>
      <w:pPr>
        <w:pStyle w:val="45"/>
        <w:numPr>
          <w:ilvl w:val="0"/>
          <w:numId w:val="1"/>
        </w:numPr>
        <w:autoSpaceDE/>
        <w:autoSpaceDN/>
        <w:spacing w:before="0" w:line="360" w:lineRule="auto"/>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参选文件递交要求</w:t>
      </w:r>
    </w:p>
    <w:p>
      <w:pPr>
        <w:pStyle w:val="45"/>
        <w:numPr>
          <w:ilvl w:val="0"/>
          <w:numId w:val="4"/>
        </w:numPr>
        <w:autoSpaceDE/>
        <w:autoSpaceDN/>
        <w:spacing w:before="0" w:line="360" w:lineRule="auto"/>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参选文件递交地点：福建省漳州市漳浦县杜浔镇杜昌路9号</w:t>
      </w:r>
    </w:p>
    <w:p>
      <w:pPr>
        <w:pStyle w:val="45"/>
        <w:numPr>
          <w:ilvl w:val="0"/>
          <w:numId w:val="4"/>
        </w:numPr>
        <w:autoSpaceDE/>
        <w:autoSpaceDN/>
        <w:spacing w:before="0" w:line="360" w:lineRule="auto"/>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递交截止时间：报名截止时间延后2天</w:t>
      </w:r>
    </w:p>
    <w:p>
      <w:pPr>
        <w:pStyle w:val="45"/>
        <w:numPr>
          <w:ilvl w:val="0"/>
          <w:numId w:val="1"/>
        </w:numPr>
        <w:autoSpaceDE/>
        <w:autoSpaceDN/>
        <w:spacing w:before="0" w:line="360" w:lineRule="auto"/>
        <w:jc w:val="both"/>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联系方式</w:t>
      </w:r>
    </w:p>
    <w:p>
      <w:pPr>
        <w:pStyle w:val="9"/>
        <w:snapToGrid w:val="0"/>
        <w:spacing w:line="360" w:lineRule="auto"/>
        <w:ind w:left="412" w:firstLine="480" w:firstLineChars="200"/>
        <w:rPr>
          <w:rFonts w:cs="宋体" w:asciiTheme="majorEastAsia" w:hAnsiTheme="majorEastAsia" w:eastAsiaTheme="majorEastAsia"/>
          <w:b/>
          <w:bCs/>
          <w:sz w:val="24"/>
          <w:szCs w:val="24"/>
        </w:rPr>
      </w:pPr>
      <w:r>
        <w:rPr>
          <w:rFonts w:hint="eastAsia" w:cs="宋体" w:asciiTheme="majorEastAsia" w:hAnsiTheme="majorEastAsia" w:eastAsiaTheme="majorEastAsia"/>
          <w:bCs/>
          <w:sz w:val="24"/>
          <w:szCs w:val="24"/>
        </w:rPr>
        <w:t>商务联系人：纪先生  电话：0596-6311823  邮箱：hzji@fhcpec.com.cn</w:t>
      </w:r>
    </w:p>
    <w:p>
      <w:pPr>
        <w:pStyle w:val="9"/>
        <w:snapToGrid w:val="0"/>
        <w:spacing w:line="360" w:lineRule="auto"/>
        <w:ind w:left="412" w:firstLine="480" w:firstLineChars="200"/>
        <w:rPr>
          <w:rFonts w:cs="宋体" w:asciiTheme="majorEastAsia" w:hAnsiTheme="majorEastAsia" w:eastAsiaTheme="majorEastAsia"/>
          <w:b/>
          <w:bCs/>
          <w:sz w:val="24"/>
          <w:szCs w:val="24"/>
        </w:rPr>
      </w:pPr>
      <w:r>
        <w:rPr>
          <w:rFonts w:hint="eastAsia" w:cs="宋体" w:asciiTheme="majorEastAsia" w:hAnsiTheme="majorEastAsia" w:eastAsiaTheme="majorEastAsia"/>
          <w:bCs/>
          <w:sz w:val="24"/>
          <w:szCs w:val="24"/>
        </w:rPr>
        <w:t>纪检监察室电话：0596-6311774  邮箱：</w:t>
      </w:r>
      <w:r>
        <w:fldChar w:fldCharType="begin"/>
      </w:r>
      <w:r>
        <w:instrText xml:space="preserve"> HYPERLINK "mailto:qlin@fhcpec.com.cn" </w:instrText>
      </w:r>
      <w:r>
        <w:fldChar w:fldCharType="separate"/>
      </w:r>
      <w:r>
        <w:rPr>
          <w:rStyle w:val="35"/>
          <w:rFonts w:asciiTheme="majorEastAsia" w:hAnsiTheme="majorEastAsia" w:eastAsiaTheme="majorEastAsia"/>
          <w:bCs/>
          <w:sz w:val="24"/>
          <w:szCs w:val="24"/>
        </w:rPr>
        <w:t>qlin@fhcpec.com.cn</w:t>
      </w:r>
      <w:r>
        <w:rPr>
          <w:rStyle w:val="35"/>
          <w:rFonts w:asciiTheme="majorEastAsia" w:hAnsiTheme="majorEastAsia" w:eastAsiaTheme="majorEastAsia"/>
          <w:bCs/>
          <w:sz w:val="24"/>
          <w:szCs w:val="24"/>
        </w:rPr>
        <w:fldChar w:fldCharType="end"/>
      </w:r>
    </w:p>
    <w:p>
      <w:pPr>
        <w:pStyle w:val="9"/>
        <w:snapToGrid w:val="0"/>
        <w:spacing w:line="360" w:lineRule="auto"/>
        <w:ind w:left="412" w:firstLine="480" w:firstLineChars="200"/>
        <w:rPr>
          <w:rFonts w:cs="宋体" w:asciiTheme="majorEastAsia" w:hAnsiTheme="majorEastAsia" w:eastAsiaTheme="majorEastAsia"/>
          <w:b/>
          <w:bCs/>
          <w:sz w:val="24"/>
          <w:szCs w:val="24"/>
        </w:rPr>
      </w:pPr>
      <w:r>
        <w:rPr>
          <w:rFonts w:hint="eastAsia" w:cs="宋体" w:asciiTheme="majorEastAsia" w:hAnsiTheme="majorEastAsia" w:eastAsiaTheme="majorEastAsia"/>
          <w:bCs/>
          <w:sz w:val="24"/>
          <w:szCs w:val="24"/>
        </w:rPr>
        <w:t>联系地址：漳州市漳浦县杜浔镇杜昌路9号</w:t>
      </w:r>
    </w:p>
    <w:p>
      <w:pPr>
        <w:pStyle w:val="9"/>
        <w:snapToGrid w:val="0"/>
        <w:spacing w:line="360" w:lineRule="auto"/>
        <w:ind w:left="412" w:firstLine="480" w:firstLineChars="200"/>
        <w:rPr>
          <w:rFonts w:asciiTheme="majorEastAsia" w:hAnsiTheme="majorEastAsia" w:eastAsiaTheme="majorEastAsia"/>
          <w:sz w:val="24"/>
          <w:szCs w:val="24"/>
        </w:rPr>
      </w:pPr>
      <w:r>
        <w:rPr>
          <w:rFonts w:hint="eastAsia" w:cs="宋体" w:asciiTheme="majorEastAsia" w:hAnsiTheme="majorEastAsia" w:eastAsiaTheme="majorEastAsia"/>
          <w:bCs/>
          <w:sz w:val="24"/>
          <w:szCs w:val="24"/>
        </w:rPr>
        <w:t>邮    编：363216</w:t>
      </w:r>
    </w:p>
    <w:p>
      <w:pPr>
        <w:tabs>
          <w:tab w:val="left" w:pos="1272"/>
        </w:tabs>
        <w:spacing w:line="360" w:lineRule="auto"/>
        <w:ind w:left="9"/>
        <w:jc w:val="center"/>
        <w:rPr>
          <w:sz w:val="24"/>
          <w:szCs w:val="24"/>
          <w:lang w:eastAsia="zh-CN"/>
        </w:rPr>
      </w:pPr>
      <w:r>
        <w:rPr>
          <w:rFonts w:hint="eastAsia"/>
          <w:sz w:val="24"/>
          <w:szCs w:val="24"/>
          <w:lang w:eastAsia="zh-CN"/>
        </w:rPr>
        <w:t>福建福海创石油化工有限公司</w:t>
      </w:r>
    </w:p>
    <w:p>
      <w:pPr>
        <w:tabs>
          <w:tab w:val="left" w:pos="1272"/>
        </w:tabs>
        <w:spacing w:line="360" w:lineRule="auto"/>
        <w:ind w:left="9"/>
        <w:jc w:val="center"/>
        <w:rPr>
          <w:sz w:val="24"/>
          <w:szCs w:val="24"/>
          <w:lang w:eastAsia="zh-CN"/>
        </w:rPr>
      </w:pPr>
      <w:r>
        <w:rPr>
          <w:rFonts w:hint="eastAsia"/>
          <w:sz w:val="24"/>
          <w:szCs w:val="24"/>
          <w:lang w:eastAsia="zh-CN"/>
        </w:rPr>
        <w:t>2020.12.18</w:t>
      </w:r>
    </w:p>
    <w:p>
      <w:pPr>
        <w:pStyle w:val="3"/>
        <w:tabs>
          <w:tab w:val="left" w:pos="1262"/>
        </w:tabs>
        <w:spacing w:line="355" w:lineRule="exact"/>
        <w:ind w:left="0" w:right="108"/>
        <w:jc w:val="center"/>
        <w:rPr>
          <w:lang w:eastAsia="zh-CN"/>
        </w:rPr>
        <w:sectPr>
          <w:pgSz w:w="11910" w:h="16840"/>
          <w:pgMar w:top="1134" w:right="851" w:bottom="1134" w:left="1134" w:header="0" w:footer="550" w:gutter="0"/>
          <w:cols w:space="720" w:num="1"/>
        </w:sectPr>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after="240"/>
        <w:ind w:firstLine="534" w:firstLineChars="200"/>
        <w:rPr>
          <w:b/>
          <w:sz w:val="28"/>
          <w:lang w:eastAsia="zh-CN"/>
        </w:rPr>
      </w:pPr>
      <w:r>
        <w:rPr>
          <w:b/>
          <w:w w:val="95"/>
          <w:sz w:val="28"/>
          <w:lang w:eastAsia="zh-CN"/>
        </w:rPr>
        <w:t>一、比选内容</w:t>
      </w:r>
    </w:p>
    <w:p>
      <w:pPr>
        <w:autoSpaceDE/>
        <w:autoSpaceDN/>
        <w:spacing w:line="360" w:lineRule="auto"/>
        <w:ind w:firstLine="480" w:firstLineChars="200"/>
        <w:jc w:val="both"/>
        <w:rPr>
          <w:lang w:eastAsia="zh-CN"/>
        </w:rPr>
      </w:pPr>
      <w:r>
        <w:rPr>
          <w:rFonts w:hint="eastAsia"/>
          <w:sz w:val="24"/>
          <w:szCs w:val="24"/>
          <w:lang w:eastAsia="zh-CN"/>
        </w:rPr>
        <w:t>1.项目</w:t>
      </w:r>
      <w:r>
        <w:rPr>
          <w:sz w:val="24"/>
          <w:szCs w:val="24"/>
          <w:lang w:eastAsia="zh-CN"/>
        </w:rPr>
        <w:t>名称：</w:t>
      </w:r>
      <w:r>
        <w:rPr>
          <w:rFonts w:hint="eastAsia" w:asciiTheme="majorEastAsia" w:hAnsiTheme="majorEastAsia" w:eastAsiaTheme="majorEastAsia"/>
          <w:sz w:val="24"/>
          <w:szCs w:val="24"/>
          <w:lang w:eastAsia="zh-CN"/>
        </w:rPr>
        <w:t>PX厂区火炬气柜检修</w:t>
      </w:r>
      <w:r>
        <w:rPr>
          <w:rFonts w:hint="eastAsia" w:asciiTheme="majorEastAsia" w:hAnsiTheme="majorEastAsia" w:eastAsiaTheme="majorEastAsia"/>
          <w:bCs/>
          <w:lang w:eastAsia="zh-CN"/>
        </w:rPr>
        <w:t>项目</w:t>
      </w:r>
    </w:p>
    <w:p>
      <w:pPr>
        <w:pStyle w:val="14"/>
        <w:spacing w:line="360" w:lineRule="auto"/>
        <w:ind w:right="121"/>
        <w:jc w:val="both"/>
        <w:rPr>
          <w:lang w:eastAsia="zh-CN"/>
        </w:rPr>
      </w:pPr>
      <w:r>
        <w:rPr>
          <w:rFonts w:hint="eastAsia"/>
          <w:lang w:eastAsia="zh-CN"/>
        </w:rPr>
        <w:t xml:space="preserve">    2.项目</w:t>
      </w:r>
      <w:r>
        <w:rPr>
          <w:lang w:eastAsia="zh-CN"/>
        </w:rPr>
        <w:t>地点：</w:t>
      </w:r>
      <w:r>
        <w:rPr>
          <w:rFonts w:hint="eastAsia"/>
          <w:lang w:eastAsia="zh-CN"/>
        </w:rPr>
        <w:t>福建福海创石油化工有限公司</w:t>
      </w:r>
    </w:p>
    <w:p>
      <w:pPr>
        <w:pStyle w:val="14"/>
        <w:spacing w:line="360" w:lineRule="auto"/>
        <w:ind w:right="121"/>
        <w:jc w:val="both"/>
        <w:rPr>
          <w:lang w:eastAsia="zh-CN"/>
        </w:rPr>
      </w:pPr>
      <w:r>
        <w:rPr>
          <w:rFonts w:hint="eastAsia"/>
          <w:lang w:eastAsia="zh-CN"/>
        </w:rPr>
        <w:t xml:space="preserve">    3.承包方式：固定总价包干</w:t>
      </w:r>
    </w:p>
    <w:p>
      <w:pPr>
        <w:pStyle w:val="14"/>
        <w:spacing w:line="360" w:lineRule="auto"/>
        <w:ind w:left="724" w:leftChars="220" w:right="121" w:hanging="240" w:hangingChars="100"/>
        <w:jc w:val="both"/>
        <w:rPr>
          <w:lang w:eastAsia="zh-CN"/>
        </w:rPr>
      </w:pPr>
      <w:r>
        <w:rPr>
          <w:rFonts w:hint="eastAsia"/>
          <w:lang w:eastAsia="zh-CN"/>
        </w:rPr>
        <w:t>4.项目工作范围及要求：</w:t>
      </w:r>
      <w:r>
        <w:rPr>
          <w:rFonts w:hint="eastAsia" w:asciiTheme="majorEastAsia" w:hAnsiTheme="majorEastAsia" w:eastAsiaTheme="majorEastAsia"/>
          <w:bCs/>
          <w:lang w:eastAsia="zh-CN"/>
        </w:rPr>
        <w:t>见附件1“发包文件”</w:t>
      </w:r>
    </w:p>
    <w:p>
      <w:pPr>
        <w:pStyle w:val="14"/>
        <w:spacing w:line="360" w:lineRule="auto"/>
        <w:ind w:right="121" w:firstLine="480"/>
        <w:jc w:val="both"/>
        <w:rPr>
          <w:lang w:eastAsia="zh-CN"/>
        </w:rPr>
      </w:pPr>
      <w:r>
        <w:rPr>
          <w:lang w:eastAsia="zh-CN"/>
        </w:rPr>
        <w:t>5.</w:t>
      </w:r>
      <w:r>
        <w:rPr>
          <w:rFonts w:hint="eastAsia"/>
          <w:lang w:eastAsia="zh-CN"/>
        </w:rPr>
        <w:t>检修</w:t>
      </w:r>
      <w:r>
        <w:rPr>
          <w:lang w:eastAsia="zh-CN"/>
        </w:rPr>
        <w:t>期限</w:t>
      </w:r>
      <w:r>
        <w:rPr>
          <w:rFonts w:hint="eastAsia"/>
          <w:lang w:eastAsia="zh-CN"/>
        </w:rPr>
        <w:t>：15天</w:t>
      </w:r>
    </w:p>
    <w:p>
      <w:pPr>
        <w:pStyle w:val="14"/>
        <w:spacing w:line="360" w:lineRule="auto"/>
        <w:ind w:right="121"/>
        <w:jc w:val="both"/>
        <w:rPr>
          <w:lang w:eastAsia="zh-CN"/>
        </w:rPr>
      </w:pPr>
      <w:r>
        <w:rPr>
          <w:rFonts w:hint="eastAsia"/>
          <w:lang w:eastAsia="zh-CN"/>
        </w:rPr>
        <w:t xml:space="preserve">    </w:t>
      </w:r>
      <w:r>
        <w:rPr>
          <w:lang w:eastAsia="zh-CN"/>
        </w:rPr>
        <w:t>6</w:t>
      </w:r>
      <w:r>
        <w:rPr>
          <w:rFonts w:hint="eastAsia"/>
          <w:lang w:eastAsia="zh-CN"/>
        </w:rPr>
        <w:t>.项目联系人</w:t>
      </w:r>
    </w:p>
    <w:p>
      <w:pPr>
        <w:pStyle w:val="14"/>
        <w:spacing w:line="360" w:lineRule="auto"/>
        <w:ind w:right="121" w:firstLine="465"/>
        <w:jc w:val="both"/>
        <w:rPr>
          <w:lang w:eastAsia="zh-CN"/>
        </w:rPr>
      </w:pPr>
      <w:r>
        <w:rPr>
          <w:rFonts w:hint="eastAsia"/>
          <w:lang w:eastAsia="zh-CN"/>
        </w:rPr>
        <w:t>技术联系人：赵先生 0596-6311211 zhaoy@fhcpec.com.cn</w:t>
      </w:r>
      <w:r>
        <w:rPr>
          <w:lang w:eastAsia="zh-CN"/>
        </w:rPr>
        <w:t xml:space="preserve"> </w:t>
      </w:r>
    </w:p>
    <w:p>
      <w:pPr>
        <w:pStyle w:val="14"/>
        <w:spacing w:line="360" w:lineRule="auto"/>
        <w:ind w:right="121" w:firstLine="465"/>
        <w:jc w:val="both"/>
        <w:rPr>
          <w:lang w:eastAsia="zh-CN"/>
        </w:rPr>
      </w:pPr>
      <w:r>
        <w:rPr>
          <w:rFonts w:hint="eastAsia"/>
          <w:lang w:eastAsia="zh-CN"/>
        </w:rPr>
        <w:t xml:space="preserve">商务联系人：纪先生 0596-6311823  </w:t>
      </w:r>
      <w:r>
        <w:fldChar w:fldCharType="begin"/>
      </w:r>
      <w:r>
        <w:instrText xml:space="preserve"> HYPERLINK "mailto:hzji@fhcpec.com.cn" </w:instrText>
      </w:r>
      <w:r>
        <w:fldChar w:fldCharType="separate"/>
      </w:r>
      <w:r>
        <w:rPr>
          <w:rStyle w:val="35"/>
          <w:rFonts w:hint="eastAsia"/>
          <w:lang w:eastAsia="zh-CN"/>
        </w:rPr>
        <w:t>hzji@fhcpec.com.cn</w:t>
      </w:r>
      <w:r>
        <w:rPr>
          <w:rStyle w:val="35"/>
          <w:rFonts w:hint="eastAsia"/>
          <w:lang w:eastAsia="zh-CN"/>
        </w:rPr>
        <w:fldChar w:fldCharType="end"/>
      </w:r>
    </w:p>
    <w:p>
      <w:pPr>
        <w:pStyle w:val="14"/>
        <w:spacing w:line="360" w:lineRule="auto"/>
        <w:ind w:right="121" w:firstLine="480"/>
        <w:jc w:val="both"/>
        <w:rPr>
          <w:b/>
          <w:lang w:eastAsia="zh-CN"/>
        </w:rPr>
      </w:pPr>
      <w:r>
        <w:rPr>
          <w:rFonts w:hint="eastAsia"/>
          <w:lang w:eastAsia="zh-CN"/>
        </w:rPr>
        <w:t>7.</w:t>
      </w:r>
      <w:r>
        <w:rPr>
          <w:lang w:eastAsia="zh-CN"/>
        </w:rPr>
        <w:t xml:space="preserve"> 报名方式：</w:t>
      </w:r>
    </w:p>
    <w:p>
      <w:pPr>
        <w:pStyle w:val="14"/>
        <w:spacing w:line="360" w:lineRule="auto"/>
        <w:ind w:right="121" w:firstLine="465"/>
        <w:jc w:val="both"/>
        <w:rPr>
          <w:lang w:eastAsia="zh-CN"/>
        </w:rPr>
      </w:pPr>
      <w:r>
        <w:rPr>
          <w:bCs/>
          <w:szCs w:val="21"/>
          <w:lang w:eastAsia="zh-CN"/>
        </w:rPr>
        <w:t>拟参加本项目比选的参选人需在公示报名时间期限内通过邮件形式向商务联系人进行报名，提供比选文件中</w:t>
      </w:r>
      <w:r>
        <w:rPr>
          <w:b/>
          <w:bCs/>
          <w:szCs w:val="21"/>
          <w:lang w:eastAsia="zh-CN"/>
        </w:rPr>
        <w:t>参选书和法定代表人授权书及营业执照</w:t>
      </w:r>
      <w:r>
        <w:rPr>
          <w:rFonts w:hint="eastAsia"/>
          <w:b/>
          <w:bCs/>
          <w:szCs w:val="21"/>
          <w:lang w:eastAsia="zh-CN"/>
        </w:rPr>
        <w:t>、资质证书等</w:t>
      </w:r>
      <w:r>
        <w:rPr>
          <w:bCs/>
          <w:szCs w:val="21"/>
          <w:lang w:eastAsia="zh-CN"/>
        </w:rPr>
        <w:t>扫描件，并</w:t>
      </w:r>
      <w:r>
        <w:rPr>
          <w:rFonts w:hint="eastAsia"/>
          <w:bCs/>
          <w:szCs w:val="21"/>
          <w:lang w:eastAsia="zh-CN"/>
        </w:rPr>
        <w:t>与</w:t>
      </w:r>
      <w:r>
        <w:rPr>
          <w:bCs/>
          <w:szCs w:val="21"/>
          <w:lang w:eastAsia="zh-CN"/>
        </w:rPr>
        <w:t>比选人技术联系人进行前期技术交流</w:t>
      </w:r>
      <w:r>
        <w:rPr>
          <w:lang w:eastAsia="zh-CN"/>
        </w:rPr>
        <w:t>。</w:t>
      </w:r>
    </w:p>
    <w:p>
      <w:pPr>
        <w:pStyle w:val="3"/>
        <w:spacing w:before="18"/>
        <w:rPr>
          <w:lang w:eastAsia="zh-CN"/>
        </w:rPr>
      </w:pPr>
      <w:r>
        <w:rPr>
          <w:w w:val="95"/>
          <w:lang w:eastAsia="zh-CN"/>
        </w:rPr>
        <w:t>二、定义和解释</w:t>
      </w:r>
    </w:p>
    <w:p>
      <w:pPr>
        <w:pStyle w:val="14"/>
        <w:spacing w:before="186"/>
        <w:ind w:left="598"/>
        <w:rPr>
          <w:lang w:eastAsia="zh-CN"/>
        </w:rPr>
      </w:pPr>
      <w:r>
        <w:rPr>
          <w:lang w:eastAsia="zh-CN"/>
        </w:rPr>
        <w:t>1.“比选人”系</w:t>
      </w:r>
      <w:r>
        <w:rPr>
          <w:rFonts w:hint="eastAsia"/>
          <w:lang w:eastAsia="zh-CN"/>
        </w:rPr>
        <w:t>福建福海创石油化工</w:t>
      </w:r>
      <w:r>
        <w:rPr>
          <w:lang w:eastAsia="zh-CN"/>
        </w:rPr>
        <w:t>有限公司，即业主方。</w:t>
      </w:r>
    </w:p>
    <w:p>
      <w:pPr>
        <w:pStyle w:val="14"/>
        <w:spacing w:before="108" w:line="360"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pPr>
        <w:pStyle w:val="14"/>
        <w:spacing w:before="27" w:line="360"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r>
        <w:rPr>
          <w:rFonts w:hint="eastAsia"/>
          <w:spacing w:val="-10"/>
          <w:lang w:eastAsia="zh-CN"/>
        </w:rPr>
        <w:t>二</w:t>
      </w:r>
      <w:r>
        <w:rPr>
          <w:spacing w:val="-10"/>
          <w:lang w:eastAsia="zh-CN"/>
        </w:rPr>
        <w:t>。</w:t>
      </w:r>
    </w:p>
    <w:p>
      <w:pPr>
        <w:pStyle w:val="3"/>
        <w:spacing w:before="95"/>
        <w:rPr>
          <w:lang w:eastAsia="zh-CN"/>
        </w:rPr>
      </w:pPr>
      <w:r>
        <w:rPr>
          <w:w w:val="95"/>
          <w:lang w:eastAsia="zh-CN"/>
        </w:rPr>
        <w:t>三、比选文件组成</w:t>
      </w:r>
    </w:p>
    <w:p>
      <w:pPr>
        <w:pStyle w:val="14"/>
        <w:spacing w:before="188"/>
        <w:ind w:left="598"/>
        <w:rPr>
          <w:lang w:eastAsia="zh-CN"/>
        </w:rPr>
      </w:pPr>
      <w:r>
        <w:rPr>
          <w:lang w:eastAsia="zh-CN"/>
        </w:rPr>
        <w:t>1.比选文件包括下列内容：</w:t>
      </w:r>
    </w:p>
    <w:p>
      <w:pPr>
        <w:pStyle w:val="14"/>
        <w:spacing w:before="105"/>
        <w:ind w:left="598"/>
        <w:rPr>
          <w:lang w:eastAsia="zh-CN"/>
        </w:rPr>
      </w:pPr>
      <w:r>
        <w:rPr>
          <w:lang w:eastAsia="zh-CN"/>
        </w:rPr>
        <w:t>比选公告、比选须知、项目内容、合同书格式、报价单、承诺函等。</w:t>
      </w:r>
    </w:p>
    <w:p>
      <w:pPr>
        <w:pStyle w:val="14"/>
        <w:spacing w:before="108" w:line="360"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pPr>
        <w:pStyle w:val="14"/>
        <w:spacing w:before="26" w:line="360" w:lineRule="auto"/>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pPr>
        <w:pStyle w:val="14"/>
        <w:spacing w:line="360" w:lineRule="auto"/>
        <w:ind w:left="118"/>
        <w:rPr>
          <w:lang w:eastAsia="zh-CN"/>
        </w:rPr>
      </w:pPr>
      <w:r>
        <w:rPr>
          <w:lang w:eastAsia="zh-CN"/>
        </w:rPr>
        <w:t>重要事项、格式、条款和技术规范、参数及要求等）。参选人没有按照比选文件要求提交</w:t>
      </w:r>
    </w:p>
    <w:p>
      <w:pPr>
        <w:pStyle w:val="14"/>
        <w:spacing w:line="360" w:lineRule="auto"/>
        <w:ind w:left="118" w:right="-49"/>
        <w:rPr>
          <w:spacing w:val="-10"/>
          <w:lang w:eastAsia="zh-CN"/>
        </w:rPr>
      </w:pPr>
      <w:r>
        <w:rPr>
          <w:spacing w:val="-10"/>
          <w:lang w:eastAsia="zh-CN"/>
        </w:rPr>
        <w:t>全部资料，或者没有对比选文件在各方面都做出实质性响应是参选人的风险，有可能导致其参选被拒绝，或被认定为无效参选或被确定为参选无效。</w:t>
      </w:r>
    </w:p>
    <w:p>
      <w:pPr>
        <w:pStyle w:val="3"/>
        <w:spacing w:before="97"/>
        <w:ind w:left="680"/>
        <w:rPr>
          <w:lang w:eastAsia="zh-CN"/>
        </w:rPr>
      </w:pPr>
      <w:r>
        <w:rPr>
          <w:w w:val="95"/>
          <w:lang w:eastAsia="zh-CN"/>
        </w:rPr>
        <w:t>四、比选文件的澄清</w:t>
      </w:r>
    </w:p>
    <w:p>
      <w:pPr>
        <w:pStyle w:val="14"/>
        <w:spacing w:before="186" w:line="360" w:lineRule="auto"/>
        <w:ind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Pr>
          <w:spacing w:val="-20"/>
          <w:u w:val="single"/>
          <w:lang w:eastAsia="zh-CN"/>
        </w:rPr>
        <w:t xml:space="preserve"> </w:t>
      </w:r>
      <w:r>
        <w:rPr>
          <w:u w:val="single"/>
          <w:lang w:eastAsia="zh-CN"/>
        </w:rPr>
        <w:t>3</w:t>
      </w:r>
      <w:r>
        <w:rPr>
          <w:spacing w:val="-13"/>
          <w:u w:val="single"/>
          <w:lang w:eastAsia="zh-CN"/>
        </w:rPr>
        <w:t xml:space="preserve"> </w:t>
      </w:r>
      <w:r>
        <w:rPr>
          <w:spacing w:val="-13"/>
          <w:lang w:eastAsia="zh-CN"/>
        </w:rPr>
        <w:t>日内向比选人提出。参选人若对比选文件有任何疑问，应在参选截止时间前</w:t>
      </w:r>
      <w:r>
        <w:rPr>
          <w:spacing w:val="-13"/>
          <w:u w:val="single"/>
          <w:lang w:eastAsia="zh-CN"/>
        </w:rPr>
        <w:t xml:space="preserve"> </w:t>
      </w:r>
      <w:r>
        <w:rPr>
          <w:u w:val="single"/>
          <w:lang w:eastAsia="zh-CN"/>
        </w:rPr>
        <w:t xml:space="preserve">5 </w:t>
      </w:r>
      <w:r>
        <w:rPr>
          <w:spacing w:val="-10"/>
          <w:lang w:eastAsia="zh-CN"/>
        </w:rPr>
        <w:t>日，按参选须知载明的地址以书面形式</w:t>
      </w:r>
      <w:r>
        <w:rPr>
          <w:spacing w:val="-3"/>
          <w:lang w:eastAsia="zh-CN"/>
        </w:rPr>
        <w:t>（</w:t>
      </w:r>
      <w:r>
        <w:rPr>
          <w:spacing w:val="-10"/>
          <w:lang w:eastAsia="zh-CN"/>
        </w:rPr>
        <w:t>包括书面、电子邮件下同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pPr>
        <w:pStyle w:val="3"/>
        <w:spacing w:before="95"/>
        <w:ind w:left="0" w:firstLine="534" w:firstLineChars="200"/>
        <w:rPr>
          <w:lang w:eastAsia="zh-CN"/>
        </w:rPr>
      </w:pPr>
      <w:r>
        <w:rPr>
          <w:w w:val="95"/>
          <w:lang w:eastAsia="zh-CN"/>
        </w:rPr>
        <w:t>五、比选文件的修改、补充</w:t>
      </w:r>
    </w:p>
    <w:p>
      <w:pPr>
        <w:pStyle w:val="14"/>
        <w:spacing w:before="189" w:line="360" w:lineRule="auto"/>
        <w:ind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pPr>
        <w:pStyle w:val="14"/>
        <w:spacing w:before="27" w:line="360" w:lineRule="auto"/>
        <w:ind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pPr>
        <w:pStyle w:val="14"/>
        <w:spacing w:before="27" w:line="360" w:lineRule="auto"/>
        <w:ind w:firstLine="480" w:firstLineChars="200"/>
        <w:rPr>
          <w:lang w:eastAsia="zh-CN"/>
        </w:rPr>
      </w:pPr>
      <w:r>
        <w:rPr>
          <w:lang w:eastAsia="zh-CN"/>
        </w:rPr>
        <w:t>3.比选文件的修改书将构成比选文件的一部分，对参选人具有约束作用。</w:t>
      </w:r>
    </w:p>
    <w:p>
      <w:pPr>
        <w:pStyle w:val="14"/>
        <w:spacing w:before="27" w:line="360" w:lineRule="auto"/>
        <w:ind w:firstLine="480" w:firstLineChars="200"/>
        <w:rPr>
          <w:lang w:eastAsia="zh-CN"/>
        </w:rPr>
      </w:pPr>
      <w:r>
        <w:rPr>
          <w:rFonts w:hint="eastAsia"/>
          <w:lang w:eastAsia="zh-CN"/>
        </w:rPr>
        <w:t>4.比选人所作的一切有效补充、修改文件，均被视为比选文件不可分割的部分。</w:t>
      </w:r>
    </w:p>
    <w:p>
      <w:pPr>
        <w:pStyle w:val="3"/>
        <w:spacing w:line="360" w:lineRule="auto"/>
        <w:rPr>
          <w:lang w:eastAsia="zh-CN"/>
        </w:rPr>
      </w:pPr>
      <w:r>
        <w:rPr>
          <w:w w:val="95"/>
          <w:lang w:eastAsia="zh-CN"/>
        </w:rPr>
        <w:t>六、参选人资格</w:t>
      </w:r>
    </w:p>
    <w:p>
      <w:pPr>
        <w:pStyle w:val="45"/>
        <w:widowControl/>
        <w:autoSpaceDE/>
        <w:autoSpaceDN/>
        <w:spacing w:before="0" w:line="360" w:lineRule="auto"/>
        <w:ind w:left="0"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1. </w:t>
      </w:r>
      <w:r>
        <w:rPr>
          <w:rFonts w:hint="eastAsia"/>
          <w:sz w:val="24"/>
          <w:szCs w:val="24"/>
          <w:lang w:eastAsia="zh-CN"/>
        </w:rPr>
        <w:t>参选人必须具备有效的企业法人营业执照，</w:t>
      </w:r>
      <w:r>
        <w:rPr>
          <w:rFonts w:hint="eastAsia" w:asciiTheme="majorEastAsia" w:hAnsiTheme="majorEastAsia" w:eastAsiaTheme="majorEastAsia"/>
          <w:sz w:val="24"/>
          <w:szCs w:val="24"/>
          <w:lang w:eastAsia="zh-CN"/>
        </w:rPr>
        <w:t>具有在中华人民共和国注册的法人资格；</w:t>
      </w:r>
    </w:p>
    <w:p>
      <w:pPr>
        <w:pStyle w:val="45"/>
        <w:widowControl/>
        <w:autoSpaceDE/>
        <w:autoSpaceDN/>
        <w:spacing w:before="0" w:line="360" w:lineRule="auto"/>
        <w:ind w:left="0"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w:t>
      </w:r>
      <w:r>
        <w:rPr>
          <w:rFonts w:asciiTheme="majorEastAsia" w:hAnsiTheme="majorEastAsia" w:eastAsiaTheme="majorEastAsia"/>
          <w:sz w:val="24"/>
          <w:szCs w:val="24"/>
          <w:lang w:eastAsia="zh-CN"/>
        </w:rPr>
        <w:t xml:space="preserve"> </w:t>
      </w:r>
      <w:r>
        <w:rPr>
          <w:rFonts w:hint="eastAsia" w:asciiTheme="majorEastAsia" w:hAnsiTheme="majorEastAsia" w:eastAsiaTheme="majorEastAsia"/>
          <w:kern w:val="59"/>
          <w:sz w:val="24"/>
          <w:szCs w:val="24"/>
          <w:lang w:eastAsia="zh-CN"/>
        </w:rPr>
        <w:t>参选人应具备</w:t>
      </w:r>
      <w:r>
        <w:rPr>
          <w:rStyle w:val="80"/>
          <w:rFonts w:hint="eastAsia" w:asciiTheme="minorEastAsia" w:hAnsiTheme="minorEastAsia" w:eastAsiaTheme="minorEastAsia"/>
          <w:color w:val="000000"/>
          <w:sz w:val="24"/>
          <w:lang w:eastAsia="zh-CN"/>
        </w:rPr>
        <w:t>石油化工施工总承包一级，机电工程施工总承包一级资质；</w:t>
      </w:r>
    </w:p>
    <w:p>
      <w:pPr>
        <w:pStyle w:val="45"/>
        <w:widowControl/>
        <w:autoSpaceDE/>
        <w:autoSpaceDN/>
        <w:spacing w:before="0" w:line="360" w:lineRule="auto"/>
        <w:ind w:left="0" w:firstLine="480" w:firstLineChars="200"/>
        <w:jc w:val="both"/>
        <w:rPr>
          <w:rStyle w:val="80"/>
          <w:rFonts w:asciiTheme="minorEastAsia" w:hAnsiTheme="minorEastAsia" w:eastAsiaTheme="minorEastAsia"/>
          <w:color w:val="000000"/>
          <w:sz w:val="24"/>
          <w:lang w:eastAsia="zh-CN"/>
        </w:rPr>
      </w:pPr>
      <w:r>
        <w:rPr>
          <w:rFonts w:hint="eastAsia" w:asciiTheme="majorEastAsia" w:hAnsiTheme="majorEastAsia" w:eastAsiaTheme="majorEastAsia"/>
          <w:sz w:val="24"/>
          <w:szCs w:val="24"/>
          <w:lang w:eastAsia="zh-CN"/>
        </w:rPr>
        <w:t xml:space="preserve">3. </w:t>
      </w:r>
      <w:r>
        <w:rPr>
          <w:rStyle w:val="80"/>
          <w:rFonts w:hint="eastAsia" w:asciiTheme="minorEastAsia" w:hAnsiTheme="minorEastAsia" w:eastAsiaTheme="minorEastAsia"/>
          <w:color w:val="000000"/>
          <w:sz w:val="24"/>
          <w:lang w:eastAsia="zh-CN"/>
        </w:rPr>
        <w:t>企业管理体系应符合并通过ISO9001、ISO14001管理体系认证；</w:t>
      </w:r>
    </w:p>
    <w:p>
      <w:pPr>
        <w:widowControl/>
        <w:autoSpaceDE/>
        <w:autoSpaceDN/>
        <w:spacing w:line="360" w:lineRule="auto"/>
        <w:ind w:firstLine="480" w:firstLineChars="200"/>
        <w:jc w:val="both"/>
        <w:rPr>
          <w:rFonts w:asciiTheme="majorEastAsia" w:hAnsiTheme="majorEastAsia" w:eastAsiaTheme="majorEastAsia"/>
          <w:sz w:val="24"/>
          <w:szCs w:val="24"/>
          <w:lang w:eastAsia="zh-CN"/>
        </w:rPr>
      </w:pPr>
      <w:r>
        <w:rPr>
          <w:rStyle w:val="80"/>
          <w:rFonts w:hint="eastAsia" w:asciiTheme="minorEastAsia" w:hAnsiTheme="minorEastAsia" w:eastAsiaTheme="minorEastAsia"/>
          <w:color w:val="000000"/>
          <w:sz w:val="24"/>
          <w:lang w:eastAsia="zh-CN"/>
        </w:rPr>
        <w:t>4. 参选人5年以内具有在中石油、中石化、中海油有5个及5个以上的气柜检修施工业绩；</w:t>
      </w:r>
    </w:p>
    <w:p>
      <w:pPr>
        <w:pStyle w:val="45"/>
        <w:widowControl/>
        <w:autoSpaceDE/>
        <w:autoSpaceDN/>
        <w:spacing w:before="0" w:line="360" w:lineRule="auto"/>
        <w:ind w:left="0"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5. </w:t>
      </w:r>
      <w:r>
        <w:rPr>
          <w:rFonts w:asciiTheme="majorEastAsia" w:hAnsiTheme="majorEastAsia" w:eastAsiaTheme="majorEastAsia"/>
          <w:sz w:val="24"/>
          <w:szCs w:val="24"/>
          <w:lang w:eastAsia="zh-CN"/>
        </w:rPr>
        <w:t>没有失信黑名单记录（以最高院失信被执行人系统发布信息为准）；</w:t>
      </w:r>
    </w:p>
    <w:p>
      <w:pPr>
        <w:pStyle w:val="45"/>
        <w:widowControl/>
        <w:autoSpaceDE/>
        <w:autoSpaceDN/>
        <w:spacing w:before="0" w:line="360" w:lineRule="auto"/>
        <w:ind w:left="0" w:firstLine="480" w:firstLineChars="200"/>
        <w:jc w:val="both"/>
        <w:rPr>
          <w:sz w:val="24"/>
          <w:szCs w:val="24"/>
          <w:lang w:eastAsia="zh-CN"/>
        </w:rPr>
      </w:pPr>
      <w:r>
        <w:rPr>
          <w:rFonts w:hint="eastAsia" w:asciiTheme="majorEastAsia" w:hAnsiTheme="majorEastAsia" w:eastAsiaTheme="majorEastAsia"/>
          <w:sz w:val="24"/>
          <w:szCs w:val="24"/>
          <w:lang w:eastAsia="zh-CN"/>
        </w:rPr>
        <w:t xml:space="preserve">6. </w:t>
      </w:r>
      <w:r>
        <w:rPr>
          <w:rFonts w:asciiTheme="majorEastAsia" w:hAnsiTheme="majorEastAsia" w:eastAsiaTheme="majorEastAsia"/>
          <w:sz w:val="24"/>
          <w:szCs w:val="24"/>
          <w:lang w:eastAsia="zh-CN"/>
        </w:rPr>
        <w:t>与</w:t>
      </w:r>
      <w:r>
        <w:rPr>
          <w:rFonts w:hint="eastAsia" w:asciiTheme="majorEastAsia" w:hAnsiTheme="majorEastAsia" w:eastAsiaTheme="majorEastAsia"/>
          <w:sz w:val="24"/>
          <w:szCs w:val="24"/>
          <w:lang w:eastAsia="zh-CN"/>
        </w:rPr>
        <w:t>比选人</w:t>
      </w:r>
      <w:r>
        <w:rPr>
          <w:rFonts w:asciiTheme="majorEastAsia" w:hAnsiTheme="majorEastAsia" w:eastAsiaTheme="majorEastAsia"/>
          <w:sz w:val="24"/>
          <w:szCs w:val="24"/>
          <w:lang w:eastAsia="zh-CN"/>
        </w:rPr>
        <w:t>无诉讼纠纷</w:t>
      </w:r>
      <w:r>
        <w:rPr>
          <w:rFonts w:hint="eastAsia" w:asciiTheme="majorEastAsia" w:hAnsiTheme="majorEastAsia" w:eastAsiaTheme="majorEastAsia"/>
          <w:sz w:val="24"/>
          <w:szCs w:val="24"/>
          <w:lang w:eastAsia="zh-CN"/>
        </w:rPr>
        <w:t>；</w:t>
      </w:r>
    </w:p>
    <w:p>
      <w:pPr>
        <w:widowControl/>
        <w:autoSpaceDE/>
        <w:autoSpaceDN/>
        <w:spacing w:line="360" w:lineRule="auto"/>
        <w:ind w:firstLine="480" w:firstLineChars="200"/>
        <w:jc w:val="both"/>
        <w:rPr>
          <w:lang w:eastAsia="zh-CN"/>
        </w:rPr>
      </w:pPr>
      <w:r>
        <w:rPr>
          <w:rFonts w:hint="eastAsia"/>
          <w:sz w:val="24"/>
          <w:szCs w:val="24"/>
          <w:lang w:eastAsia="zh-CN"/>
        </w:rPr>
        <w:t xml:space="preserve">7. </w:t>
      </w:r>
      <w:r>
        <w:rPr>
          <w:rFonts w:hint="eastAsia" w:asciiTheme="majorEastAsia" w:hAnsiTheme="majorEastAsia" w:eastAsiaTheme="majorEastAsia"/>
          <w:sz w:val="24"/>
          <w:szCs w:val="24"/>
          <w:lang w:eastAsia="zh-CN"/>
        </w:rPr>
        <w:t>本项目不接受联合体参选</w:t>
      </w:r>
      <w:r>
        <w:rPr>
          <w:rFonts w:hint="eastAsia"/>
          <w:sz w:val="24"/>
          <w:szCs w:val="24"/>
          <w:lang w:eastAsia="zh-CN"/>
        </w:rPr>
        <w:t>。</w:t>
      </w:r>
    </w:p>
    <w:p>
      <w:pPr>
        <w:pStyle w:val="3"/>
        <w:spacing w:line="360" w:lineRule="auto"/>
        <w:rPr>
          <w:lang w:eastAsia="zh-CN"/>
        </w:rPr>
      </w:pPr>
      <w:r>
        <w:rPr>
          <w:w w:val="95"/>
          <w:lang w:eastAsia="zh-CN"/>
        </w:rPr>
        <w:t>七、参选保证金</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1、参选保证金的金额为：人民币贰仟元整（2000.00元）；</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2、参选保证金提交的时间：应在参选文件递交截止时间之前汇达指定账户；</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3、参选保证金提交的方式：</w:t>
      </w:r>
      <w:r>
        <w:rPr>
          <w:rFonts w:hint="eastAsia" w:cs="Arial" w:asciiTheme="majorEastAsia" w:hAnsiTheme="majorEastAsia" w:eastAsiaTheme="majorEastAsia"/>
          <w:color w:val="333333"/>
          <w:sz w:val="24"/>
          <w:szCs w:val="24"/>
          <w:u w:val="single"/>
          <w:lang w:eastAsia="zh-CN"/>
        </w:rPr>
        <w:t>应从参选人基本账户以电汇或银行转账方式提交（以款项到达时间为准），并应在电汇或银行转账单上注明为本项目的参选保证金；</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4、参选保证金指定账户：</w:t>
      </w:r>
    </w:p>
    <w:p>
      <w:pPr>
        <w:pStyle w:val="14"/>
        <w:spacing w:line="360" w:lineRule="auto"/>
        <w:ind w:left="-240" w:leftChars="-109" w:right="121" w:firstLine="840" w:firstLineChars="350"/>
        <w:jc w:val="both"/>
        <w:rPr>
          <w:lang w:eastAsia="zh-CN"/>
        </w:rPr>
      </w:pPr>
      <w:r>
        <w:rPr>
          <w:rFonts w:hint="eastAsia"/>
          <w:lang w:eastAsia="zh-CN"/>
        </w:rPr>
        <w:t>开户名称：腾龙芳烃（漳州）有限公司</w:t>
      </w:r>
    </w:p>
    <w:p>
      <w:pPr>
        <w:pStyle w:val="14"/>
        <w:spacing w:line="360" w:lineRule="auto"/>
        <w:ind w:left="-240" w:leftChars="-109" w:right="121" w:firstLine="840" w:firstLineChars="350"/>
        <w:jc w:val="both"/>
        <w:rPr>
          <w:lang w:eastAsia="zh-CN"/>
        </w:rPr>
      </w:pPr>
      <w:r>
        <w:rPr>
          <w:rFonts w:hint="eastAsia"/>
          <w:lang w:eastAsia="zh-CN"/>
        </w:rPr>
        <w:t>开户银行：兴业银行漳州古雷支行</w:t>
      </w:r>
    </w:p>
    <w:p>
      <w:pPr>
        <w:widowControl/>
        <w:autoSpaceDE/>
        <w:autoSpaceDN/>
        <w:spacing w:line="360" w:lineRule="auto"/>
        <w:ind w:firstLine="643" w:firstLineChars="268"/>
        <w:jc w:val="both"/>
        <w:rPr>
          <w:rFonts w:cs="Arial" w:asciiTheme="majorEastAsia" w:hAnsiTheme="majorEastAsia" w:eastAsiaTheme="majorEastAsia"/>
          <w:color w:val="333333"/>
          <w:sz w:val="24"/>
          <w:szCs w:val="24"/>
          <w:lang w:eastAsia="zh-CN"/>
        </w:rPr>
      </w:pPr>
      <w:r>
        <w:rPr>
          <w:rFonts w:hint="eastAsia"/>
          <w:sz w:val="24"/>
          <w:szCs w:val="24"/>
          <w:lang w:eastAsia="zh-CN"/>
        </w:rPr>
        <w:t>帐  号：162070100100021071</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注明用途：</w:t>
      </w:r>
      <w:r>
        <w:rPr>
          <w:rFonts w:hint="eastAsia" w:asciiTheme="majorEastAsia" w:hAnsiTheme="majorEastAsia" w:eastAsiaTheme="majorEastAsia"/>
          <w:b/>
          <w:sz w:val="24"/>
          <w:szCs w:val="24"/>
          <w:lang w:eastAsia="zh-CN"/>
        </w:rPr>
        <w:t>火炬气柜检修项目</w:t>
      </w:r>
      <w:r>
        <w:rPr>
          <w:rFonts w:hint="eastAsia" w:cs="Arial" w:asciiTheme="majorEastAsia" w:hAnsiTheme="majorEastAsia" w:eastAsiaTheme="majorEastAsia"/>
          <w:b/>
          <w:color w:val="333333"/>
          <w:sz w:val="24"/>
          <w:szCs w:val="24"/>
          <w:lang w:eastAsia="zh-CN"/>
        </w:rPr>
        <w:t>参选保证金</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参选保证金有效期：90日历天。</w:t>
      </w:r>
    </w:p>
    <w:p>
      <w:pPr>
        <w:widowControl/>
        <w:autoSpaceDE/>
        <w:autoSpaceDN/>
        <w:spacing w:line="360" w:lineRule="auto"/>
        <w:ind w:firstLine="480"/>
        <w:jc w:val="both"/>
        <w:rPr>
          <w:rFonts w:cs="Arial" w:asciiTheme="majorEastAsia" w:hAnsiTheme="majorEastAsia" w:eastAsiaTheme="majorEastAsia"/>
          <w:color w:val="333333"/>
          <w:sz w:val="24"/>
          <w:szCs w:val="24"/>
          <w:u w:val="single"/>
          <w:lang w:eastAsia="zh-CN"/>
        </w:rPr>
      </w:pPr>
      <w:r>
        <w:rPr>
          <w:rFonts w:hint="eastAsia" w:cs="Arial" w:asciiTheme="majorEastAsia" w:hAnsiTheme="majorEastAsia" w:eastAsiaTheme="majorEastAsia"/>
          <w:color w:val="333333"/>
          <w:sz w:val="24"/>
          <w:szCs w:val="24"/>
          <w:u w:val="single"/>
          <w:lang w:eastAsia="zh-CN"/>
        </w:rPr>
        <w:t>注：开户许可证上账号应与参选保证金转账回单上账号一致，否则视为未按规定提交参选保证金,所造成的一切后果由参选人自行负责。</w:t>
      </w:r>
    </w:p>
    <w:p>
      <w:pPr>
        <w:pStyle w:val="14"/>
        <w:spacing w:line="360" w:lineRule="auto"/>
        <w:ind w:right="121" w:firstLine="480" w:firstLineChars="200"/>
        <w:jc w:val="both"/>
        <w:rPr>
          <w:lang w:eastAsia="zh-CN"/>
        </w:rPr>
      </w:pPr>
      <w:r>
        <w:rPr>
          <w:rFonts w:hint="eastAsia"/>
          <w:lang w:eastAsia="zh-CN"/>
        </w:rPr>
        <w:t>5.对于未能按要求提交保证金的参选文件，比选单位可以视为不符合上面比选要求而予以拒绝；</w:t>
      </w:r>
    </w:p>
    <w:p>
      <w:pPr>
        <w:pStyle w:val="14"/>
        <w:spacing w:line="360" w:lineRule="auto"/>
        <w:ind w:right="121" w:firstLine="480" w:firstLineChars="200"/>
        <w:jc w:val="both"/>
        <w:rPr>
          <w:lang w:eastAsia="zh-CN"/>
        </w:rPr>
      </w:pPr>
      <w:r>
        <w:rPr>
          <w:rFonts w:hint="eastAsia"/>
          <w:lang w:eastAsia="zh-CN"/>
        </w:rPr>
        <w:t>6.</w:t>
      </w:r>
      <w:r>
        <w:rPr>
          <w:rFonts w:hint="eastAsia"/>
          <w:spacing w:val="8"/>
          <w:lang w:eastAsia="zh-CN"/>
        </w:rPr>
        <w:t xml:space="preserve"> 本项目比选结束后，未中选的参选人其所递交的参选保证金将于本项目合同签订后退回至参选人</w:t>
      </w:r>
      <w:r>
        <w:rPr>
          <w:rFonts w:hint="eastAsia"/>
          <w:lang w:eastAsia="zh-CN"/>
        </w:rPr>
        <w:t>基本账户</w:t>
      </w:r>
      <w:r>
        <w:rPr>
          <w:rFonts w:hint="eastAsia"/>
          <w:spacing w:val="8"/>
          <w:lang w:eastAsia="zh-CN"/>
        </w:rPr>
        <w:t>（无息）</w:t>
      </w:r>
      <w:r>
        <w:rPr>
          <w:rFonts w:hint="eastAsia"/>
          <w:lang w:eastAsia="zh-CN"/>
        </w:rPr>
        <w:t>，最迟不超过规定的比选有效期满后的20天；</w:t>
      </w:r>
    </w:p>
    <w:p>
      <w:pPr>
        <w:pStyle w:val="14"/>
        <w:spacing w:line="360" w:lineRule="auto"/>
        <w:ind w:right="121" w:firstLine="480" w:firstLineChars="200"/>
        <w:jc w:val="both"/>
        <w:rPr>
          <w:color w:val="000000" w:themeColor="text1"/>
          <w:lang w:eastAsia="zh-CN"/>
        </w:rPr>
      </w:pPr>
      <w:r>
        <w:rPr>
          <w:rFonts w:hint="eastAsia"/>
          <w:lang w:eastAsia="zh-CN"/>
        </w:rPr>
        <w:t>7.中选者的参选保证金（无息），将在合同签订后自动转为履约保证金，将于合同周期完成后1</w:t>
      </w:r>
      <w:r>
        <w:rPr>
          <w:lang w:eastAsia="zh-CN"/>
        </w:rPr>
        <w:t>5</w:t>
      </w:r>
      <w:r>
        <w:rPr>
          <w:rFonts w:hint="eastAsia"/>
          <w:lang w:eastAsia="zh-CN"/>
        </w:rPr>
        <w:t>个工作日内，甲方无息退还履约保证金；</w:t>
      </w:r>
    </w:p>
    <w:p>
      <w:pPr>
        <w:pStyle w:val="14"/>
        <w:spacing w:line="360" w:lineRule="auto"/>
        <w:ind w:right="121" w:firstLine="480" w:firstLineChars="200"/>
        <w:jc w:val="both"/>
        <w:rPr>
          <w:lang w:eastAsia="zh-CN"/>
        </w:rPr>
      </w:pPr>
      <w:r>
        <w:rPr>
          <w:rFonts w:hint="eastAsia"/>
          <w:lang w:eastAsia="zh-CN"/>
        </w:rPr>
        <w:t>8.如有下列情况发生，将被没收参选保证金：</w:t>
      </w:r>
    </w:p>
    <w:p>
      <w:pPr>
        <w:pStyle w:val="14"/>
        <w:spacing w:line="360" w:lineRule="auto"/>
        <w:ind w:right="121"/>
        <w:jc w:val="both"/>
        <w:rPr>
          <w:lang w:eastAsia="zh-CN"/>
        </w:rPr>
      </w:pPr>
      <w:r>
        <w:rPr>
          <w:rFonts w:hint="eastAsia"/>
          <w:lang w:eastAsia="zh-CN"/>
        </w:rPr>
        <w:t xml:space="preserve">   （1）参选单位在参选有效期内撤回参选文件；</w:t>
      </w:r>
    </w:p>
    <w:p>
      <w:pPr>
        <w:pStyle w:val="3"/>
        <w:spacing w:line="360" w:lineRule="auto"/>
        <w:ind w:left="0" w:firstLine="360" w:firstLineChars="150"/>
        <w:rPr>
          <w:b w:val="0"/>
          <w:sz w:val="24"/>
          <w:szCs w:val="24"/>
          <w:lang w:eastAsia="zh-CN"/>
        </w:rPr>
      </w:pPr>
      <w:r>
        <w:rPr>
          <w:rFonts w:hint="eastAsia"/>
          <w:b w:val="0"/>
          <w:sz w:val="24"/>
          <w:szCs w:val="24"/>
          <w:lang w:eastAsia="zh-CN"/>
        </w:rPr>
        <w:t>（2）参选单位未能按接到中标通知书后规定的时间内签定合同。</w:t>
      </w:r>
    </w:p>
    <w:p>
      <w:pPr>
        <w:pStyle w:val="3"/>
        <w:spacing w:line="360" w:lineRule="auto"/>
        <w:rPr>
          <w:lang w:eastAsia="zh-CN"/>
        </w:rPr>
      </w:pPr>
      <w:r>
        <w:rPr>
          <w:w w:val="95"/>
          <w:lang w:eastAsia="zh-CN"/>
        </w:rPr>
        <w:t>八、参选文件的递交</w:t>
      </w:r>
    </w:p>
    <w:p>
      <w:pPr>
        <w:pStyle w:val="4"/>
        <w:tabs>
          <w:tab w:val="left" w:pos="6879"/>
        </w:tabs>
        <w:spacing w:line="360" w:lineRule="auto"/>
        <w:ind w:left="0" w:right="106" w:firstLine="472" w:firstLineChars="196"/>
        <w:rPr>
          <w:lang w:eastAsia="zh-CN"/>
        </w:rPr>
      </w:pPr>
      <w:r>
        <w:rPr>
          <w:lang w:eastAsia="zh-CN"/>
        </w:rPr>
        <w:t>1.参选文件递交的截止时间：</w:t>
      </w:r>
      <w:r>
        <w:rPr>
          <w:rFonts w:hint="eastAsia" w:asciiTheme="majorEastAsia" w:hAnsiTheme="majorEastAsia" w:eastAsiaTheme="majorEastAsia"/>
          <w:bCs w:val="0"/>
          <w:lang w:eastAsia="zh-CN"/>
        </w:rPr>
        <w:t>见比选公告</w:t>
      </w:r>
    </w:p>
    <w:p>
      <w:pPr>
        <w:pStyle w:val="4"/>
        <w:tabs>
          <w:tab w:val="left" w:pos="6879"/>
        </w:tabs>
        <w:spacing w:line="360" w:lineRule="auto"/>
        <w:ind w:left="0" w:right="106" w:firstLine="472" w:firstLineChars="196"/>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Pr>
          <w:rFonts w:hint="eastAsia"/>
          <w:spacing w:val="4"/>
          <w:lang w:eastAsia="zh-CN"/>
        </w:rPr>
        <w:t>漳州市漳浦县杜浔镇杜昌路9号</w:t>
      </w:r>
    </w:p>
    <w:p>
      <w:pPr>
        <w:pStyle w:val="4"/>
        <w:tabs>
          <w:tab w:val="left" w:pos="6879"/>
        </w:tabs>
        <w:spacing w:line="360" w:lineRule="auto"/>
        <w:ind w:left="119" w:leftChars="54" w:right="106" w:firstLine="834" w:firstLineChars="346"/>
        <w:rPr>
          <w:spacing w:val="-6"/>
          <w:lang w:eastAsia="zh-CN"/>
        </w:rPr>
      </w:pPr>
      <w:r>
        <w:rPr>
          <w:lang w:eastAsia="zh-CN"/>
        </w:rPr>
        <w:t>联</w:t>
      </w:r>
      <w:r>
        <w:rPr>
          <w:rFonts w:hint="eastAsia"/>
          <w:lang w:eastAsia="zh-CN"/>
        </w:rPr>
        <w:t xml:space="preserve"> </w:t>
      </w:r>
      <w:r>
        <w:rPr>
          <w:lang w:eastAsia="zh-CN"/>
        </w:rPr>
        <w:t>系</w:t>
      </w:r>
      <w:r>
        <w:rPr>
          <w:rFonts w:hint="eastAsia"/>
          <w:lang w:eastAsia="zh-CN"/>
        </w:rPr>
        <w:t xml:space="preserve"> </w:t>
      </w:r>
      <w:r>
        <w:rPr>
          <w:lang w:eastAsia="zh-CN"/>
        </w:rPr>
        <w:t>人</w:t>
      </w:r>
      <w:r>
        <w:rPr>
          <w:spacing w:val="-56"/>
          <w:lang w:eastAsia="zh-CN"/>
        </w:rPr>
        <w:t>：</w:t>
      </w:r>
      <w:r>
        <w:rPr>
          <w:rFonts w:hint="eastAsia"/>
          <w:lang w:eastAsia="zh-CN"/>
        </w:rPr>
        <w:t xml:space="preserve">纪捍政    </w:t>
      </w:r>
      <w:r>
        <w:rPr>
          <w:spacing w:val="-6"/>
          <w:lang w:eastAsia="zh-CN"/>
        </w:rPr>
        <w:t xml:space="preserve"> </w:t>
      </w:r>
    </w:p>
    <w:p>
      <w:pPr>
        <w:pStyle w:val="4"/>
        <w:tabs>
          <w:tab w:val="left" w:pos="6879"/>
        </w:tabs>
        <w:spacing w:line="360" w:lineRule="auto"/>
        <w:ind w:left="119" w:leftChars="54" w:right="106" w:firstLine="834" w:firstLineChars="346"/>
        <w:rPr>
          <w:lang w:eastAsia="zh-CN"/>
        </w:rPr>
      </w:pPr>
      <w:r>
        <w:rPr>
          <w:lang w:eastAsia="zh-CN"/>
        </w:rPr>
        <w:t>联系电话</w:t>
      </w:r>
      <w:r>
        <w:rPr>
          <w:spacing w:val="-4"/>
          <w:lang w:eastAsia="zh-CN"/>
        </w:rPr>
        <w:t>：</w:t>
      </w:r>
      <w:r>
        <w:rPr>
          <w:rFonts w:hint="eastAsia"/>
          <w:spacing w:val="-4"/>
          <w:lang w:eastAsia="zh-CN"/>
        </w:rPr>
        <w:t xml:space="preserve">0596-6311823 </w:t>
      </w:r>
    </w:p>
    <w:p>
      <w:pPr>
        <w:spacing w:line="360" w:lineRule="auto"/>
        <w:ind w:left="598" w:leftChars="272" w:firstLine="236" w:firstLineChars="98"/>
        <w:rPr>
          <w:b/>
          <w:sz w:val="24"/>
          <w:lang w:eastAsia="zh-CN"/>
        </w:rPr>
      </w:pPr>
      <w:r>
        <w:rPr>
          <w:b/>
          <w:sz w:val="24"/>
          <w:lang w:eastAsia="zh-CN"/>
        </w:rPr>
        <w:t>注：请使用顺丰快递或中国邮政 EMS 快递，其他快递不能保证送达目的地。</w:t>
      </w:r>
    </w:p>
    <w:p>
      <w:pPr>
        <w:pStyle w:val="14"/>
        <w:spacing w:line="360" w:lineRule="auto"/>
        <w:ind w:firstLine="480" w:firstLineChars="200"/>
        <w:rPr>
          <w:lang w:eastAsia="zh-CN"/>
        </w:rPr>
      </w:pPr>
      <w:r>
        <w:rPr>
          <w:lang w:eastAsia="zh-CN"/>
        </w:rPr>
        <w:t>3.只允许参选人有一个参选方案，否则将被视为无效参选。</w:t>
      </w:r>
    </w:p>
    <w:p>
      <w:pPr>
        <w:pStyle w:val="14"/>
        <w:spacing w:line="360" w:lineRule="auto"/>
        <w:ind w:right="106" w:firstLine="480" w:firstLineChars="20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pPr>
        <w:pStyle w:val="14"/>
        <w:spacing w:before="21" w:line="360" w:lineRule="auto"/>
        <w:ind w:right="106" w:firstLine="480" w:firstLineChars="200"/>
        <w:jc w:val="both"/>
        <w:rPr>
          <w:lang w:eastAsia="zh-CN"/>
        </w:rPr>
      </w:pPr>
      <w:r>
        <w:rPr>
          <w:lang w:eastAsia="zh-CN"/>
        </w:rPr>
        <w:t>5.</w:t>
      </w:r>
      <w:r>
        <w:rPr>
          <w:spacing w:val="-9"/>
          <w:lang w:eastAsia="zh-CN"/>
        </w:rPr>
        <w:t>参选人收到比选文件后，如有疑问要澄清，请以书面形式在规定时间内报比选人汇总。</w:t>
      </w:r>
    </w:p>
    <w:p>
      <w:pPr>
        <w:pStyle w:val="14"/>
        <w:spacing w:before="24" w:line="360" w:lineRule="auto"/>
        <w:ind w:right="106" w:firstLine="480" w:firstLineChars="200"/>
        <w:jc w:val="both"/>
        <w:rPr>
          <w:spacing w:val="-9"/>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pStyle w:val="3"/>
        <w:spacing w:line="360" w:lineRule="auto"/>
        <w:ind w:left="0" w:firstLine="534" w:firstLineChars="200"/>
        <w:rPr>
          <w:lang w:eastAsia="zh-CN"/>
        </w:rPr>
      </w:pPr>
      <w:r>
        <w:rPr>
          <w:rFonts w:hint="eastAsia"/>
          <w:w w:val="95"/>
          <w:lang w:eastAsia="zh-CN"/>
        </w:rPr>
        <w:t>九</w:t>
      </w:r>
      <w:r>
        <w:rPr>
          <w:w w:val="95"/>
          <w:lang w:eastAsia="zh-CN"/>
        </w:rPr>
        <w:t>、</w:t>
      </w:r>
      <w:r>
        <w:rPr>
          <w:rFonts w:hint="eastAsia"/>
          <w:w w:val="95"/>
          <w:lang w:eastAsia="zh-CN"/>
        </w:rPr>
        <w:t>异议</w:t>
      </w:r>
    </w:p>
    <w:p>
      <w:pPr>
        <w:pStyle w:val="17"/>
        <w:tabs>
          <w:tab w:val="left" w:pos="0"/>
          <w:tab w:val="left" w:pos="567"/>
          <w:tab w:val="left" w:pos="993"/>
          <w:tab w:val="left" w:pos="1135"/>
        </w:tabs>
        <w:spacing w:line="460" w:lineRule="exact"/>
        <w:ind w:firstLine="482"/>
        <w:rPr>
          <w:rFonts w:hAnsi="宋体" w:cs="宋体"/>
          <w:bCs/>
          <w:sz w:val="24"/>
          <w:szCs w:val="24"/>
          <w:lang w:eastAsia="zh-CN"/>
        </w:rPr>
      </w:pPr>
      <w:r>
        <w:rPr>
          <w:rFonts w:hint="eastAsia" w:hAnsi="宋体"/>
          <w:sz w:val="24"/>
          <w:lang w:eastAsia="zh-CN"/>
        </w:rPr>
        <w:t>中选人确定后，比选人不对未中选人就比选过程以及未能中选的原因做出任何解释。</w:t>
      </w:r>
    </w:p>
    <w:p>
      <w:pPr>
        <w:pStyle w:val="17"/>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sz w:val="24"/>
          <w:szCs w:val="24"/>
          <w:lang w:eastAsia="zh-CN"/>
        </w:rPr>
        <w:t>潜在参选人或参选人及其他利害关系人对比选文件或比选结果有异议的，应当在规定的期限内以书面的形式向比选人提出。</w:t>
      </w:r>
      <w:r>
        <w:rPr>
          <w:rFonts w:hint="eastAsia" w:hAnsi="宋体" w:cs="宋体"/>
          <w:bCs/>
          <w:color w:val="000000"/>
          <w:sz w:val="24"/>
          <w:szCs w:val="24"/>
          <w:lang w:eastAsia="zh-CN"/>
        </w:rPr>
        <w:t>对比选文件有异议的，应当在参选截止时间5日前提出；对比选结果有异议的，应在本比选项目中标候选人公示期间提出。异议的内容应当包括下列内容：</w:t>
      </w:r>
    </w:p>
    <w:p>
      <w:pPr>
        <w:pStyle w:val="17"/>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（1）异议人的名称、地址及有效联系方式；</w:t>
      </w:r>
    </w:p>
    <w:p>
      <w:pPr>
        <w:pStyle w:val="17"/>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（2）被异议人的名称（仅适用于对比选结果的异议）；</w:t>
      </w:r>
    </w:p>
    <w:p>
      <w:pPr>
        <w:pStyle w:val="17"/>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（3）异议事项的基本事实；</w:t>
      </w:r>
    </w:p>
    <w:p>
      <w:pPr>
        <w:pStyle w:val="17"/>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（4）相关请求及主张；</w:t>
      </w:r>
    </w:p>
    <w:p>
      <w:pPr>
        <w:pStyle w:val="17"/>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 xml:space="preserve">（5）有效线索和相关证明材料。 </w:t>
      </w:r>
    </w:p>
    <w:p>
      <w:pPr>
        <w:pStyle w:val="17"/>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pPr>
        <w:pStyle w:val="17"/>
        <w:tabs>
          <w:tab w:val="left" w:pos="0"/>
          <w:tab w:val="left" w:pos="567"/>
          <w:tab w:val="left" w:pos="993"/>
          <w:tab w:val="left" w:pos="1135"/>
        </w:tabs>
        <w:spacing w:line="460" w:lineRule="exact"/>
        <w:ind w:firstLine="482"/>
        <w:rPr>
          <w:rFonts w:hAnsi="宋体" w:cs="宋体"/>
          <w:bCs/>
          <w:sz w:val="24"/>
          <w:szCs w:val="24"/>
          <w:lang w:eastAsia="zh-CN"/>
        </w:rPr>
      </w:pPr>
      <w:r>
        <w:rPr>
          <w:rFonts w:hint="eastAsia" w:hAnsi="宋体" w:cs="宋体"/>
          <w:bCs/>
          <w:sz w:val="24"/>
          <w:szCs w:val="24"/>
          <w:lang w:eastAsia="zh-CN"/>
        </w:rPr>
        <w:t>有下列情形之一的异议，不予受理：</w:t>
      </w:r>
    </w:p>
    <w:p>
      <w:pPr>
        <w:pStyle w:val="17"/>
        <w:tabs>
          <w:tab w:val="left" w:pos="0"/>
          <w:tab w:val="left" w:pos="567"/>
          <w:tab w:val="left" w:pos="993"/>
          <w:tab w:val="left" w:pos="1135"/>
        </w:tabs>
        <w:spacing w:line="460" w:lineRule="exact"/>
        <w:ind w:firstLine="482"/>
        <w:rPr>
          <w:rFonts w:hAnsi="宋体" w:cs="宋体"/>
          <w:bCs/>
          <w:sz w:val="24"/>
          <w:szCs w:val="24"/>
          <w:lang w:eastAsia="zh-CN"/>
        </w:rPr>
      </w:pPr>
      <w:r>
        <w:rPr>
          <w:rFonts w:hint="eastAsia" w:hAnsi="宋体" w:cs="宋体"/>
          <w:bCs/>
          <w:color w:val="000000"/>
          <w:sz w:val="24"/>
          <w:szCs w:val="24"/>
          <w:lang w:eastAsia="zh-CN"/>
        </w:rPr>
        <w:t>（1）</w:t>
      </w:r>
      <w:r>
        <w:rPr>
          <w:rFonts w:hint="eastAsia" w:hAnsi="宋体" w:cs="宋体"/>
          <w:bCs/>
          <w:sz w:val="24"/>
          <w:szCs w:val="24"/>
          <w:lang w:eastAsia="zh-CN"/>
        </w:rPr>
        <w:t>对比选结果有异议的异议人不是本项目的参与者，或者与本项目无任何利害关系；</w:t>
      </w:r>
    </w:p>
    <w:p>
      <w:pPr>
        <w:pStyle w:val="17"/>
        <w:tabs>
          <w:tab w:val="left" w:pos="0"/>
          <w:tab w:val="left" w:pos="567"/>
          <w:tab w:val="left" w:pos="993"/>
          <w:tab w:val="left" w:pos="1135"/>
        </w:tabs>
        <w:spacing w:line="460" w:lineRule="exact"/>
        <w:ind w:firstLine="482"/>
        <w:rPr>
          <w:rFonts w:hAnsi="宋体" w:cs="宋体"/>
          <w:bCs/>
          <w:sz w:val="24"/>
          <w:szCs w:val="24"/>
          <w:lang w:eastAsia="zh-CN"/>
        </w:rPr>
      </w:pPr>
      <w:r>
        <w:rPr>
          <w:rFonts w:hint="eastAsia" w:hAnsi="宋体" w:cs="宋体"/>
          <w:bCs/>
          <w:color w:val="000000"/>
          <w:sz w:val="24"/>
          <w:szCs w:val="24"/>
          <w:lang w:eastAsia="zh-CN"/>
        </w:rPr>
        <w:t>（2）</w:t>
      </w:r>
      <w:r>
        <w:rPr>
          <w:rFonts w:hint="eastAsia" w:hAnsi="宋体" w:cs="宋体"/>
          <w:bCs/>
          <w:sz w:val="24"/>
          <w:szCs w:val="24"/>
          <w:lang w:eastAsia="zh-CN"/>
        </w:rPr>
        <w:t xml:space="preserve">异议事项不具体，且未提供有效线索，难以查证的； </w:t>
      </w:r>
    </w:p>
    <w:p>
      <w:pPr>
        <w:pStyle w:val="17"/>
        <w:tabs>
          <w:tab w:val="left" w:pos="0"/>
          <w:tab w:val="left" w:pos="567"/>
          <w:tab w:val="left" w:pos="993"/>
          <w:tab w:val="left" w:pos="1135"/>
        </w:tabs>
        <w:spacing w:line="360" w:lineRule="auto"/>
        <w:ind w:firstLine="482"/>
        <w:rPr>
          <w:rFonts w:hAnsi="宋体" w:cs="宋体"/>
          <w:bCs/>
          <w:sz w:val="24"/>
          <w:szCs w:val="24"/>
          <w:lang w:eastAsia="zh-CN"/>
        </w:rPr>
      </w:pPr>
      <w:r>
        <w:rPr>
          <w:rFonts w:hint="eastAsia" w:hAnsi="宋体" w:cs="宋体"/>
          <w:bCs/>
          <w:color w:val="000000"/>
          <w:sz w:val="24"/>
          <w:szCs w:val="24"/>
          <w:lang w:eastAsia="zh-CN"/>
        </w:rPr>
        <w:t>（3）</w:t>
      </w:r>
      <w:r>
        <w:rPr>
          <w:rFonts w:hint="eastAsia" w:hAnsi="宋体" w:cs="宋体"/>
          <w:bCs/>
          <w:sz w:val="24"/>
          <w:szCs w:val="24"/>
          <w:lang w:eastAsia="zh-CN"/>
        </w:rPr>
        <w:t>异议未签署异议人真实姓名、签字和有效联系方式的；以法人名义提出异议的，异议未经法定代表人签字并加盖公章的；</w:t>
      </w:r>
    </w:p>
    <w:p>
      <w:pPr>
        <w:spacing w:line="360" w:lineRule="auto"/>
        <w:ind w:firstLine="470" w:firstLineChars="196"/>
        <w:rPr>
          <w:lang w:eastAsia="zh-CN"/>
        </w:rPr>
      </w:pPr>
      <w:r>
        <w:rPr>
          <w:rFonts w:hint="eastAsia"/>
          <w:bCs/>
          <w:color w:val="000000"/>
          <w:sz w:val="24"/>
          <w:szCs w:val="24"/>
          <w:lang w:eastAsia="zh-CN"/>
        </w:rPr>
        <w:t>（4）</w:t>
      </w:r>
      <w:r>
        <w:rPr>
          <w:rFonts w:hint="eastAsia"/>
          <w:bCs/>
          <w:sz w:val="24"/>
          <w:szCs w:val="24"/>
          <w:lang w:eastAsia="zh-CN"/>
        </w:rPr>
        <w:t>超过异议时效的。</w:t>
      </w:r>
    </w:p>
    <w:p>
      <w:pPr>
        <w:pStyle w:val="3"/>
        <w:spacing w:line="360" w:lineRule="auto"/>
        <w:rPr>
          <w:sz w:val="24"/>
          <w:szCs w:val="24"/>
          <w:lang w:eastAsia="zh-CN"/>
        </w:rPr>
      </w:pPr>
      <w:r>
        <w:rPr>
          <w:rFonts w:hint="eastAsia"/>
          <w:w w:val="95"/>
          <w:lang w:eastAsia="zh-CN"/>
        </w:rPr>
        <w:t>十</w:t>
      </w:r>
      <w:r>
        <w:rPr>
          <w:w w:val="95"/>
          <w:lang w:eastAsia="zh-CN"/>
        </w:rPr>
        <w:t>、</w:t>
      </w:r>
      <w:r>
        <w:rPr>
          <w:rFonts w:hint="eastAsia"/>
          <w:lang w:eastAsia="zh-CN"/>
        </w:rPr>
        <w:t>最高控制价及参选报价要求</w:t>
      </w:r>
    </w:p>
    <w:p>
      <w:pPr>
        <w:spacing w:line="360" w:lineRule="auto"/>
        <w:ind w:firstLine="480" w:firstLineChars="200"/>
        <w:rPr>
          <w:sz w:val="24"/>
          <w:szCs w:val="24"/>
          <w:lang w:eastAsia="zh-CN"/>
        </w:rPr>
      </w:pPr>
      <w:r>
        <w:rPr>
          <w:rFonts w:hint="eastAsia"/>
          <w:bCs/>
          <w:sz w:val="24"/>
          <w:szCs w:val="24"/>
          <w:lang w:eastAsia="zh-CN"/>
        </w:rPr>
        <w:t>1、本项目最高限价为人民币</w:t>
      </w:r>
      <w:r>
        <w:rPr>
          <w:rFonts w:hint="eastAsia"/>
          <w:b/>
          <w:bCs/>
          <w:sz w:val="24"/>
          <w:szCs w:val="24"/>
          <w:lang w:eastAsia="zh-CN"/>
        </w:rPr>
        <w:t>107500.00元</w:t>
      </w:r>
      <w:r>
        <w:rPr>
          <w:rFonts w:hint="eastAsia"/>
          <w:bCs/>
          <w:sz w:val="24"/>
          <w:szCs w:val="24"/>
          <w:lang w:eastAsia="zh-CN"/>
        </w:rPr>
        <w:t>。参选人所填报的参选总价高于本项目最高限价的，其参选将被评标委员会予以否决</w:t>
      </w:r>
      <w:r>
        <w:rPr>
          <w:rFonts w:hint="eastAsia"/>
          <w:sz w:val="24"/>
          <w:szCs w:val="24"/>
          <w:lang w:eastAsia="zh-CN"/>
        </w:rPr>
        <w:t>。</w:t>
      </w:r>
    </w:p>
    <w:p>
      <w:pPr>
        <w:spacing w:line="360" w:lineRule="auto"/>
        <w:ind w:firstLine="480" w:firstLineChars="200"/>
        <w:rPr>
          <w:bCs/>
          <w:sz w:val="24"/>
          <w:szCs w:val="24"/>
          <w:lang w:eastAsia="zh-CN"/>
        </w:rPr>
      </w:pPr>
      <w:r>
        <w:rPr>
          <w:rFonts w:hint="eastAsia"/>
          <w:bCs/>
          <w:sz w:val="24"/>
          <w:szCs w:val="24"/>
          <w:lang w:eastAsia="zh-CN"/>
        </w:rPr>
        <w:t>2、本比选项目采用固定总价方式执行。</w:t>
      </w:r>
    </w:p>
    <w:p>
      <w:pPr>
        <w:tabs>
          <w:tab w:val="left" w:pos="0"/>
          <w:tab w:val="left" w:pos="993"/>
          <w:tab w:val="left" w:pos="1134"/>
        </w:tabs>
        <w:spacing w:line="360" w:lineRule="auto"/>
        <w:ind w:firstLine="480" w:firstLineChars="200"/>
        <w:rPr>
          <w:bCs/>
          <w:sz w:val="24"/>
          <w:lang w:eastAsia="zh-CN"/>
        </w:rPr>
      </w:pPr>
      <w:r>
        <w:rPr>
          <w:rFonts w:hint="eastAsia"/>
          <w:bCs/>
          <w:sz w:val="24"/>
          <w:szCs w:val="24"/>
          <w:lang w:eastAsia="zh-CN"/>
        </w:rPr>
        <w:t>参选人应以完成本比选文件所述的所有内容所涉及的全部费用进行报价。中选后，参选报价不予调整。参选人在填报参选报价单时，应充分考虑合同实施过程中因人力成本的增加、原材料的价格上涨、国家宏观调控、经济环境变化等因素所产生费用的增加。</w:t>
      </w:r>
      <w:r>
        <w:rPr>
          <w:rFonts w:hint="eastAsia"/>
          <w:bCs/>
          <w:sz w:val="24"/>
          <w:lang w:eastAsia="zh-CN"/>
        </w:rPr>
        <w:t>比选文件中要求列入参选的费用，漏（缺）报的视同已含在参选总价中。</w:t>
      </w:r>
    </w:p>
    <w:p>
      <w:pPr>
        <w:pStyle w:val="2"/>
      </w:pPr>
    </w:p>
    <w:p>
      <w:pPr>
        <w:spacing w:line="321" w:lineRule="auto"/>
        <w:rPr>
          <w:lang w:eastAsia="zh-CN"/>
        </w:rPr>
        <w:sectPr>
          <w:pgSz w:w="11910" w:h="16840"/>
          <w:pgMar w:top="1420" w:right="1020" w:bottom="740" w:left="1300" w:header="0" w:footer="551" w:gutter="0"/>
          <w:cols w:space="720" w:num="1"/>
        </w:sectPr>
      </w:pPr>
    </w:p>
    <w:p>
      <w:pPr>
        <w:pStyle w:val="3"/>
        <w:tabs>
          <w:tab w:val="left" w:pos="4627"/>
        </w:tabs>
        <w:spacing w:line="355" w:lineRule="exact"/>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pPr>
        <w:pStyle w:val="14"/>
        <w:spacing w:before="3" w:line="360" w:lineRule="auto"/>
        <w:rPr>
          <w:lang w:eastAsia="zh-CN"/>
        </w:rPr>
      </w:pPr>
    </w:p>
    <w:p>
      <w:pPr>
        <w:pStyle w:val="14"/>
        <w:spacing w:before="3" w:line="360" w:lineRule="auto"/>
        <w:ind w:firstLine="480" w:firstLineChars="200"/>
        <w:rPr>
          <w:b/>
          <w:sz w:val="26"/>
          <w:lang w:eastAsia="zh-CN"/>
        </w:rPr>
      </w:pPr>
      <w:r>
        <w:rPr>
          <w:rFonts w:hint="eastAsia"/>
          <w:lang w:eastAsia="zh-CN"/>
        </w:rPr>
        <w:t>参选人应严格按照比选文件的要求和格式编制参选文件。参选人可以根据需要增加说明或描述性文字。参选人必须提交证明其有资格进行参选和有能力履行合同的资格证明文件，作为参选文件的一部分。若未提供比选文件所要求的证明文件，可能导致废标的结果。</w:t>
      </w:r>
    </w:p>
    <w:p>
      <w:pPr>
        <w:spacing w:before="15" w:line="360" w:lineRule="auto"/>
        <w:ind w:left="538"/>
        <w:rPr>
          <w:b/>
          <w:sz w:val="28"/>
          <w:lang w:eastAsia="zh-CN"/>
        </w:rPr>
      </w:pPr>
      <w:r>
        <w:rPr>
          <w:b/>
          <w:w w:val="95"/>
          <w:sz w:val="28"/>
          <w:lang w:eastAsia="zh-CN"/>
        </w:rPr>
        <w:t>一、参选文件的组成：</w:t>
      </w:r>
    </w:p>
    <w:p>
      <w:pPr>
        <w:pStyle w:val="14"/>
        <w:spacing w:line="360" w:lineRule="auto"/>
        <w:ind w:right="92" w:firstLine="480"/>
        <w:rPr>
          <w:lang w:eastAsia="zh-CN"/>
        </w:rPr>
      </w:pPr>
      <w:r>
        <w:rPr>
          <w:lang w:eastAsia="zh-CN"/>
        </w:rPr>
        <w:t>①参选单位企业概况（企业简介、经营状况、业绩</w:t>
      </w:r>
      <w:r>
        <w:rPr>
          <w:rFonts w:hint="eastAsia"/>
          <w:lang w:eastAsia="zh-CN"/>
        </w:rPr>
        <w:t>等</w:t>
      </w:r>
      <w:r>
        <w:rPr>
          <w:lang w:eastAsia="zh-CN"/>
        </w:rPr>
        <w:t>）、营业执照、资质证书、组织机构代码证、税务登记证（经年检或年审合格的）等。</w:t>
      </w:r>
    </w:p>
    <w:p>
      <w:pPr>
        <w:pStyle w:val="14"/>
        <w:spacing w:before="23" w:line="360" w:lineRule="auto"/>
        <w:ind w:right="92" w:firstLine="480"/>
        <w:rPr>
          <w:lang w:eastAsia="zh-CN"/>
        </w:rPr>
      </w:pPr>
      <w:r>
        <w:rPr>
          <w:spacing w:val="-7"/>
          <w:lang w:eastAsia="zh-CN"/>
        </w:rPr>
        <w:t>②有良好</w:t>
      </w:r>
      <w:r>
        <w:rPr>
          <w:rFonts w:hint="eastAsia"/>
          <w:spacing w:val="-7"/>
          <w:lang w:eastAsia="zh-CN"/>
        </w:rPr>
        <w:t>相似企业</w:t>
      </w:r>
      <w:r>
        <w:rPr>
          <w:spacing w:val="-7"/>
          <w:lang w:eastAsia="zh-CN"/>
        </w:rPr>
        <w:t>工程</w:t>
      </w:r>
      <w:r>
        <w:rPr>
          <w:rFonts w:hint="eastAsia"/>
          <w:spacing w:val="-7"/>
          <w:lang w:eastAsia="zh-CN"/>
        </w:rPr>
        <w:t>项目</w:t>
      </w:r>
      <w:r>
        <w:rPr>
          <w:spacing w:val="-7"/>
          <w:lang w:eastAsia="zh-CN"/>
        </w:rPr>
        <w:t>业绩的证明</w:t>
      </w:r>
      <w:r>
        <w:rPr>
          <w:rFonts w:hint="eastAsia"/>
          <w:spacing w:val="-7"/>
          <w:lang w:eastAsia="zh-CN"/>
        </w:rPr>
        <w:t>，</w:t>
      </w:r>
      <w:r>
        <w:rPr>
          <w:spacing w:val="-5"/>
          <w:lang w:eastAsia="zh-CN"/>
        </w:rPr>
        <w:t>凡弄虚作假的，一经查实，比选人有权取消其中选资格。</w:t>
      </w:r>
    </w:p>
    <w:p>
      <w:pPr>
        <w:pStyle w:val="14"/>
        <w:spacing w:before="26" w:line="360" w:lineRule="auto"/>
        <w:ind w:right="222" w:firstLine="480"/>
        <w:rPr>
          <w:lang w:eastAsia="zh-CN"/>
        </w:rPr>
      </w:pPr>
      <w:r>
        <w:rPr>
          <w:spacing w:val="-6"/>
          <w:lang w:eastAsia="zh-CN"/>
        </w:rPr>
        <w:t>③参选单位出具业务联系人的授权代表证明，业务联系人或被授权代表变更时应取得相应的具有法律效力的证明材料</w:t>
      </w:r>
      <w:r>
        <w:rPr>
          <w:rFonts w:hint="eastAsia"/>
          <w:spacing w:val="-6"/>
          <w:lang w:eastAsia="zh-CN"/>
        </w:rPr>
        <w:t>。</w:t>
      </w:r>
    </w:p>
    <w:p>
      <w:pPr>
        <w:pStyle w:val="14"/>
        <w:spacing w:before="26" w:line="360" w:lineRule="auto"/>
        <w:ind w:firstLine="480" w:firstLineChars="200"/>
        <w:rPr>
          <w:lang w:eastAsia="zh-CN"/>
        </w:rPr>
      </w:pPr>
      <w:r>
        <w:rPr>
          <w:lang w:eastAsia="zh-CN"/>
        </w:rPr>
        <w:t>④提供参选报价表(详见附件</w:t>
      </w:r>
      <w:r>
        <w:rPr>
          <w:rFonts w:hint="eastAsia"/>
          <w:lang w:eastAsia="zh-CN"/>
        </w:rPr>
        <w:t>二</w:t>
      </w:r>
      <w:r>
        <w:rPr>
          <w:lang w:eastAsia="zh-CN"/>
        </w:rPr>
        <w:t>)。</w:t>
      </w:r>
    </w:p>
    <w:p>
      <w:pPr>
        <w:pStyle w:val="14"/>
        <w:spacing w:before="26" w:line="360" w:lineRule="auto"/>
        <w:ind w:firstLine="480" w:firstLineChars="200"/>
        <w:rPr>
          <w:b/>
          <w:lang w:eastAsia="zh-CN"/>
        </w:rPr>
      </w:pPr>
      <w:r>
        <w:rPr>
          <w:lang w:eastAsia="zh-CN"/>
        </w:rPr>
        <w:t>以上①至</w:t>
      </w:r>
      <w:r>
        <w:rPr>
          <w:spacing w:val="-6"/>
          <w:lang w:eastAsia="zh-CN"/>
        </w:rPr>
        <w:t>③</w:t>
      </w:r>
      <w:r>
        <w:rPr>
          <w:lang w:eastAsia="zh-CN"/>
        </w:rPr>
        <w:t>项内容</w:t>
      </w:r>
      <w:r>
        <w:rPr>
          <w:rFonts w:hint="eastAsia"/>
          <w:b/>
          <w:bCs/>
          <w:lang w:eastAsia="zh-CN"/>
        </w:rPr>
        <w:t>装订</w:t>
      </w:r>
      <w:r>
        <w:rPr>
          <w:lang w:eastAsia="zh-CN"/>
        </w:rPr>
        <w:t>密封并加盖公章</w:t>
      </w:r>
      <w:r>
        <w:rPr>
          <w:rFonts w:hint="eastAsia"/>
          <w:lang w:eastAsia="zh-CN"/>
        </w:rPr>
        <w:t>（一正两副）</w:t>
      </w:r>
      <w:r>
        <w:rPr>
          <w:lang w:eastAsia="zh-CN"/>
        </w:rPr>
        <w:t>。</w:t>
      </w:r>
      <w:r>
        <w:rPr>
          <w:rFonts w:hint="eastAsia"/>
          <w:lang w:eastAsia="zh-CN"/>
        </w:rPr>
        <w:t>即</w:t>
      </w:r>
      <w:r>
        <w:rPr>
          <w:rFonts w:hint="eastAsia"/>
          <w:b/>
          <w:u w:val="double"/>
          <w:lang w:eastAsia="zh-CN"/>
        </w:rPr>
        <w:t>参选文件正本及副本密封在一个信封</w:t>
      </w:r>
      <w:r>
        <w:rPr>
          <w:rFonts w:hint="eastAsia"/>
          <w:lang w:eastAsia="zh-CN"/>
        </w:rPr>
        <w:t>，并标明比选编号、参选名称及正本或副本。信封上注明“于年月日时之前（指参选规定的开标日期及时间）不准启封”的字样。</w:t>
      </w:r>
      <w:r>
        <w:rPr>
          <w:rFonts w:hint="eastAsia"/>
          <w:b/>
          <w:lang w:eastAsia="zh-CN"/>
        </w:rPr>
        <w:t>（注：报价表须独立盖章密封）</w:t>
      </w:r>
    </w:p>
    <w:p>
      <w:pPr>
        <w:pStyle w:val="14"/>
        <w:spacing w:before="26" w:line="360" w:lineRule="auto"/>
        <w:ind w:firstLine="482" w:firstLineChars="200"/>
        <w:rPr>
          <w:lang w:eastAsia="zh-CN"/>
        </w:rPr>
      </w:pPr>
      <w:r>
        <w:rPr>
          <w:rFonts w:hint="eastAsia"/>
          <w:b/>
          <w:lang w:eastAsia="zh-CN"/>
        </w:rPr>
        <w:t>须提供电子版参选文件及报价表（电子U盘 盖公章的PDF版）</w:t>
      </w:r>
    </w:p>
    <w:p>
      <w:pPr>
        <w:pStyle w:val="3"/>
        <w:ind w:left="0" w:firstLine="534" w:firstLineChars="200"/>
        <w:rPr>
          <w:lang w:eastAsia="zh-CN"/>
        </w:rPr>
      </w:pPr>
      <w:r>
        <w:rPr>
          <w:w w:val="95"/>
          <w:lang w:eastAsia="zh-CN"/>
        </w:rPr>
        <w:t>二、参选书格式内容</w:t>
      </w:r>
    </w:p>
    <w:p>
      <w:pPr>
        <w:pStyle w:val="14"/>
        <w:spacing w:before="240" w:line="360" w:lineRule="auto"/>
        <w:ind w:firstLine="480" w:firstLineChars="200"/>
        <w:rPr>
          <w:lang w:eastAsia="zh-CN"/>
        </w:rPr>
      </w:pPr>
      <w:r>
        <w:rPr>
          <w:rFonts w:hint="eastAsia"/>
          <w:lang w:eastAsia="zh-CN"/>
        </w:rPr>
        <w:t>参选人应仔细阅读比选文件的所有内容，按照比选文件的要求提交参选文件。参选文件应对比选文件的要求作出实质性响应，并保证所提供的全部资料的真实性，否则，</w:t>
      </w:r>
      <w:r>
        <w:rPr>
          <w:rFonts w:hint="eastAsia"/>
          <w:b/>
          <w:lang w:eastAsia="zh-CN"/>
        </w:rPr>
        <w:t>其参选将被拒绝。</w:t>
      </w:r>
      <w:r>
        <w:rPr>
          <w:lang w:eastAsia="zh-CN"/>
        </w:rPr>
        <w:t>参选人应按附件二格式内容要求进行参选</w:t>
      </w:r>
      <w:r>
        <w:rPr>
          <w:rFonts w:hint="eastAsia"/>
          <w:lang w:eastAsia="zh-CN"/>
        </w:rPr>
        <w:t>文件</w:t>
      </w:r>
      <w:r>
        <w:rPr>
          <w:lang w:eastAsia="zh-CN"/>
        </w:rPr>
        <w:t>的编制</w:t>
      </w:r>
      <w:r>
        <w:rPr>
          <w:rFonts w:hint="eastAsia"/>
          <w:lang w:eastAsia="zh-CN"/>
        </w:rPr>
        <w:t>，完整提供比选文件附件二所规定的全部资格证明文件并按规定盖章和签署。</w:t>
      </w:r>
    </w:p>
    <w:p>
      <w:pPr>
        <w:pStyle w:val="14"/>
        <w:spacing w:line="360" w:lineRule="auto"/>
        <w:ind w:firstLine="480" w:firstLineChars="200"/>
        <w:rPr>
          <w:lang w:eastAsia="zh-CN"/>
        </w:rPr>
      </w:pPr>
      <w:r>
        <w:rPr>
          <w:rFonts w:hint="eastAsia"/>
          <w:lang w:eastAsia="zh-CN"/>
        </w:rPr>
        <w:t>备注：参选人应向比选人提供内容一致的</w:t>
      </w:r>
      <w:r>
        <w:rPr>
          <w:rFonts w:hint="eastAsia"/>
          <w:u w:val="single"/>
          <w:lang w:eastAsia="zh-CN"/>
        </w:rPr>
        <w:t xml:space="preserve"> 3套 </w:t>
      </w:r>
      <w:r>
        <w:rPr>
          <w:rFonts w:hint="eastAsia"/>
          <w:lang w:eastAsia="zh-CN"/>
        </w:rPr>
        <w:t>参选文件（含PDF电子版U盘）。</w:t>
      </w:r>
    </w:p>
    <w:p>
      <w:pPr>
        <w:pStyle w:val="3"/>
        <w:spacing w:line="360" w:lineRule="auto"/>
        <w:ind w:left="0" w:firstLine="534" w:firstLineChars="200"/>
        <w:rPr>
          <w:lang w:eastAsia="zh-CN"/>
        </w:rPr>
      </w:pPr>
      <w:r>
        <w:rPr>
          <w:w w:val="95"/>
          <w:lang w:eastAsia="zh-CN"/>
        </w:rPr>
        <w:t>三、参选报价</w:t>
      </w:r>
    </w:p>
    <w:p>
      <w:pPr>
        <w:pStyle w:val="14"/>
        <w:spacing w:line="360" w:lineRule="auto"/>
        <w:ind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pPr>
        <w:pStyle w:val="3"/>
        <w:spacing w:before="30"/>
        <w:ind w:left="0" w:firstLine="534" w:firstLineChars="200"/>
        <w:rPr>
          <w:lang w:eastAsia="zh-CN"/>
        </w:rPr>
      </w:pPr>
      <w:r>
        <w:rPr>
          <w:w w:val="95"/>
          <w:lang w:eastAsia="zh-CN"/>
        </w:rPr>
        <w:t>四、特别说明</w:t>
      </w:r>
    </w:p>
    <w:p>
      <w:pPr>
        <w:pStyle w:val="14"/>
        <w:spacing w:before="183" w:line="360" w:lineRule="auto"/>
        <w:ind w:left="119" w:leftChars="54" w:right="222" w:firstLine="480" w:firstLineChars="200"/>
        <w:rPr>
          <w:lang w:eastAsia="zh-CN"/>
        </w:rPr>
      </w:pPr>
      <w:r>
        <w:rPr>
          <w:lang w:eastAsia="zh-CN"/>
        </w:rPr>
        <w:t>1.</w:t>
      </w:r>
      <w:r>
        <w:rPr>
          <w:spacing w:val="-5"/>
          <w:lang w:eastAsia="zh-CN"/>
        </w:rPr>
        <w:t>参选人承担所有与准备和参加比选有关的费用。</w:t>
      </w:r>
      <w:r>
        <w:rPr>
          <w:rFonts w:hint="eastAsia"/>
          <w:lang w:eastAsia="zh-CN"/>
        </w:rPr>
        <w:t>无论比选过程中的作法和结果如何，</w:t>
      </w:r>
      <w:r>
        <w:rPr>
          <w:spacing w:val="-5"/>
          <w:lang w:eastAsia="zh-CN"/>
        </w:rPr>
        <w:t>比选机构和比选人均无义务和责任承担这些费用</w:t>
      </w:r>
      <w:r>
        <w:rPr>
          <w:rFonts w:hint="eastAsia"/>
          <w:spacing w:val="-5"/>
          <w:lang w:eastAsia="zh-CN"/>
        </w:rPr>
        <w:t>，参选</w:t>
      </w:r>
      <w:r>
        <w:rPr>
          <w:rFonts w:hint="eastAsia"/>
          <w:lang w:eastAsia="zh-CN"/>
        </w:rPr>
        <w:t>人应自行承担所有与参加投标有关的全部费用。</w:t>
      </w:r>
    </w:p>
    <w:p>
      <w:pPr>
        <w:pStyle w:val="14"/>
        <w:spacing w:line="360" w:lineRule="auto"/>
        <w:ind w:left="119" w:right="224" w:firstLine="482"/>
        <w:rPr>
          <w:lang w:eastAsia="zh-CN"/>
        </w:rPr>
      </w:pPr>
      <w:r>
        <w:rPr>
          <w:lang w:eastAsia="zh-CN"/>
        </w:rPr>
        <w:t>2.</w:t>
      </w:r>
      <w:r>
        <w:rPr>
          <w:spacing w:val="-9"/>
          <w:lang w:eastAsia="zh-CN"/>
        </w:rPr>
        <w:t>参选</w:t>
      </w:r>
      <w:r>
        <w:rPr>
          <w:rFonts w:hint="eastAsia"/>
          <w:spacing w:val="-9"/>
          <w:lang w:eastAsia="zh-CN"/>
        </w:rPr>
        <w:t>人</w:t>
      </w:r>
      <w:r>
        <w:rPr>
          <w:spacing w:val="-9"/>
          <w:lang w:eastAsia="zh-CN"/>
        </w:rPr>
        <w:t>收到比选文件后，如有疑问需要澄清，请以书面形式在规定时间内报比选人汇总。</w:t>
      </w:r>
    </w:p>
    <w:p>
      <w:pPr>
        <w:pStyle w:val="14"/>
        <w:spacing w:before="35" w:line="360" w:lineRule="auto"/>
        <w:ind w:left="119" w:right="226" w:firstLine="482"/>
        <w:jc w:val="both"/>
        <w:rPr>
          <w:spacing w:val="-9"/>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pStyle w:val="15"/>
        <w:spacing w:line="460" w:lineRule="exact"/>
        <w:ind w:left="0" w:leftChars="0" w:firstLine="435" w:firstLineChars="196"/>
        <w:rPr>
          <w:b/>
          <w:bCs/>
          <w:sz w:val="24"/>
          <w:szCs w:val="24"/>
          <w:u w:val="double"/>
          <w:lang w:eastAsia="zh-CN"/>
        </w:rPr>
      </w:pPr>
      <w:r>
        <w:rPr>
          <w:rFonts w:hint="eastAsia"/>
          <w:spacing w:val="-9"/>
          <w:sz w:val="24"/>
          <w:szCs w:val="24"/>
          <w:lang w:eastAsia="zh-CN"/>
        </w:rPr>
        <w:t>4.</w:t>
      </w:r>
      <w:r>
        <w:rPr>
          <w:rFonts w:hint="eastAsia"/>
          <w:bCs/>
          <w:sz w:val="24"/>
          <w:szCs w:val="24"/>
          <w:lang w:eastAsia="zh-CN"/>
        </w:rPr>
        <w:t xml:space="preserve"> 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 “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pPr>
        <w:pStyle w:val="14"/>
        <w:spacing w:before="35" w:line="360" w:lineRule="auto"/>
        <w:ind w:right="226" w:firstLine="480" w:firstLineChars="200"/>
        <w:jc w:val="both"/>
        <w:rPr>
          <w:bCs/>
          <w:lang w:eastAsia="zh-CN"/>
        </w:rPr>
      </w:pPr>
      <w:r>
        <w:rPr>
          <w:rFonts w:hint="eastAsia"/>
          <w:lang w:eastAsia="zh-CN"/>
        </w:rPr>
        <w:t>5.参选</w:t>
      </w:r>
      <w:r>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pPr>
        <w:pStyle w:val="14"/>
        <w:spacing w:before="35" w:line="360" w:lineRule="auto"/>
        <w:ind w:right="227" w:firstLine="482"/>
        <w:jc w:val="both"/>
        <w:rPr>
          <w:lang w:eastAsia="zh-CN"/>
        </w:rPr>
      </w:pPr>
      <w:r>
        <w:rPr>
          <w:rFonts w:hint="eastAsia"/>
          <w:lang w:eastAsia="zh-CN"/>
        </w:rPr>
        <w:t>6. 参选文件对比选文件未提出异议的条款，均被视为参选人已接受和同意。参选文件与比选文件有差异之处，均应按“偏离表”的格式统一汇总说明。</w:t>
      </w:r>
      <w:bookmarkStart w:id="0" w:name="_Toc430492133"/>
      <w:bookmarkStart w:id="1" w:name="_Toc430489126"/>
      <w:bookmarkStart w:id="2" w:name="_Toc177186249"/>
      <w:bookmarkStart w:id="3" w:name="_Toc430490619"/>
      <w:bookmarkStart w:id="4" w:name="_Toc304357904"/>
      <w:bookmarkStart w:id="5" w:name="_Toc430422420"/>
      <w:bookmarkStart w:id="6" w:name="_Toc430488858"/>
      <w:bookmarkStart w:id="7" w:name="_Toc415567504"/>
      <w:bookmarkStart w:id="8" w:name="_Toc430488651"/>
    </w:p>
    <w:p>
      <w:pPr>
        <w:pStyle w:val="14"/>
        <w:spacing w:line="360" w:lineRule="auto"/>
        <w:ind w:right="227" w:firstLine="482"/>
        <w:jc w:val="both"/>
        <w:rPr>
          <w:lang w:eastAsia="zh-CN"/>
        </w:rPr>
      </w:pPr>
      <w:r>
        <w:rPr>
          <w:rFonts w:hint="eastAsia" w:asciiTheme="majorEastAsia" w:hAnsiTheme="majorEastAsia" w:eastAsiaTheme="majorEastAsia"/>
          <w:lang w:eastAsia="zh-CN"/>
        </w:rPr>
        <w:t>7. 参选报价</w:t>
      </w:r>
      <w:bookmarkEnd w:id="0"/>
      <w:bookmarkEnd w:id="1"/>
      <w:bookmarkEnd w:id="2"/>
      <w:bookmarkEnd w:id="3"/>
      <w:bookmarkEnd w:id="4"/>
      <w:bookmarkEnd w:id="5"/>
      <w:bookmarkEnd w:id="6"/>
      <w:bookmarkEnd w:id="7"/>
      <w:bookmarkEnd w:id="8"/>
    </w:p>
    <w:p>
      <w:pPr>
        <w:spacing w:line="480" w:lineRule="exact"/>
        <w:ind w:firstLine="480" w:firstLineChars="200"/>
        <w:rPr>
          <w:rFonts w:cs="黑体"/>
          <w:b/>
          <w:sz w:val="24"/>
          <w:lang w:eastAsia="zh-CN"/>
        </w:rPr>
      </w:pPr>
      <w:r>
        <w:rPr>
          <w:rFonts w:hint="eastAsia"/>
          <w:sz w:val="24"/>
          <w:lang w:eastAsia="zh-CN"/>
        </w:rPr>
        <w:t>7.1 参选人应在参选文件所附的参选报价表上写明参选总价。</w:t>
      </w:r>
    </w:p>
    <w:p>
      <w:pPr>
        <w:spacing w:line="480" w:lineRule="exact"/>
        <w:ind w:firstLine="480" w:firstLineChars="200"/>
        <w:rPr>
          <w:sz w:val="24"/>
          <w:lang w:eastAsia="zh-CN"/>
        </w:rPr>
      </w:pPr>
      <w:r>
        <w:rPr>
          <w:rFonts w:hint="eastAsia"/>
          <w:sz w:val="24"/>
          <w:lang w:eastAsia="zh-CN"/>
        </w:rPr>
        <w:t>7.2 参选报价将按照参选文件第</w:t>
      </w:r>
      <w:r>
        <w:rPr>
          <w:rFonts w:hint="eastAsia"/>
          <w:b/>
          <w:sz w:val="24"/>
          <w:lang w:eastAsia="zh-CN"/>
        </w:rPr>
        <w:t>4</w:t>
      </w:r>
      <w:r>
        <w:rPr>
          <w:rFonts w:hint="eastAsia"/>
          <w:sz w:val="24"/>
          <w:lang w:eastAsia="zh-CN"/>
        </w:rPr>
        <w:t>章“评选规则”的规定进行。</w:t>
      </w:r>
    </w:p>
    <w:p>
      <w:pPr>
        <w:spacing w:line="500" w:lineRule="exact"/>
        <w:ind w:firstLine="480" w:firstLineChars="200"/>
        <w:rPr>
          <w:rFonts w:cs="黑体"/>
          <w:b/>
          <w:sz w:val="24"/>
          <w:szCs w:val="24"/>
          <w:lang w:eastAsia="zh-CN"/>
        </w:rPr>
      </w:pPr>
      <w:r>
        <w:rPr>
          <w:rFonts w:hint="eastAsia"/>
          <w:sz w:val="24"/>
          <w:szCs w:val="24"/>
          <w:lang w:eastAsia="zh-CN"/>
        </w:rPr>
        <w:t>7.3 除非另有规定或许可，国内参选人应用人民币报价。</w:t>
      </w:r>
    </w:p>
    <w:p>
      <w:pPr>
        <w:spacing w:line="500" w:lineRule="exact"/>
        <w:ind w:firstLine="480" w:firstLineChars="200"/>
        <w:rPr>
          <w:rFonts w:cs="黑体"/>
          <w:sz w:val="24"/>
          <w:szCs w:val="24"/>
          <w:lang w:eastAsia="zh-CN"/>
        </w:rPr>
      </w:pPr>
      <w:r>
        <w:rPr>
          <w:rFonts w:hint="eastAsia"/>
          <w:sz w:val="24"/>
          <w:szCs w:val="24"/>
          <w:lang w:eastAsia="zh-CN"/>
        </w:rPr>
        <w:t>7.4</w:t>
      </w:r>
      <w:r>
        <w:rPr>
          <w:rFonts w:hint="eastAsia"/>
          <w:b/>
          <w:sz w:val="24"/>
          <w:szCs w:val="24"/>
          <w:lang w:eastAsia="zh-CN"/>
        </w:rPr>
        <w:t xml:space="preserve"> </w:t>
      </w:r>
      <w:r>
        <w:rPr>
          <w:rFonts w:hint="eastAsia"/>
          <w:sz w:val="24"/>
          <w:szCs w:val="24"/>
          <w:lang w:eastAsia="zh-CN"/>
        </w:rPr>
        <w:t>参选人对每项内容只允许有一个报价，比选人不接受有任何选择的报价。</w:t>
      </w:r>
    </w:p>
    <w:p>
      <w:pPr>
        <w:pStyle w:val="14"/>
        <w:spacing w:before="35" w:line="360" w:lineRule="auto"/>
        <w:ind w:right="226" w:firstLine="480"/>
        <w:jc w:val="both"/>
        <w:rPr>
          <w:lang w:eastAsia="zh-CN"/>
        </w:rPr>
      </w:pPr>
      <w:r>
        <w:rPr>
          <w:rFonts w:hint="eastAsia"/>
          <w:lang w:eastAsia="zh-CN"/>
        </w:rPr>
        <w:t>7.5 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pPr>
        <w:pStyle w:val="14"/>
        <w:spacing w:before="35" w:line="360" w:lineRule="auto"/>
        <w:ind w:right="226" w:firstLine="480"/>
        <w:jc w:val="both"/>
        <w:rPr>
          <w:lang w:eastAsia="zh-CN"/>
        </w:rPr>
      </w:pPr>
      <w:r>
        <w:rPr>
          <w:rFonts w:hint="eastAsia"/>
          <w:lang w:eastAsia="zh-CN"/>
        </w:rPr>
        <w:t>8. 参选人必须提交证明其有资格进行参选和有能力履行合同的资格证明文件，作为参选文件的一部分。</w:t>
      </w:r>
    </w:p>
    <w:p>
      <w:pPr>
        <w:spacing w:line="360" w:lineRule="auto"/>
        <w:ind w:firstLine="440" w:firstLineChars="200"/>
        <w:rPr>
          <w:sz w:val="24"/>
          <w:lang w:eastAsia="zh-CN"/>
        </w:rPr>
      </w:pPr>
      <w:r>
        <w:rPr>
          <w:rFonts w:hint="eastAsia"/>
          <w:lang w:eastAsia="zh-CN"/>
        </w:rPr>
        <w:t>9.参选</w:t>
      </w:r>
      <w:r>
        <w:rPr>
          <w:rFonts w:hint="eastAsia"/>
          <w:sz w:val="24"/>
          <w:lang w:eastAsia="zh-CN"/>
        </w:rPr>
        <w:t>文件的正本和副本均需打（复）印或使用不褪色的蓝、黑墨水笔书写，字迹应清晰易于辨认，并应在投标文件封面上清楚的注明“正本”或“副本”。正本与副本如有不一致之处，则以正本为准。</w:t>
      </w:r>
    </w:p>
    <w:p>
      <w:pPr>
        <w:pStyle w:val="14"/>
        <w:spacing w:before="35" w:line="360" w:lineRule="auto"/>
        <w:ind w:right="226" w:firstLine="480"/>
        <w:jc w:val="both"/>
        <w:rPr>
          <w:lang w:eastAsia="zh-CN"/>
        </w:rPr>
      </w:pPr>
      <w:r>
        <w:rPr>
          <w:rFonts w:hint="eastAsia"/>
          <w:lang w:eastAsia="zh-CN"/>
        </w:rPr>
        <w:t>10. 参选文件正本应按要求由经正式授权的参选人代表签字并加盖参选人公章。副本可以用复印件。</w:t>
      </w:r>
    </w:p>
    <w:p>
      <w:pPr>
        <w:spacing w:line="357" w:lineRule="auto"/>
        <w:jc w:val="both"/>
        <w:rPr>
          <w:lang w:eastAsia="zh-CN"/>
        </w:rPr>
        <w:sectPr>
          <w:pgSz w:w="11910" w:h="16840"/>
          <w:pgMar w:top="1500" w:right="1020" w:bottom="740" w:left="1300" w:header="0" w:footer="551" w:gutter="0"/>
          <w:cols w:space="720" w:num="1"/>
        </w:sectPr>
      </w:pPr>
    </w:p>
    <w:p>
      <w:pPr>
        <w:pStyle w:val="3"/>
        <w:tabs>
          <w:tab w:val="left" w:pos="1488"/>
        </w:tabs>
        <w:spacing w:line="355" w:lineRule="exact"/>
        <w:ind w:left="365"/>
        <w:jc w:val="center"/>
        <w:rPr>
          <w:w w:val="95"/>
          <w:lang w:eastAsia="zh-CN"/>
        </w:rPr>
      </w:pPr>
      <w:r>
        <w:rPr>
          <w:lang w:eastAsia="zh-CN"/>
        </w:rPr>
        <w:t>第四章</w:t>
      </w:r>
      <w:r>
        <w:rPr>
          <w:lang w:eastAsia="zh-CN"/>
        </w:rPr>
        <w:tab/>
      </w:r>
      <w:r>
        <w:rPr>
          <w:spacing w:val="-1"/>
          <w:w w:val="95"/>
          <w:lang w:eastAsia="zh-CN"/>
        </w:rPr>
        <w:t>评</w:t>
      </w:r>
      <w:r>
        <w:rPr>
          <w:rFonts w:hint="eastAsia"/>
          <w:spacing w:val="-1"/>
          <w:w w:val="95"/>
          <w:lang w:eastAsia="zh-CN"/>
        </w:rPr>
        <w:t>选</w:t>
      </w:r>
      <w:r>
        <w:rPr>
          <w:spacing w:val="-1"/>
          <w:w w:val="95"/>
          <w:lang w:eastAsia="zh-CN"/>
        </w:rPr>
        <w:t>规</w:t>
      </w:r>
      <w:r>
        <w:rPr>
          <w:w w:val="95"/>
          <w:lang w:eastAsia="zh-CN"/>
        </w:rPr>
        <w:t>则</w:t>
      </w:r>
    </w:p>
    <w:p>
      <w:pPr>
        <w:spacing w:before="15" w:line="360" w:lineRule="auto"/>
        <w:ind w:firstLine="343" w:firstLineChars="150"/>
        <w:rPr>
          <w:b/>
          <w:w w:val="95"/>
          <w:sz w:val="24"/>
          <w:szCs w:val="24"/>
          <w:lang w:eastAsia="zh-CN"/>
        </w:rPr>
      </w:pPr>
      <w:r>
        <w:rPr>
          <w:b/>
          <w:w w:val="95"/>
          <w:sz w:val="24"/>
          <w:szCs w:val="24"/>
          <w:lang w:eastAsia="zh-CN"/>
        </w:rPr>
        <w:t>一、规则</w:t>
      </w:r>
    </w:p>
    <w:p>
      <w:pPr>
        <w:pStyle w:val="14"/>
        <w:spacing w:line="360" w:lineRule="auto"/>
        <w:ind w:right="121" w:firstLine="480" w:firstLineChars="200"/>
        <w:jc w:val="both"/>
        <w:rPr>
          <w:lang w:eastAsia="zh-CN"/>
        </w:rPr>
      </w:pPr>
      <w:r>
        <w:rPr>
          <w:lang w:eastAsia="zh-CN"/>
        </w:rPr>
        <w:t>1.比选人将</w:t>
      </w:r>
      <w:r>
        <w:rPr>
          <w:rFonts w:hint="eastAsia"/>
          <w:lang w:eastAsia="zh-CN"/>
        </w:rPr>
        <w:t>先对参选人的资质进行评选，参选人资质符合比选人要求后，方可进行下一轮商务报价评选。</w:t>
      </w:r>
    </w:p>
    <w:p>
      <w:pPr>
        <w:pStyle w:val="14"/>
        <w:spacing w:line="360" w:lineRule="auto"/>
        <w:ind w:right="121" w:firstLine="480" w:firstLineChars="200"/>
        <w:jc w:val="both"/>
        <w:rPr>
          <w:lang w:eastAsia="zh-CN"/>
        </w:rPr>
      </w:pPr>
      <w:r>
        <w:rPr>
          <w:lang w:eastAsia="zh-CN"/>
        </w:rPr>
        <w:t>2.参选人串选、相互勾结故意压低标价以排挤竞争对手的公平竞争的，其参选无效。</w:t>
      </w:r>
    </w:p>
    <w:p>
      <w:pPr>
        <w:pStyle w:val="14"/>
        <w:spacing w:line="360" w:lineRule="auto"/>
        <w:ind w:right="121" w:firstLine="480" w:firstLineChars="200"/>
        <w:jc w:val="both"/>
        <w:rPr>
          <w:lang w:eastAsia="zh-CN"/>
        </w:rPr>
      </w:pPr>
      <w:r>
        <w:rPr>
          <w:lang w:eastAsia="zh-CN"/>
        </w:rPr>
        <w:t>3.替补候选人的设定与使用：在合同签订前，比选单位发现参选人的参选报价或</w:t>
      </w:r>
      <w:r>
        <w:rPr>
          <w:rFonts w:hint="eastAsia"/>
          <w:lang w:eastAsia="zh-CN"/>
        </w:rPr>
        <w:t>服务</w:t>
      </w:r>
      <w:r>
        <w:rPr>
          <w:lang w:eastAsia="zh-CN"/>
        </w:rPr>
        <w:t>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pPr>
        <w:spacing w:before="15" w:line="360" w:lineRule="auto"/>
        <w:ind w:firstLine="458" w:firstLineChars="200"/>
        <w:rPr>
          <w:b/>
          <w:w w:val="95"/>
          <w:sz w:val="24"/>
          <w:szCs w:val="24"/>
          <w:lang w:eastAsia="zh-CN"/>
        </w:rPr>
      </w:pPr>
      <w:r>
        <w:rPr>
          <w:b/>
          <w:w w:val="95"/>
          <w:sz w:val="24"/>
          <w:szCs w:val="24"/>
          <w:lang w:eastAsia="zh-CN"/>
        </w:rPr>
        <w:t>二、资格审查</w:t>
      </w:r>
    </w:p>
    <w:p>
      <w:pPr>
        <w:pStyle w:val="14"/>
        <w:spacing w:line="360" w:lineRule="auto"/>
        <w:ind w:right="121" w:firstLine="480" w:firstLineChars="200"/>
        <w:jc w:val="both"/>
        <w:rPr>
          <w:lang w:eastAsia="zh-CN"/>
        </w:rPr>
      </w:pPr>
      <w:r>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spacing w:before="15" w:line="360" w:lineRule="auto"/>
        <w:ind w:firstLine="458" w:firstLineChars="200"/>
        <w:rPr>
          <w:b/>
          <w:w w:val="95"/>
          <w:sz w:val="24"/>
          <w:szCs w:val="24"/>
          <w:lang w:eastAsia="zh-CN"/>
        </w:rPr>
      </w:pPr>
      <w:r>
        <w:rPr>
          <w:b/>
          <w:w w:val="95"/>
          <w:sz w:val="24"/>
          <w:szCs w:val="24"/>
          <w:lang w:eastAsia="zh-CN"/>
        </w:rPr>
        <w:t>三、评选办法</w:t>
      </w:r>
    </w:p>
    <w:p>
      <w:pPr>
        <w:pStyle w:val="14"/>
        <w:spacing w:line="360" w:lineRule="auto"/>
        <w:ind w:right="121" w:firstLine="480" w:firstLineChars="200"/>
        <w:jc w:val="both"/>
        <w:rPr>
          <w:lang w:eastAsia="zh-CN"/>
        </w:rPr>
      </w:pPr>
      <w:r>
        <w:rPr>
          <w:rFonts w:hint="eastAsia"/>
          <w:lang w:eastAsia="zh-CN"/>
        </w:rPr>
        <w:t>本项目设置最高控制价</w:t>
      </w:r>
      <w:r>
        <w:rPr>
          <w:rFonts w:hint="eastAsia"/>
          <w:b/>
          <w:lang w:eastAsia="zh-CN"/>
        </w:rPr>
        <w:t>10.75万元整（含税价）</w:t>
      </w:r>
      <w:r>
        <w:rPr>
          <w:rFonts w:hint="eastAsia"/>
          <w:lang w:eastAsia="zh-CN"/>
        </w:rPr>
        <w:t>。参选人所填报的报价高于本项目最高限价的，其参选将被比选小组予以否决。</w:t>
      </w:r>
    </w:p>
    <w:p>
      <w:pPr>
        <w:pStyle w:val="14"/>
        <w:spacing w:line="360" w:lineRule="auto"/>
        <w:ind w:left="120" w:right="222" w:firstLine="480" w:firstLineChars="200"/>
        <w:rPr>
          <w:lang w:eastAsia="zh-CN"/>
        </w:rPr>
      </w:pPr>
      <w:r>
        <w:rPr>
          <w:rFonts w:hint="eastAsia"/>
          <w:lang w:eastAsia="zh-CN"/>
        </w:rPr>
        <w:t>本项目采用商务报价决标的评标办法，</w:t>
      </w:r>
      <w:r>
        <w:rPr>
          <w:lang w:eastAsia="zh-CN"/>
        </w:rPr>
        <w:t>评选委员会将对通过资格及实质响应性审查</w:t>
      </w:r>
      <w:r>
        <w:rPr>
          <w:rFonts w:hint="eastAsia"/>
          <w:lang w:eastAsia="zh-CN"/>
        </w:rPr>
        <w:t>符合要求</w:t>
      </w:r>
      <w:r>
        <w:rPr>
          <w:lang w:eastAsia="zh-CN"/>
        </w:rPr>
        <w:t>的各合格参选人，</w:t>
      </w:r>
      <w:r>
        <w:rPr>
          <w:rFonts w:hint="eastAsia"/>
          <w:lang w:eastAsia="zh-CN"/>
        </w:rPr>
        <w:t>进行商务报价的评选，未税总价最低者作为中选单位</w:t>
      </w:r>
      <w:r>
        <w:rPr>
          <w:lang w:eastAsia="zh-CN"/>
        </w:rPr>
        <w:t>。</w:t>
      </w:r>
    </w:p>
    <w:p>
      <w:pPr>
        <w:spacing w:before="15" w:line="360" w:lineRule="auto"/>
        <w:ind w:firstLine="458" w:firstLineChars="200"/>
        <w:rPr>
          <w:b/>
          <w:w w:val="95"/>
          <w:sz w:val="24"/>
          <w:szCs w:val="24"/>
          <w:lang w:eastAsia="zh-CN"/>
        </w:rPr>
      </w:pPr>
      <w:r>
        <w:rPr>
          <w:b/>
          <w:w w:val="95"/>
          <w:sz w:val="24"/>
          <w:szCs w:val="24"/>
          <w:lang w:eastAsia="zh-CN"/>
        </w:rPr>
        <w:t>四、以下情况作废选处理</w:t>
      </w:r>
    </w:p>
    <w:p>
      <w:pPr>
        <w:pStyle w:val="14"/>
        <w:spacing w:line="360" w:lineRule="auto"/>
        <w:ind w:right="121" w:firstLine="480" w:firstLineChars="200"/>
        <w:jc w:val="both"/>
        <w:rPr>
          <w:lang w:eastAsia="zh-CN"/>
        </w:rPr>
      </w:pPr>
      <w:r>
        <w:rPr>
          <w:lang w:eastAsia="zh-CN"/>
        </w:rPr>
        <w:t>1.对比选文件提出的实质性要求和条件，参选文件未能在实质上响应的。</w:t>
      </w:r>
    </w:p>
    <w:p>
      <w:pPr>
        <w:pStyle w:val="14"/>
        <w:spacing w:line="360" w:lineRule="auto"/>
        <w:ind w:right="121" w:firstLine="480" w:firstLineChars="200"/>
        <w:jc w:val="both"/>
        <w:rPr>
          <w:lang w:eastAsia="zh-CN"/>
        </w:rPr>
      </w:pPr>
      <w:r>
        <w:rPr>
          <w:lang w:eastAsia="zh-CN"/>
        </w:rPr>
        <w:t>2.参选文件存在重大偏差的。</w:t>
      </w:r>
    </w:p>
    <w:p>
      <w:pPr>
        <w:pStyle w:val="14"/>
        <w:spacing w:line="360" w:lineRule="auto"/>
        <w:ind w:right="121" w:firstLine="480" w:firstLineChars="200"/>
        <w:jc w:val="both"/>
        <w:rPr>
          <w:lang w:eastAsia="zh-CN"/>
        </w:rPr>
      </w:pPr>
      <w:r>
        <w:rPr>
          <w:rFonts w:hint="eastAsia"/>
          <w:lang w:eastAsia="zh-CN"/>
        </w:rPr>
        <w:t>3</w:t>
      </w:r>
      <w:r>
        <w:rPr>
          <w:lang w:eastAsia="zh-CN"/>
        </w:rPr>
        <w:t>.违反规定影响开选评选工作或采取其他方式对比选人施加影响的。</w:t>
      </w:r>
    </w:p>
    <w:p>
      <w:pPr>
        <w:pStyle w:val="14"/>
        <w:spacing w:line="360" w:lineRule="auto"/>
        <w:ind w:right="121" w:firstLine="480" w:firstLineChars="200"/>
        <w:jc w:val="both"/>
        <w:rPr>
          <w:lang w:eastAsia="zh-CN"/>
        </w:rPr>
      </w:pPr>
      <w:r>
        <w:rPr>
          <w:rFonts w:hint="eastAsia"/>
          <w:lang w:eastAsia="zh-CN"/>
        </w:rPr>
        <w:t>4</w:t>
      </w:r>
      <w:r>
        <w:rPr>
          <w:lang w:eastAsia="zh-CN"/>
        </w:rPr>
        <w:t>.参选人串标、相互勾结故意压低标价以排挤竞争对手的公平竞争的，其参选无效。</w:t>
      </w:r>
    </w:p>
    <w:p>
      <w:pPr>
        <w:spacing w:before="15" w:line="360" w:lineRule="auto"/>
        <w:ind w:firstLine="458" w:firstLineChars="200"/>
        <w:rPr>
          <w:b/>
          <w:w w:val="95"/>
          <w:sz w:val="24"/>
          <w:szCs w:val="24"/>
          <w:lang w:eastAsia="zh-CN"/>
        </w:rPr>
      </w:pPr>
      <w:r>
        <w:rPr>
          <w:b/>
          <w:w w:val="95"/>
          <w:sz w:val="24"/>
          <w:szCs w:val="24"/>
          <w:lang w:eastAsia="zh-CN"/>
        </w:rPr>
        <w:t>五、评选</w:t>
      </w:r>
    </w:p>
    <w:p>
      <w:pPr>
        <w:pStyle w:val="14"/>
        <w:spacing w:line="360" w:lineRule="auto"/>
        <w:ind w:right="121" w:firstLine="480" w:firstLineChars="200"/>
        <w:jc w:val="both"/>
        <w:rPr>
          <w:lang w:eastAsia="zh-CN"/>
        </w:rPr>
      </w:pPr>
      <w:r>
        <w:rPr>
          <w:lang w:eastAsia="zh-CN"/>
        </w:rPr>
        <w:t>1.比选人将在参选文件截止日期后组织比选会，参选人选定工作在比选人有关部门监督下，由比选人依法组建的评选委员会负责。</w:t>
      </w:r>
    </w:p>
    <w:p>
      <w:pPr>
        <w:pStyle w:val="14"/>
        <w:spacing w:line="360" w:lineRule="auto"/>
        <w:ind w:right="121" w:firstLine="480" w:firstLineChars="200"/>
        <w:jc w:val="both"/>
        <w:rPr>
          <w:lang w:eastAsia="zh-CN"/>
        </w:rPr>
      </w:pPr>
      <w:r>
        <w:rPr>
          <w:lang w:eastAsia="zh-CN"/>
        </w:rPr>
        <w:t>2.在开选时没有启封和读出的参选文件，在评选时将不予考虑。</w:t>
      </w:r>
    </w:p>
    <w:p>
      <w:pPr>
        <w:pStyle w:val="14"/>
        <w:spacing w:line="360" w:lineRule="auto"/>
        <w:ind w:right="121" w:firstLine="480" w:firstLineChars="200"/>
        <w:jc w:val="both"/>
        <w:rPr>
          <w:lang w:eastAsia="zh-CN"/>
        </w:rPr>
      </w:pPr>
      <w:r>
        <w:rPr>
          <w:lang w:eastAsia="zh-CN"/>
        </w:rPr>
        <w:t>3.比选人将做开选记录。</w:t>
      </w:r>
    </w:p>
    <w:p>
      <w:pPr>
        <w:pStyle w:val="14"/>
        <w:spacing w:line="360" w:lineRule="auto"/>
        <w:ind w:right="121" w:firstLine="480" w:firstLineChars="200"/>
        <w:jc w:val="both"/>
        <w:rPr>
          <w:lang w:eastAsia="zh-CN"/>
        </w:rPr>
      </w:pPr>
      <w:r>
        <w:rPr>
          <w:rFonts w:hint="eastAsia"/>
          <w:lang w:eastAsia="zh-CN"/>
        </w:rPr>
        <w:t>4.业主将根据评选结果与中选人签订合同。</w:t>
      </w:r>
    </w:p>
    <w:p>
      <w:pPr>
        <w:pStyle w:val="3"/>
        <w:tabs>
          <w:tab w:val="left" w:pos="1632"/>
        </w:tabs>
        <w:spacing w:line="355" w:lineRule="exact"/>
        <w:ind w:left="367" w:firstLine="3373" w:firstLineChars="1200"/>
        <w:jc w:val="both"/>
        <w:rPr>
          <w:lang w:eastAsia="zh-CN"/>
        </w:rPr>
      </w:pPr>
      <w:r>
        <w:rPr>
          <w:lang w:eastAsia="zh-CN"/>
        </w:rPr>
        <w:t>第五章</w:t>
      </w:r>
      <w:r>
        <w:rPr>
          <w:lang w:eastAsia="zh-CN"/>
        </w:rPr>
        <w:tab/>
      </w:r>
      <w:r>
        <w:rPr>
          <w:spacing w:val="-1"/>
          <w:w w:val="95"/>
          <w:lang w:eastAsia="zh-CN"/>
        </w:rPr>
        <w:t>合同授</w:t>
      </w:r>
      <w:r>
        <w:rPr>
          <w:w w:val="95"/>
          <w:lang w:eastAsia="zh-CN"/>
        </w:rPr>
        <w:t>予</w:t>
      </w:r>
    </w:p>
    <w:p>
      <w:pPr>
        <w:pStyle w:val="14"/>
        <w:spacing w:before="12"/>
        <w:rPr>
          <w:b/>
          <w:sz w:val="33"/>
          <w:lang w:eastAsia="zh-CN"/>
        </w:rPr>
      </w:pPr>
    </w:p>
    <w:p>
      <w:pPr>
        <w:pStyle w:val="14"/>
        <w:spacing w:line="360" w:lineRule="auto"/>
        <w:ind w:firstLine="480" w:firstLineChars="200"/>
        <w:rPr>
          <w:lang w:eastAsia="zh-CN"/>
        </w:rPr>
      </w:pPr>
      <w:r>
        <w:rPr>
          <w:lang w:eastAsia="zh-CN"/>
        </w:rPr>
        <w:t>1.比选人将把合同授予中选人</w:t>
      </w:r>
      <w:r>
        <w:rPr>
          <w:rFonts w:hint="eastAsia"/>
          <w:lang w:eastAsia="zh-CN"/>
        </w:rPr>
        <w:t>，</w:t>
      </w:r>
      <w:r>
        <w:rPr>
          <w:lang w:eastAsia="zh-CN"/>
        </w:rPr>
        <w:t>在授予前，仍需进行资格审查</w:t>
      </w:r>
      <w:r>
        <w:rPr>
          <w:rFonts w:hint="eastAsia"/>
          <w:lang w:eastAsia="zh-CN"/>
        </w:rPr>
        <w:t>。</w:t>
      </w:r>
    </w:p>
    <w:p>
      <w:pPr>
        <w:pStyle w:val="14"/>
        <w:spacing w:line="360" w:lineRule="auto"/>
        <w:ind w:firstLine="480" w:firstLineChars="200"/>
        <w:rPr>
          <w:lang w:eastAsia="zh-CN"/>
        </w:rPr>
      </w:pPr>
      <w:r>
        <w:rPr>
          <w:lang w:eastAsia="zh-CN"/>
        </w:rPr>
        <w:t>2.中选人确定后，比选</w:t>
      </w:r>
      <w:r>
        <w:rPr>
          <w:rFonts w:hint="eastAsia"/>
          <w:lang w:eastAsia="zh-CN"/>
        </w:rPr>
        <w:t>人</w:t>
      </w:r>
      <w:r>
        <w:rPr>
          <w:lang w:eastAsia="zh-CN"/>
        </w:rPr>
        <w:t>将通知中选人，并将中选结果公示在比选人</w:t>
      </w:r>
      <w:r>
        <w:rPr>
          <w:rFonts w:hint="eastAsia"/>
          <w:lang w:eastAsia="zh-CN"/>
        </w:rPr>
        <w:t>公司</w:t>
      </w:r>
      <w:r>
        <w:rPr>
          <w:lang w:eastAsia="zh-CN"/>
        </w:rPr>
        <w:t>集团官网。</w:t>
      </w:r>
    </w:p>
    <w:p>
      <w:pPr>
        <w:pStyle w:val="14"/>
        <w:spacing w:line="360" w:lineRule="auto"/>
        <w:ind w:right="226" w:firstLine="480" w:firstLineChars="200"/>
        <w:jc w:val="both"/>
        <w:rPr>
          <w:lang w:eastAsia="zh-CN"/>
        </w:rPr>
      </w:pPr>
      <w:r>
        <w:rPr>
          <w:lang w:eastAsia="zh-CN"/>
        </w:rPr>
        <w:t>3.</w:t>
      </w:r>
      <w:r>
        <w:rPr>
          <w:rFonts w:hint="eastAsia"/>
          <w:lang w:eastAsia="zh-CN"/>
        </w:rPr>
        <w:t>比选人将以书面形式通知中选人，确认其参选文件被接受。</w:t>
      </w:r>
      <w:r>
        <w:rPr>
          <w:spacing w:val="-2"/>
          <w:lang w:eastAsia="zh-CN"/>
        </w:rPr>
        <w:t>中选通知对比选人和参选人具有法律效力。中选单位需在比选人通知中选后</w:t>
      </w:r>
      <w:r>
        <w:rPr>
          <w:rFonts w:hint="eastAsia"/>
          <w:lang w:eastAsia="zh-CN"/>
        </w:rPr>
        <w:t>20</w:t>
      </w:r>
      <w:r>
        <w:rPr>
          <w:spacing w:val="-30"/>
          <w:lang w:eastAsia="zh-CN"/>
        </w:rPr>
        <w:t>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pPr>
        <w:pStyle w:val="14"/>
        <w:spacing w:before="24" w:line="360" w:lineRule="auto"/>
        <w:ind w:right="226" w:firstLine="480" w:firstLineChars="20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pPr>
        <w:pStyle w:val="14"/>
        <w:spacing w:before="24" w:line="360" w:lineRule="auto"/>
        <w:ind w:right="92" w:firstLine="480" w:firstLineChars="200"/>
        <w:rPr>
          <w:lang w:eastAsia="zh-CN"/>
        </w:rPr>
      </w:pPr>
      <w:r>
        <w:rPr>
          <w:lang w:eastAsia="zh-CN"/>
        </w:rPr>
        <w:t>5.比选文件与合同附件作为签订合同的条款，比选文件合同条款中没有规定的内容， 比选人、参选人认为有必要进行补充，可另行商定解决。</w:t>
      </w:r>
    </w:p>
    <w:p>
      <w:pPr>
        <w:pStyle w:val="14"/>
        <w:spacing w:before="24" w:line="360" w:lineRule="auto"/>
        <w:ind w:right="227" w:firstLine="480" w:firstLineChars="20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pPr>
        <w:spacing w:line="321" w:lineRule="auto"/>
        <w:ind w:firstLine="435"/>
        <w:jc w:val="both"/>
        <w:rPr>
          <w:sz w:val="24"/>
          <w:szCs w:val="24"/>
          <w:lang w:eastAsia="zh-CN"/>
        </w:rPr>
      </w:pPr>
      <w:r>
        <w:rPr>
          <w:rFonts w:hint="eastAsia"/>
          <w:sz w:val="24"/>
          <w:szCs w:val="24"/>
          <w:lang w:eastAsia="zh-CN"/>
        </w:rPr>
        <w:t>7．</w:t>
      </w:r>
      <w:r>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pPr>
        <w:pStyle w:val="2"/>
        <w:spacing w:line="360" w:lineRule="auto"/>
        <w:ind w:firstLine="437"/>
        <w:rPr>
          <w:rFonts w:hAnsi="宋体" w:cs="宋体"/>
          <w:bCs/>
          <w:sz w:val="24"/>
          <w:szCs w:val="24"/>
        </w:rPr>
      </w:pPr>
      <w:r>
        <w:rPr>
          <w:rFonts w:hint="eastAsia"/>
          <w:sz w:val="24"/>
          <w:szCs w:val="24"/>
        </w:rPr>
        <w:t xml:space="preserve">8. </w:t>
      </w:r>
      <w:r>
        <w:rPr>
          <w:rFonts w:hint="eastAsia" w:hAnsi="宋体"/>
          <w:sz w:val="24"/>
        </w:rPr>
        <w:t>本合同将授予其参选文件在实质上响应比选文件要求和按本比选文件规定所确定的中选人。比选人在授予合同之前有权对参选人递交的参选文件资料进行核实，参选</w:t>
      </w:r>
      <w:r>
        <w:rPr>
          <w:rFonts w:hint="eastAsia" w:hAnsi="宋体"/>
          <w:b/>
          <w:sz w:val="24"/>
        </w:rPr>
        <w:t>人应对参选文件资料的真实性负责</w:t>
      </w:r>
      <w:r>
        <w:rPr>
          <w:rFonts w:hint="eastAsia" w:hAnsi="宋体"/>
          <w:sz w:val="24"/>
        </w:rPr>
        <w:t>，如发现其所提交的资料不真实，比选人将视其为以弄虚作假方式骗取中选，其中选无效。参选人给比选人造成损失的，应依法承担赔偿责任。</w:t>
      </w:r>
    </w:p>
    <w:p>
      <w:pPr>
        <w:pStyle w:val="2"/>
        <w:spacing w:line="360" w:lineRule="auto"/>
        <w:ind w:firstLine="437"/>
        <w:rPr>
          <w:sz w:val="24"/>
          <w:szCs w:val="24"/>
        </w:rPr>
      </w:pPr>
      <w:r>
        <w:rPr>
          <w:rFonts w:hint="eastAsia"/>
          <w:sz w:val="24"/>
          <w:szCs w:val="24"/>
        </w:rPr>
        <w:t>9.</w:t>
      </w:r>
      <w:r>
        <w:rPr>
          <w:rFonts w:hint="eastAsia"/>
        </w:rPr>
        <w:t xml:space="preserve"> </w:t>
      </w:r>
      <w:r>
        <w:rPr>
          <w:rStyle w:val="32"/>
          <w:rFonts w:hint="eastAsia"/>
          <w:sz w:val="24"/>
          <w:szCs w:val="24"/>
        </w:rPr>
        <w:t>福建福海创石油化工有限公司的权属子公司“腾龙芳烃（漳州）有限公司”作为合同执行主体，将于中选通知书发出之日起20个工作日内与中选人完成合同签订事宜。</w:t>
      </w:r>
    </w:p>
    <w:p>
      <w:pPr>
        <w:pStyle w:val="2"/>
        <w:sectPr>
          <w:footerReference r:id="rId4" w:type="default"/>
          <w:pgSz w:w="11910" w:h="16840"/>
          <w:pgMar w:top="1500" w:right="1020" w:bottom="740" w:left="1300" w:header="0" w:footer="551" w:gutter="0"/>
          <w:pgNumType w:start="10"/>
          <w:cols w:space="720" w:num="1"/>
        </w:sectPr>
      </w:pPr>
    </w:p>
    <w:p>
      <w:pPr>
        <w:pStyle w:val="3"/>
        <w:tabs>
          <w:tab w:val="left" w:pos="4344"/>
        </w:tabs>
        <w:spacing w:line="355" w:lineRule="exact"/>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pPr>
        <w:pStyle w:val="14"/>
        <w:spacing w:before="12"/>
        <w:rPr>
          <w:b/>
          <w:sz w:val="33"/>
          <w:lang w:eastAsia="zh-CN"/>
        </w:rPr>
      </w:pPr>
    </w:p>
    <w:p>
      <w:pPr>
        <w:pStyle w:val="14"/>
        <w:spacing w:line="360" w:lineRule="auto"/>
        <w:ind w:right="108" w:firstLine="480" w:firstLineChars="20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pPr>
        <w:autoSpaceDE/>
        <w:autoSpaceDN/>
        <w:spacing w:line="360" w:lineRule="auto"/>
        <w:ind w:firstLine="480" w:firstLineChars="200"/>
        <w:jc w:val="both"/>
        <w:rPr>
          <w:rFonts w:asciiTheme="majorEastAsia" w:hAnsiTheme="majorEastAsia" w:eastAsiaTheme="majorEastAsia"/>
          <w:bCs/>
          <w:sz w:val="24"/>
          <w:szCs w:val="24"/>
          <w:lang w:eastAsia="zh-CN"/>
        </w:rPr>
      </w:pPr>
      <w:r>
        <w:rPr>
          <w:sz w:val="24"/>
          <w:szCs w:val="24"/>
          <w:lang w:eastAsia="zh-CN"/>
        </w:rPr>
        <w:t>2.</w:t>
      </w:r>
      <w:r>
        <w:rPr>
          <w:spacing w:val="-2"/>
          <w:sz w:val="24"/>
          <w:szCs w:val="24"/>
          <w:lang w:eastAsia="zh-CN"/>
        </w:rPr>
        <w:t>中选单位必须严格执行</w:t>
      </w:r>
      <w:r>
        <w:rPr>
          <w:rFonts w:hint="eastAsia" w:asciiTheme="majorEastAsia" w:hAnsiTheme="majorEastAsia" w:eastAsiaTheme="majorEastAsia"/>
          <w:sz w:val="24"/>
          <w:szCs w:val="24"/>
          <w:u w:val="single"/>
          <w:lang w:eastAsia="zh-CN"/>
        </w:rPr>
        <w:t>PX厂区火炬气柜检修</w:t>
      </w:r>
      <w:r>
        <w:rPr>
          <w:rFonts w:hint="eastAsia" w:asciiTheme="majorEastAsia" w:hAnsiTheme="majorEastAsia" w:eastAsiaTheme="majorEastAsia"/>
          <w:bCs/>
          <w:sz w:val="24"/>
          <w:szCs w:val="24"/>
          <w:u w:val="single"/>
          <w:lang w:eastAsia="zh-CN"/>
        </w:rPr>
        <w:t>项目</w:t>
      </w:r>
      <w:r>
        <w:rPr>
          <w:spacing w:val="-2"/>
          <w:sz w:val="24"/>
          <w:szCs w:val="24"/>
          <w:lang w:eastAsia="zh-CN"/>
        </w:rPr>
        <w:t>合同</w:t>
      </w:r>
      <w:r>
        <w:rPr>
          <w:sz w:val="24"/>
          <w:szCs w:val="24"/>
          <w:lang w:eastAsia="zh-CN"/>
        </w:rPr>
        <w:t>（详见附件一</w:t>
      </w:r>
      <w:r>
        <w:rPr>
          <w:spacing w:val="-17"/>
          <w:sz w:val="24"/>
          <w:szCs w:val="24"/>
          <w:lang w:eastAsia="zh-CN"/>
        </w:rPr>
        <w:t>）</w:t>
      </w:r>
      <w:r>
        <w:rPr>
          <w:spacing w:val="-13"/>
          <w:sz w:val="24"/>
          <w:szCs w:val="24"/>
          <w:lang w:eastAsia="zh-CN"/>
        </w:rPr>
        <w:t>、《承诺函》</w:t>
      </w:r>
      <w:r>
        <w:rPr>
          <w:sz w:val="24"/>
          <w:szCs w:val="24"/>
          <w:lang w:eastAsia="zh-CN"/>
        </w:rPr>
        <w:t>（详见附件二</w:t>
      </w:r>
      <w:r>
        <w:rPr>
          <w:spacing w:val="-17"/>
          <w:sz w:val="24"/>
          <w:szCs w:val="24"/>
          <w:lang w:eastAsia="zh-CN"/>
        </w:rPr>
        <w:t>）</w:t>
      </w:r>
      <w:r>
        <w:rPr>
          <w:sz w:val="24"/>
          <w:szCs w:val="24"/>
          <w:lang w:eastAsia="zh-CN"/>
        </w:rPr>
        <w:t>的规定。</w:t>
      </w:r>
    </w:p>
    <w:p>
      <w:pPr>
        <w:pStyle w:val="14"/>
        <w:spacing w:before="26" w:line="360" w:lineRule="auto"/>
        <w:ind w:right="108" w:firstLine="480" w:firstLineChars="200"/>
        <w:jc w:val="both"/>
        <w:rPr>
          <w:lang w:eastAsia="zh-CN"/>
        </w:rPr>
      </w:pPr>
      <w:r>
        <w:rPr>
          <w:lang w:eastAsia="zh-CN"/>
        </w:rPr>
        <w:t>3.</w:t>
      </w:r>
      <w:r>
        <w:rPr>
          <w:spacing w:val="-6"/>
          <w:lang w:eastAsia="zh-CN"/>
        </w:rPr>
        <w:t>中选单位需遵守比选人的各项管理规章制度。如违反相关条例者则按</w:t>
      </w:r>
      <w:r>
        <w:rPr>
          <w:rFonts w:hint="eastAsia"/>
          <w:spacing w:val="-6"/>
          <w:lang w:eastAsia="zh-CN"/>
        </w:rPr>
        <w:t>福建福海创石油化工</w:t>
      </w:r>
      <w:r>
        <w:rPr>
          <w:spacing w:val="-6"/>
          <w:lang w:eastAsia="zh-CN"/>
        </w:rPr>
        <w:t>有限公司相应条款进行处罚。</w:t>
      </w:r>
    </w:p>
    <w:p>
      <w:pPr>
        <w:spacing w:line="321" w:lineRule="auto"/>
        <w:jc w:val="both"/>
        <w:rPr>
          <w:lang w:eastAsia="zh-CN"/>
        </w:rPr>
        <w:sectPr>
          <w:pgSz w:w="11910" w:h="16840"/>
          <w:pgMar w:top="1500" w:right="1140" w:bottom="740" w:left="1300" w:header="0" w:footer="551" w:gutter="0"/>
          <w:cols w:space="720" w:num="1"/>
        </w:sectPr>
      </w:pPr>
    </w:p>
    <w:p>
      <w:pPr>
        <w:pStyle w:val="3"/>
        <w:tabs>
          <w:tab w:val="left" w:pos="1912"/>
        </w:tabs>
        <w:spacing w:line="355" w:lineRule="exact"/>
        <w:ind w:left="647" w:firstLine="3092" w:firstLineChars="1100"/>
        <w:jc w:val="both"/>
        <w:rPr>
          <w:lang w:eastAsia="zh-CN"/>
        </w:rPr>
      </w:pPr>
      <w:r>
        <w:rPr>
          <w:lang w:eastAsia="zh-CN"/>
        </w:rPr>
        <w:t>第七章</w:t>
      </w:r>
      <w:r>
        <w:rPr>
          <w:lang w:eastAsia="zh-CN"/>
        </w:rPr>
        <w:tab/>
      </w:r>
      <w:r>
        <w:rPr>
          <w:spacing w:val="-1"/>
          <w:w w:val="95"/>
          <w:lang w:eastAsia="zh-CN"/>
        </w:rPr>
        <w:t>其</w:t>
      </w:r>
      <w:r>
        <w:rPr>
          <w:w w:val="95"/>
          <w:lang w:eastAsia="zh-CN"/>
        </w:rPr>
        <w:t>它</w:t>
      </w:r>
    </w:p>
    <w:p>
      <w:pPr>
        <w:pStyle w:val="14"/>
        <w:rPr>
          <w:b/>
          <w:sz w:val="28"/>
          <w:lang w:eastAsia="zh-CN"/>
        </w:rPr>
      </w:pPr>
    </w:p>
    <w:p>
      <w:pPr>
        <w:pStyle w:val="14"/>
        <w:spacing w:before="12" w:line="360" w:lineRule="auto"/>
        <w:rPr>
          <w:b/>
          <w:sz w:val="33"/>
          <w:lang w:eastAsia="zh-CN"/>
        </w:rPr>
      </w:pPr>
    </w:p>
    <w:p>
      <w:pPr>
        <w:pStyle w:val="14"/>
        <w:spacing w:line="360" w:lineRule="auto"/>
        <w:ind w:left="567"/>
        <w:rPr>
          <w:lang w:eastAsia="zh-CN"/>
        </w:rPr>
      </w:pPr>
      <w:r>
        <w:rPr>
          <w:lang w:eastAsia="zh-CN"/>
        </w:rPr>
        <w:t>1.</w:t>
      </w:r>
      <w:r>
        <w:rPr>
          <w:rFonts w:hint="eastAsia"/>
          <w:lang w:eastAsia="zh-CN"/>
        </w:rPr>
        <w:t xml:space="preserve"> 参选人提交的文件将给予保密，</w:t>
      </w:r>
      <w:r>
        <w:rPr>
          <w:lang w:eastAsia="zh-CN"/>
        </w:rPr>
        <w:t>参选人的参选文件无论其是否中选，均不退回。</w:t>
      </w:r>
    </w:p>
    <w:p>
      <w:pPr>
        <w:pStyle w:val="14"/>
        <w:spacing w:before="108" w:line="360" w:lineRule="auto"/>
        <w:ind w:left="567"/>
        <w:rPr>
          <w:lang w:eastAsia="zh-CN"/>
        </w:rPr>
      </w:pPr>
      <w:r>
        <w:rPr>
          <w:lang w:eastAsia="zh-CN"/>
        </w:rPr>
        <w:t>2.比选人郑重承诺：参选人所提交的参选文件及相关资料不向第三方泄露。</w:t>
      </w:r>
    </w:p>
    <w:p>
      <w:pPr>
        <w:pStyle w:val="14"/>
        <w:spacing w:before="106" w:line="360" w:lineRule="auto"/>
        <w:ind w:left="567"/>
        <w:rPr>
          <w:lang w:eastAsia="zh-CN"/>
        </w:rPr>
      </w:pPr>
      <w:r>
        <w:rPr>
          <w:lang w:eastAsia="zh-CN"/>
        </w:rPr>
        <w:t>3.本比选文件的解释权归</w:t>
      </w:r>
      <w:r>
        <w:rPr>
          <w:rFonts w:hint="eastAsia"/>
          <w:spacing w:val="-6"/>
          <w:lang w:eastAsia="zh-CN"/>
        </w:rPr>
        <w:t>福建福海创石油化工</w:t>
      </w:r>
      <w:r>
        <w:rPr>
          <w:lang w:eastAsia="zh-CN"/>
        </w:rPr>
        <w:t>有限公司。</w:t>
      </w:r>
    </w:p>
    <w:p>
      <w:pPr>
        <w:pStyle w:val="14"/>
        <w:spacing w:before="106" w:line="360" w:lineRule="auto"/>
        <w:ind w:left="567"/>
        <w:rPr>
          <w:lang w:eastAsia="zh-CN"/>
        </w:rPr>
      </w:pPr>
      <w:r>
        <w:rPr>
          <w:lang w:eastAsia="zh-CN"/>
        </w:rPr>
        <w:br w:type="page"/>
      </w:r>
    </w:p>
    <w:p>
      <w:pPr>
        <w:pStyle w:val="14"/>
        <w:rPr>
          <w:rFonts w:ascii="Times New Roman"/>
          <w:b/>
          <w:bCs/>
          <w:lang w:eastAsia="zh-CN"/>
        </w:rPr>
      </w:pPr>
      <w:r>
        <w:rPr>
          <w:rFonts w:hint="eastAsia" w:ascii="Times New Roman"/>
          <w:b/>
          <w:bCs/>
          <w:lang w:eastAsia="zh-CN"/>
        </w:rPr>
        <w:t>附件一：</w:t>
      </w:r>
    </w:p>
    <w:p>
      <w:pPr>
        <w:jc w:val="center"/>
        <w:rPr>
          <w:rFonts w:ascii="Arial" w:hAnsi="Arial" w:cs="Arial"/>
          <w:b/>
          <w:sz w:val="32"/>
          <w:szCs w:val="32"/>
          <w:lang w:eastAsia="zh-CN"/>
        </w:rPr>
      </w:pPr>
      <w:r>
        <w:rPr>
          <w:rFonts w:hint="eastAsia" w:ascii="Arial" w:hAnsi="Arial" w:cs="Arial"/>
          <w:b/>
          <w:sz w:val="32"/>
          <w:szCs w:val="32"/>
          <w:lang w:eastAsia="zh-CN"/>
        </w:rPr>
        <w:t>腾龙芳烃（漳州）有限公司</w:t>
      </w:r>
    </w:p>
    <w:p>
      <w:pPr>
        <w:jc w:val="center"/>
        <w:rPr>
          <w:rFonts w:ascii="Arial" w:hAnsi="Arial" w:cs="Arial"/>
          <w:b/>
          <w:sz w:val="32"/>
          <w:szCs w:val="32"/>
          <w:lang w:eastAsia="zh-CN"/>
        </w:rPr>
      </w:pPr>
      <w:r>
        <w:rPr>
          <w:rFonts w:hint="eastAsia" w:ascii="Arial" w:hAnsi="Arial" w:cs="Arial"/>
          <w:b/>
          <w:sz w:val="32"/>
          <w:szCs w:val="32"/>
          <w:lang w:eastAsia="zh-CN"/>
        </w:rPr>
        <w:t>火炬气柜检修</w:t>
      </w:r>
      <w:r>
        <w:rPr>
          <w:rFonts w:ascii="Arial" w:hAnsi="Arial" w:cs="Arial"/>
          <w:b/>
          <w:sz w:val="32"/>
          <w:szCs w:val="32"/>
          <w:lang w:eastAsia="zh-CN"/>
        </w:rPr>
        <w:t>合同</w:t>
      </w:r>
    </w:p>
    <w:p>
      <w:pPr>
        <w:spacing w:line="360" w:lineRule="auto"/>
        <w:rPr>
          <w:rFonts w:cs="Arial"/>
          <w:sz w:val="24"/>
          <w:lang w:eastAsia="zh-CN"/>
        </w:rPr>
      </w:pPr>
      <w:r>
        <w:rPr>
          <w:rFonts w:hint="eastAsia" w:cs="Arial"/>
          <w:sz w:val="24"/>
          <w:lang w:eastAsia="zh-CN"/>
        </w:rPr>
        <w:t xml:space="preserve">                                   合同编号：</w:t>
      </w:r>
      <w:r>
        <w:rPr>
          <w:rFonts w:cs="Arial"/>
          <w:sz w:val="24"/>
          <w:lang w:eastAsia="zh-CN"/>
        </w:rPr>
        <w:t xml:space="preserve"> </w:t>
      </w:r>
    </w:p>
    <w:p>
      <w:pPr>
        <w:spacing w:line="360" w:lineRule="auto"/>
        <w:rPr>
          <w:rFonts w:cs="Arial"/>
          <w:sz w:val="24"/>
          <w:lang w:eastAsia="zh-CN"/>
        </w:rPr>
      </w:pPr>
      <w:r>
        <w:rPr>
          <w:rFonts w:hint="eastAsia" w:cs="Arial"/>
          <w:sz w:val="24"/>
          <w:lang w:eastAsia="zh-CN"/>
        </w:rPr>
        <w:t xml:space="preserve">                                   签订日期：     年    月    日</w:t>
      </w:r>
    </w:p>
    <w:p>
      <w:pPr>
        <w:spacing w:line="360" w:lineRule="auto"/>
        <w:rPr>
          <w:rFonts w:cs="Arial"/>
          <w:sz w:val="24"/>
          <w:lang w:eastAsia="zh-CN"/>
        </w:rPr>
      </w:pPr>
      <w:r>
        <w:rPr>
          <w:rFonts w:hint="eastAsia" w:cs="Arial"/>
          <w:sz w:val="24"/>
          <w:lang w:eastAsia="zh-CN"/>
        </w:rPr>
        <w:t xml:space="preserve">委 托 </w:t>
      </w:r>
      <w:r>
        <w:rPr>
          <w:rFonts w:cs="Arial"/>
          <w:sz w:val="24"/>
          <w:lang w:eastAsia="zh-CN"/>
        </w:rPr>
        <w:t>方：_</w:t>
      </w:r>
      <w:r>
        <w:rPr>
          <w:rFonts w:hint="eastAsia" w:cs="Arial"/>
          <w:sz w:val="24"/>
          <w:u w:val="single"/>
          <w:lang w:eastAsia="zh-CN"/>
        </w:rPr>
        <w:t>腾龙芳烃（漳州）有限公司</w:t>
      </w:r>
      <w:r>
        <w:rPr>
          <w:rFonts w:cs="Arial"/>
          <w:sz w:val="24"/>
          <w:u w:val="single"/>
          <w:lang w:eastAsia="zh-CN"/>
        </w:rPr>
        <w:t>_</w:t>
      </w:r>
      <w:r>
        <w:rPr>
          <w:rFonts w:hint="eastAsia" w:cs="Arial"/>
          <w:sz w:val="24"/>
          <w:lang w:eastAsia="zh-CN"/>
        </w:rPr>
        <w:t>（以下简称“甲方”）</w:t>
      </w:r>
      <w:r>
        <w:rPr>
          <w:rFonts w:cs="Arial"/>
          <w:sz w:val="24"/>
          <w:lang w:eastAsia="zh-CN"/>
        </w:rPr>
        <w:br w:type="textWrapping"/>
      </w:r>
      <w:r>
        <w:rPr>
          <w:rFonts w:hint="eastAsia" w:cs="Arial"/>
          <w:sz w:val="24"/>
          <w:lang w:eastAsia="zh-CN"/>
        </w:rPr>
        <w:t>受 托</w:t>
      </w:r>
      <w:r>
        <w:rPr>
          <w:rFonts w:cs="Arial"/>
          <w:sz w:val="24"/>
          <w:lang w:eastAsia="zh-CN"/>
        </w:rPr>
        <w:t xml:space="preserve"> 方：</w:t>
      </w:r>
      <w:r>
        <w:rPr>
          <w:rFonts w:cs="Arial"/>
          <w:sz w:val="24"/>
          <w:u w:val="single"/>
          <w:lang w:eastAsia="zh-CN"/>
        </w:rPr>
        <w:t>_</w:t>
      </w:r>
      <w:r>
        <w:rPr>
          <w:rFonts w:hint="eastAsia" w:cs="Arial"/>
          <w:sz w:val="24"/>
          <w:u w:val="single"/>
          <w:lang w:eastAsia="zh-CN"/>
        </w:rPr>
        <w:t xml:space="preserve">                       </w:t>
      </w:r>
      <w:r>
        <w:rPr>
          <w:rFonts w:cs="Arial"/>
          <w:sz w:val="24"/>
          <w:lang w:eastAsia="zh-CN"/>
        </w:rPr>
        <w:t>_</w:t>
      </w:r>
      <w:r>
        <w:rPr>
          <w:rFonts w:hint="eastAsia" w:cs="Arial"/>
          <w:sz w:val="24"/>
          <w:lang w:eastAsia="zh-CN"/>
        </w:rPr>
        <w:t>（以下简称“乙方”）</w:t>
      </w:r>
    </w:p>
    <w:p>
      <w:pPr>
        <w:spacing w:line="360" w:lineRule="auto"/>
        <w:ind w:firstLine="480" w:firstLineChars="200"/>
        <w:rPr>
          <w:rFonts w:cs="Arial"/>
          <w:sz w:val="24"/>
          <w:lang w:eastAsia="zh-CN"/>
        </w:rPr>
      </w:pPr>
      <w:r>
        <w:rPr>
          <w:rFonts w:hint="eastAsia"/>
          <w:sz w:val="24"/>
          <w:lang w:eastAsia="zh-CN"/>
        </w:rPr>
        <w:t>本合同甲方委托乙方就</w:t>
      </w:r>
      <w:r>
        <w:rPr>
          <w:sz w:val="24"/>
          <w:lang w:eastAsia="zh-CN"/>
        </w:rPr>
        <w:t xml:space="preserve"> </w:t>
      </w:r>
      <w:r>
        <w:rPr>
          <w:rFonts w:hint="eastAsia"/>
          <w:sz w:val="24"/>
          <w:u w:val="single"/>
          <w:lang w:eastAsia="zh-CN"/>
        </w:rPr>
        <w:t>火炬气柜检修</w:t>
      </w:r>
      <w:r>
        <w:rPr>
          <w:rFonts w:hint="eastAsia"/>
          <w:sz w:val="24"/>
          <w:lang w:eastAsia="zh-CN"/>
        </w:rPr>
        <w:t>项目进行有偿的维修技术服务，并支付相应的服务报酬。双方经过平等协商，在真实、充分地表达各自意愿的基础上，根据《中华人民共和国合同法》的规定，</w:t>
      </w:r>
      <w:r>
        <w:rPr>
          <w:color w:val="000000"/>
          <w:sz w:val="24"/>
          <w:lang w:eastAsia="zh-CN"/>
        </w:rPr>
        <w:t>签订本合同，以便共同遵守。</w:t>
      </w:r>
    </w:p>
    <w:p>
      <w:pPr>
        <w:pStyle w:val="45"/>
        <w:widowControl/>
        <w:numPr>
          <w:ilvl w:val="0"/>
          <w:numId w:val="5"/>
        </w:numPr>
        <w:overflowPunct w:val="0"/>
        <w:adjustRightInd w:val="0"/>
        <w:spacing w:before="0" w:line="360" w:lineRule="auto"/>
        <w:textAlignment w:val="baseline"/>
        <w:rPr>
          <w:b/>
          <w:color w:val="000000"/>
          <w:sz w:val="24"/>
          <w:lang w:eastAsia="zh-CN"/>
        </w:rPr>
      </w:pPr>
      <w:r>
        <w:rPr>
          <w:rFonts w:hint="eastAsia"/>
          <w:b/>
          <w:color w:val="000000"/>
          <w:sz w:val="24"/>
          <w:lang w:eastAsia="zh-CN"/>
        </w:rPr>
        <w:t>维修设备</w:t>
      </w:r>
      <w:r>
        <w:rPr>
          <w:b/>
          <w:color w:val="000000"/>
          <w:sz w:val="24"/>
          <w:lang w:eastAsia="zh-CN"/>
        </w:rPr>
        <w:t>名称、型号</w:t>
      </w:r>
      <w:r>
        <w:rPr>
          <w:rFonts w:hint="eastAsia"/>
          <w:b/>
          <w:color w:val="000000"/>
          <w:sz w:val="24"/>
          <w:lang w:eastAsia="zh-CN"/>
        </w:rPr>
        <w:t>、品牌、数量、维修单价等</w:t>
      </w:r>
      <w:r>
        <w:rPr>
          <w:b/>
          <w:color w:val="000000"/>
          <w:sz w:val="24"/>
          <w:lang w:eastAsia="zh-CN"/>
        </w:rPr>
        <w:t> </w:t>
      </w:r>
    </w:p>
    <w:tbl>
      <w:tblPr>
        <w:tblStyle w:val="29"/>
        <w:tblW w:w="9072" w:type="dxa"/>
        <w:tblCellSpacing w:w="0" w:type="dxa"/>
        <w:tblInd w:w="157"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410"/>
        <w:gridCol w:w="1559"/>
        <w:gridCol w:w="709"/>
        <w:gridCol w:w="1276"/>
        <w:gridCol w:w="1134"/>
        <w:gridCol w:w="198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241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检修内容</w:t>
            </w:r>
          </w:p>
        </w:tc>
        <w:tc>
          <w:tcPr>
            <w:tcW w:w="1559"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验收标准</w:t>
            </w:r>
          </w:p>
        </w:tc>
        <w:tc>
          <w:tcPr>
            <w:tcW w:w="709"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数量</w:t>
            </w:r>
          </w:p>
        </w:tc>
        <w:tc>
          <w:tcPr>
            <w:tcW w:w="1276" w:type="dxa"/>
            <w:tcBorders>
              <w:top w:val="outset" w:color="auto" w:sz="6" w:space="0"/>
              <w:left w:val="outset" w:color="auto" w:sz="6" w:space="0"/>
              <w:bottom w:val="outset" w:color="auto" w:sz="6" w:space="0"/>
              <w:right w:val="outset" w:color="auto" w:sz="6" w:space="0"/>
            </w:tcBorders>
            <w:vAlign w:val="center"/>
          </w:tcPr>
          <w:p>
            <w:pPr>
              <w:spacing w:before="100" w:beforeAutospacing="1" w:after="100" w:afterAutospacing="1"/>
              <w:ind w:right="-295" w:rightChars="-134"/>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单价（元）</w:t>
            </w:r>
          </w:p>
        </w:tc>
        <w:tc>
          <w:tcPr>
            <w:tcW w:w="1134" w:type="dxa"/>
            <w:tcBorders>
              <w:top w:val="outset" w:color="auto" w:sz="6" w:space="0"/>
              <w:left w:val="outset" w:color="auto" w:sz="6" w:space="0"/>
              <w:bottom w:val="outset" w:color="auto" w:sz="6" w:space="0"/>
              <w:right w:val="outset" w:color="auto" w:sz="6" w:space="0"/>
            </w:tcBorders>
            <w:vAlign w:val="center"/>
          </w:tcPr>
          <w:p>
            <w:pPr>
              <w:spacing w:before="100" w:beforeAutospacing="1" w:after="100" w:afterAutospacing="1"/>
              <w:ind w:right="-295" w:rightChars="-134"/>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合计（元）</w:t>
            </w:r>
          </w:p>
        </w:tc>
        <w:tc>
          <w:tcPr>
            <w:tcW w:w="1984" w:type="dxa"/>
            <w:tcBorders>
              <w:top w:val="outset" w:color="auto" w:sz="6" w:space="0"/>
              <w:left w:val="outset" w:color="auto" w:sz="6" w:space="0"/>
              <w:bottom w:val="outset" w:color="auto" w:sz="6" w:space="0"/>
              <w:right w:val="outset" w:color="auto" w:sz="6" w:space="0"/>
            </w:tcBorders>
            <w:vAlign w:val="center"/>
          </w:tcPr>
          <w:p>
            <w:pPr>
              <w:spacing w:before="100" w:beforeAutospacing="1" w:after="100" w:afterAutospacing="1"/>
              <w:ind w:right="-295" w:rightChars="-134"/>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56" w:hRule="atLeast"/>
          <w:tblCellSpacing w:w="0" w:type="dxa"/>
        </w:trPr>
        <w:tc>
          <w:tcPr>
            <w:tcW w:w="2410" w:type="dxa"/>
            <w:tcBorders>
              <w:top w:val="outset" w:color="auto" w:sz="6" w:space="0"/>
              <w:left w:val="outset" w:color="auto" w:sz="6" w:space="0"/>
              <w:right w:val="outset" w:color="auto" w:sz="6" w:space="0"/>
            </w:tcBorders>
            <w:vAlign w:val="center"/>
          </w:tcPr>
          <w:p>
            <w:pPr>
              <w:widowControl/>
              <w:spacing w:before="100" w:beforeAutospacing="1" w:after="100" w:afterAutospacing="1"/>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橡胶模折皱、鼓包等消除、修整、修补漏洞</w:t>
            </w:r>
          </w:p>
        </w:tc>
        <w:tc>
          <w:tcPr>
            <w:tcW w:w="1559" w:type="dxa"/>
            <w:tcBorders>
              <w:top w:val="outset" w:color="auto" w:sz="6" w:space="0"/>
              <w:left w:val="outset" w:color="auto" w:sz="6" w:space="0"/>
              <w:right w:val="outset" w:color="auto" w:sz="6" w:space="0"/>
            </w:tcBorders>
            <w:vAlign w:val="center"/>
          </w:tcPr>
          <w:p>
            <w:pPr>
              <w:shd w:val="clear" w:color="auto" w:fill="FFFFFF"/>
              <w:spacing w:line="240" w:lineRule="atLeast"/>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CECS267：2009</w:t>
            </w:r>
          </w:p>
        </w:tc>
        <w:tc>
          <w:tcPr>
            <w:tcW w:w="709" w:type="dxa"/>
            <w:tcBorders>
              <w:top w:val="outset" w:color="auto" w:sz="6" w:space="0"/>
              <w:left w:val="outset" w:color="auto" w:sz="6" w:space="0"/>
              <w:right w:val="outset" w:color="auto" w:sz="6" w:space="0"/>
            </w:tcBorders>
            <w:vAlign w:val="center"/>
          </w:tcPr>
          <w:p>
            <w:pPr>
              <w:widowControl/>
              <w:spacing w:before="100" w:beforeAutospacing="1" w:after="100" w:afterAutospacing="1" w:line="240" w:lineRule="atLeast"/>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1套</w:t>
            </w:r>
          </w:p>
        </w:tc>
        <w:tc>
          <w:tcPr>
            <w:tcW w:w="1276"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rPr>
            </w:pPr>
          </w:p>
        </w:tc>
        <w:tc>
          <w:tcPr>
            <w:tcW w:w="113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rPr>
            </w:pPr>
          </w:p>
        </w:tc>
        <w:tc>
          <w:tcPr>
            <w:tcW w:w="198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含橡胶膜修补包，所有材料乙供（除橡胶膜外）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85" w:hRule="atLeast"/>
          <w:tblCellSpacing w:w="0" w:type="dxa"/>
        </w:trPr>
        <w:tc>
          <w:tcPr>
            <w:tcW w:w="2410" w:type="dxa"/>
            <w:tcBorders>
              <w:top w:val="outset" w:color="auto" w:sz="6" w:space="0"/>
              <w:left w:val="outset" w:color="auto" w:sz="6" w:space="0"/>
              <w:right w:val="outset" w:color="auto" w:sz="6" w:space="0"/>
            </w:tcBorders>
            <w:vAlign w:val="center"/>
          </w:tcPr>
          <w:p>
            <w:pPr>
              <w:widowControl/>
              <w:spacing w:before="100" w:beforeAutospacing="1" w:after="100" w:afterAutospacing="1"/>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调平钢丝绳全部更换φ</w:t>
            </w:r>
            <w:r>
              <w:rPr>
                <w:rFonts w:asciiTheme="majorEastAsia" w:hAnsiTheme="majorEastAsia" w:eastAsiaTheme="majorEastAsia"/>
                <w:color w:val="000000"/>
                <w:sz w:val="21"/>
                <w:szCs w:val="21"/>
                <w:lang w:eastAsia="zh-CN"/>
              </w:rPr>
              <w:t>20钢丝绳8条，520米，松紧度调校、涂抹黄油</w:t>
            </w:r>
          </w:p>
        </w:tc>
        <w:tc>
          <w:tcPr>
            <w:tcW w:w="1559" w:type="dxa"/>
            <w:tcBorders>
              <w:top w:val="outset" w:color="auto" w:sz="6" w:space="0"/>
              <w:left w:val="outset" w:color="auto" w:sz="6" w:space="0"/>
              <w:right w:val="outset" w:color="auto" w:sz="6" w:space="0"/>
            </w:tcBorders>
            <w:vAlign w:val="center"/>
          </w:tcPr>
          <w:p>
            <w:pPr>
              <w:shd w:val="clear" w:color="auto" w:fill="FFFFFF"/>
              <w:spacing w:line="240" w:lineRule="atLeast"/>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CECS267：2009</w:t>
            </w:r>
          </w:p>
        </w:tc>
        <w:tc>
          <w:tcPr>
            <w:tcW w:w="709" w:type="dxa"/>
            <w:tcBorders>
              <w:top w:val="outset" w:color="auto" w:sz="6" w:space="0"/>
              <w:left w:val="outset" w:color="auto" w:sz="6" w:space="0"/>
              <w:right w:val="outset" w:color="auto" w:sz="6" w:space="0"/>
            </w:tcBorders>
            <w:vAlign w:val="center"/>
          </w:tcPr>
          <w:p>
            <w:pPr>
              <w:widowControl/>
              <w:spacing w:before="100" w:beforeAutospacing="1" w:after="100" w:afterAutospacing="1" w:line="240" w:lineRule="atLeast"/>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8条</w:t>
            </w:r>
          </w:p>
        </w:tc>
        <w:tc>
          <w:tcPr>
            <w:tcW w:w="1276"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lang w:eastAsia="zh-CN"/>
              </w:rPr>
            </w:pPr>
          </w:p>
        </w:tc>
        <w:tc>
          <w:tcPr>
            <w:tcW w:w="113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lang w:eastAsia="zh-CN"/>
              </w:rPr>
            </w:pPr>
          </w:p>
        </w:tc>
        <w:tc>
          <w:tcPr>
            <w:tcW w:w="198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工具、设备自带，黄油等自带，所有材料乙供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89" w:hRule="atLeast"/>
          <w:tblCellSpacing w:w="0" w:type="dxa"/>
        </w:trPr>
        <w:tc>
          <w:tcPr>
            <w:tcW w:w="2410" w:type="dxa"/>
            <w:tcBorders>
              <w:top w:val="outset" w:color="auto" w:sz="6" w:space="0"/>
              <w:left w:val="outset" w:color="auto" w:sz="6" w:space="0"/>
              <w:right w:val="outset" w:color="auto" w:sz="6" w:space="0"/>
            </w:tcBorders>
            <w:vAlign w:val="center"/>
          </w:tcPr>
          <w:p>
            <w:pPr>
              <w:widowControl/>
              <w:spacing w:before="100" w:beforeAutospacing="1" w:after="100" w:afterAutospacing="1"/>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活塞间隙调整</w:t>
            </w:r>
          </w:p>
        </w:tc>
        <w:tc>
          <w:tcPr>
            <w:tcW w:w="1559" w:type="dxa"/>
            <w:tcBorders>
              <w:top w:val="outset" w:color="auto" w:sz="6" w:space="0"/>
              <w:left w:val="outset" w:color="auto" w:sz="6" w:space="0"/>
              <w:right w:val="outset" w:color="auto" w:sz="6" w:space="0"/>
            </w:tcBorders>
            <w:vAlign w:val="center"/>
          </w:tcPr>
          <w:p>
            <w:pPr>
              <w:shd w:val="clear" w:color="auto" w:fill="FFFFFF"/>
              <w:spacing w:line="240" w:lineRule="atLeast"/>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CECS267：2009</w:t>
            </w:r>
          </w:p>
        </w:tc>
        <w:tc>
          <w:tcPr>
            <w:tcW w:w="709" w:type="dxa"/>
            <w:tcBorders>
              <w:top w:val="outset" w:color="auto" w:sz="6" w:space="0"/>
              <w:left w:val="outset" w:color="auto" w:sz="6" w:space="0"/>
              <w:right w:val="outset" w:color="auto" w:sz="6" w:space="0"/>
            </w:tcBorders>
            <w:vAlign w:val="center"/>
          </w:tcPr>
          <w:p>
            <w:pPr>
              <w:widowControl/>
              <w:spacing w:before="100" w:beforeAutospacing="1" w:after="100" w:afterAutospacing="1" w:line="240" w:lineRule="atLeast"/>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1套</w:t>
            </w:r>
          </w:p>
        </w:tc>
        <w:tc>
          <w:tcPr>
            <w:tcW w:w="1276"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lang w:eastAsia="zh-CN"/>
              </w:rPr>
            </w:pPr>
          </w:p>
        </w:tc>
        <w:tc>
          <w:tcPr>
            <w:tcW w:w="113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lang w:eastAsia="zh-CN"/>
              </w:rPr>
            </w:pPr>
          </w:p>
        </w:tc>
        <w:tc>
          <w:tcPr>
            <w:tcW w:w="198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工具、设备自带、所有材料乙供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83" w:hRule="atLeast"/>
          <w:tblCellSpacing w:w="0" w:type="dxa"/>
        </w:trPr>
        <w:tc>
          <w:tcPr>
            <w:tcW w:w="2410" w:type="dxa"/>
            <w:tcBorders>
              <w:top w:val="outset" w:color="auto" w:sz="6" w:space="0"/>
              <w:left w:val="outset" w:color="auto" w:sz="6" w:space="0"/>
              <w:right w:val="outset" w:color="auto" w:sz="6" w:space="0"/>
            </w:tcBorders>
            <w:vAlign w:val="center"/>
          </w:tcPr>
          <w:p>
            <w:pPr>
              <w:widowControl/>
              <w:spacing w:before="100" w:beforeAutospacing="1" w:after="100" w:afterAutospacing="1"/>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T围栏间隙调整</w:t>
            </w:r>
          </w:p>
        </w:tc>
        <w:tc>
          <w:tcPr>
            <w:tcW w:w="1559" w:type="dxa"/>
            <w:tcBorders>
              <w:top w:val="outset" w:color="auto" w:sz="6" w:space="0"/>
              <w:left w:val="outset" w:color="auto" w:sz="6" w:space="0"/>
              <w:right w:val="outset" w:color="auto" w:sz="6" w:space="0"/>
            </w:tcBorders>
            <w:vAlign w:val="center"/>
          </w:tcPr>
          <w:p>
            <w:pPr>
              <w:shd w:val="clear" w:color="auto" w:fill="FFFFFF"/>
              <w:spacing w:line="240" w:lineRule="atLeast"/>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CECS267：2009</w:t>
            </w:r>
          </w:p>
        </w:tc>
        <w:tc>
          <w:tcPr>
            <w:tcW w:w="709" w:type="dxa"/>
            <w:tcBorders>
              <w:top w:val="outset" w:color="auto" w:sz="6" w:space="0"/>
              <w:left w:val="outset" w:color="auto" w:sz="6" w:space="0"/>
              <w:right w:val="outset" w:color="auto" w:sz="6" w:space="0"/>
            </w:tcBorders>
            <w:vAlign w:val="center"/>
          </w:tcPr>
          <w:p>
            <w:pPr>
              <w:widowControl/>
              <w:spacing w:before="100" w:beforeAutospacing="1" w:after="100" w:afterAutospacing="1" w:line="240" w:lineRule="atLeast"/>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1套</w:t>
            </w:r>
          </w:p>
        </w:tc>
        <w:tc>
          <w:tcPr>
            <w:tcW w:w="1276"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lang w:eastAsia="zh-CN"/>
              </w:rPr>
            </w:pPr>
          </w:p>
        </w:tc>
        <w:tc>
          <w:tcPr>
            <w:tcW w:w="113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lang w:eastAsia="zh-CN"/>
              </w:rPr>
            </w:pPr>
          </w:p>
        </w:tc>
        <w:tc>
          <w:tcPr>
            <w:tcW w:w="198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工具、设备自带、所有材料乙供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24" w:hRule="atLeast"/>
          <w:tblCellSpacing w:w="0" w:type="dxa"/>
        </w:trPr>
        <w:tc>
          <w:tcPr>
            <w:tcW w:w="2410" w:type="dxa"/>
            <w:tcBorders>
              <w:top w:val="outset" w:color="auto" w:sz="6" w:space="0"/>
              <w:left w:val="outset" w:color="auto" w:sz="6" w:space="0"/>
              <w:right w:val="outset" w:color="auto" w:sz="6" w:space="0"/>
            </w:tcBorders>
            <w:vAlign w:val="center"/>
          </w:tcPr>
          <w:p>
            <w:pPr>
              <w:widowControl/>
              <w:spacing w:before="100" w:beforeAutospacing="1" w:after="100" w:afterAutospacing="1"/>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放散阀密封垫片全部更换，放散根部蝶阀开关不动，下线检修，不能检修则更换，手动、自动启闭放散系统调试</w:t>
            </w:r>
          </w:p>
        </w:tc>
        <w:tc>
          <w:tcPr>
            <w:tcW w:w="1559" w:type="dxa"/>
            <w:tcBorders>
              <w:top w:val="outset" w:color="auto" w:sz="6" w:space="0"/>
              <w:left w:val="outset" w:color="auto" w:sz="6" w:space="0"/>
              <w:right w:val="outset" w:color="auto" w:sz="6" w:space="0"/>
            </w:tcBorders>
            <w:vAlign w:val="center"/>
          </w:tcPr>
          <w:p>
            <w:pPr>
              <w:shd w:val="clear" w:color="auto" w:fill="FFFFFF"/>
              <w:spacing w:line="240" w:lineRule="atLeast"/>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CECS267：2009</w:t>
            </w:r>
          </w:p>
        </w:tc>
        <w:tc>
          <w:tcPr>
            <w:tcW w:w="709" w:type="dxa"/>
            <w:tcBorders>
              <w:top w:val="outset" w:color="auto" w:sz="6" w:space="0"/>
              <w:left w:val="outset" w:color="auto" w:sz="6" w:space="0"/>
              <w:right w:val="outset" w:color="auto" w:sz="6" w:space="0"/>
            </w:tcBorders>
            <w:vAlign w:val="center"/>
          </w:tcPr>
          <w:p>
            <w:pPr>
              <w:widowControl/>
              <w:spacing w:before="100" w:beforeAutospacing="1" w:after="100" w:afterAutospacing="1" w:line="240" w:lineRule="atLeast"/>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4套</w:t>
            </w:r>
          </w:p>
        </w:tc>
        <w:tc>
          <w:tcPr>
            <w:tcW w:w="1276"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lang w:eastAsia="zh-CN"/>
              </w:rPr>
            </w:pPr>
          </w:p>
        </w:tc>
        <w:tc>
          <w:tcPr>
            <w:tcW w:w="113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lang w:eastAsia="zh-CN"/>
              </w:rPr>
            </w:pPr>
          </w:p>
        </w:tc>
        <w:tc>
          <w:tcPr>
            <w:tcW w:w="198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工具、设备自带、所有材料乙供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39" w:hRule="atLeast"/>
          <w:tblCellSpacing w:w="0" w:type="dxa"/>
        </w:trPr>
        <w:tc>
          <w:tcPr>
            <w:tcW w:w="2410" w:type="dxa"/>
            <w:tcBorders>
              <w:top w:val="outset" w:color="auto" w:sz="6" w:space="0"/>
              <w:left w:val="outset" w:color="auto" w:sz="6" w:space="0"/>
              <w:right w:val="outset" w:color="auto" w:sz="6" w:space="0"/>
            </w:tcBorders>
            <w:vAlign w:val="center"/>
          </w:tcPr>
          <w:p>
            <w:pPr>
              <w:widowControl/>
              <w:spacing w:before="100" w:beforeAutospacing="1" w:after="100" w:afterAutospacing="1"/>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102个气柜通风口钢丝网及固定框严重锈蚀开裂，全部拆除钢丝网及固定框</w:t>
            </w:r>
          </w:p>
        </w:tc>
        <w:tc>
          <w:tcPr>
            <w:tcW w:w="1559" w:type="dxa"/>
            <w:tcBorders>
              <w:top w:val="outset" w:color="auto" w:sz="6" w:space="0"/>
              <w:left w:val="outset" w:color="auto" w:sz="6" w:space="0"/>
              <w:right w:val="outset" w:color="auto" w:sz="6" w:space="0"/>
            </w:tcBorders>
            <w:vAlign w:val="center"/>
          </w:tcPr>
          <w:p>
            <w:pPr>
              <w:shd w:val="clear" w:color="auto" w:fill="FFFFFF"/>
              <w:spacing w:line="240" w:lineRule="atLeast"/>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CECS267：2009</w:t>
            </w:r>
          </w:p>
        </w:tc>
        <w:tc>
          <w:tcPr>
            <w:tcW w:w="709" w:type="dxa"/>
            <w:tcBorders>
              <w:top w:val="outset" w:color="auto" w:sz="6" w:space="0"/>
              <w:left w:val="outset" w:color="auto" w:sz="6" w:space="0"/>
              <w:right w:val="outset" w:color="auto" w:sz="6" w:space="0"/>
            </w:tcBorders>
            <w:vAlign w:val="center"/>
          </w:tcPr>
          <w:p>
            <w:pPr>
              <w:widowControl/>
              <w:spacing w:before="100" w:beforeAutospacing="1" w:after="100" w:afterAutospacing="1" w:line="240" w:lineRule="atLeast"/>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102套</w:t>
            </w:r>
          </w:p>
        </w:tc>
        <w:tc>
          <w:tcPr>
            <w:tcW w:w="1276"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lang w:eastAsia="zh-CN"/>
              </w:rPr>
            </w:pPr>
          </w:p>
        </w:tc>
        <w:tc>
          <w:tcPr>
            <w:tcW w:w="113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lang w:eastAsia="zh-CN"/>
              </w:rPr>
            </w:pPr>
          </w:p>
        </w:tc>
        <w:tc>
          <w:tcPr>
            <w:tcW w:w="198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工具、设备自带，所有材料乙供，含悬空高处作业费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0" w:hRule="atLeast"/>
          <w:tblCellSpacing w:w="0" w:type="dxa"/>
        </w:trPr>
        <w:tc>
          <w:tcPr>
            <w:tcW w:w="2410" w:type="dxa"/>
            <w:tcBorders>
              <w:top w:val="outset" w:color="auto" w:sz="6" w:space="0"/>
              <w:left w:val="outset" w:color="auto" w:sz="6" w:space="0"/>
              <w:right w:val="outset" w:color="auto" w:sz="6" w:space="0"/>
            </w:tcBorders>
            <w:vAlign w:val="center"/>
          </w:tcPr>
          <w:p>
            <w:pPr>
              <w:widowControl/>
              <w:spacing w:before="100" w:beforeAutospacing="1" w:after="100" w:afterAutospacing="1"/>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罐容指示装置已损坏缺失，修复</w:t>
            </w:r>
          </w:p>
        </w:tc>
        <w:tc>
          <w:tcPr>
            <w:tcW w:w="1559" w:type="dxa"/>
            <w:tcBorders>
              <w:top w:val="outset" w:color="auto" w:sz="6" w:space="0"/>
              <w:left w:val="outset" w:color="auto" w:sz="6" w:space="0"/>
              <w:right w:val="outset" w:color="auto" w:sz="6" w:space="0"/>
            </w:tcBorders>
            <w:vAlign w:val="center"/>
          </w:tcPr>
          <w:p>
            <w:pPr>
              <w:shd w:val="clear" w:color="auto" w:fill="FFFFFF"/>
              <w:spacing w:line="240" w:lineRule="atLeast"/>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CECS267：2009</w:t>
            </w:r>
          </w:p>
        </w:tc>
        <w:tc>
          <w:tcPr>
            <w:tcW w:w="709" w:type="dxa"/>
            <w:tcBorders>
              <w:top w:val="outset" w:color="auto" w:sz="6" w:space="0"/>
              <w:left w:val="outset" w:color="auto" w:sz="6" w:space="0"/>
              <w:right w:val="outset" w:color="auto" w:sz="6" w:space="0"/>
            </w:tcBorders>
            <w:vAlign w:val="center"/>
          </w:tcPr>
          <w:p>
            <w:pPr>
              <w:widowControl/>
              <w:spacing w:before="100" w:beforeAutospacing="1" w:after="100" w:afterAutospacing="1" w:line="240" w:lineRule="atLeast"/>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1套</w:t>
            </w:r>
          </w:p>
        </w:tc>
        <w:tc>
          <w:tcPr>
            <w:tcW w:w="1276"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lang w:eastAsia="zh-CN"/>
              </w:rPr>
            </w:pPr>
          </w:p>
        </w:tc>
        <w:tc>
          <w:tcPr>
            <w:tcW w:w="113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lang w:eastAsia="zh-CN"/>
              </w:rPr>
            </w:pPr>
          </w:p>
        </w:tc>
        <w:tc>
          <w:tcPr>
            <w:tcW w:w="198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工具、设备自带，所有材料乙供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81" w:hRule="atLeast"/>
          <w:tblCellSpacing w:w="0" w:type="dxa"/>
        </w:trPr>
        <w:tc>
          <w:tcPr>
            <w:tcW w:w="2410" w:type="dxa"/>
            <w:tcBorders>
              <w:top w:val="outset" w:color="auto" w:sz="6" w:space="0"/>
              <w:left w:val="outset" w:color="auto" w:sz="6" w:space="0"/>
              <w:right w:val="outset" w:color="auto" w:sz="6" w:space="0"/>
            </w:tcBorders>
            <w:vAlign w:val="center"/>
          </w:tcPr>
          <w:p>
            <w:pPr>
              <w:widowControl/>
              <w:spacing w:before="100" w:beforeAutospacing="1" w:after="100" w:afterAutospacing="1"/>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活塞顶</w:t>
            </w:r>
            <w:r>
              <w:rPr>
                <w:rFonts w:asciiTheme="majorEastAsia" w:hAnsiTheme="majorEastAsia" w:eastAsiaTheme="majorEastAsia"/>
                <w:color w:val="000000"/>
                <w:sz w:val="21"/>
                <w:szCs w:val="21"/>
                <w:lang w:eastAsia="zh-CN"/>
              </w:rPr>
              <w:t>2个人孔和临时支撑121个垫片全部更换</w:t>
            </w:r>
          </w:p>
        </w:tc>
        <w:tc>
          <w:tcPr>
            <w:tcW w:w="1559" w:type="dxa"/>
            <w:tcBorders>
              <w:top w:val="outset" w:color="auto" w:sz="6" w:space="0"/>
              <w:left w:val="outset" w:color="auto" w:sz="6" w:space="0"/>
              <w:right w:val="outset" w:color="auto" w:sz="6" w:space="0"/>
            </w:tcBorders>
            <w:vAlign w:val="center"/>
          </w:tcPr>
          <w:p>
            <w:pPr>
              <w:shd w:val="clear" w:color="auto" w:fill="FFFFFF"/>
              <w:spacing w:line="240" w:lineRule="atLeast"/>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CECS267：2009</w:t>
            </w:r>
          </w:p>
        </w:tc>
        <w:tc>
          <w:tcPr>
            <w:tcW w:w="709" w:type="dxa"/>
            <w:tcBorders>
              <w:top w:val="outset" w:color="auto" w:sz="6" w:space="0"/>
              <w:left w:val="outset" w:color="auto" w:sz="6" w:space="0"/>
              <w:right w:val="outset" w:color="auto" w:sz="6" w:space="0"/>
            </w:tcBorders>
            <w:vAlign w:val="center"/>
          </w:tcPr>
          <w:p>
            <w:pPr>
              <w:widowControl/>
              <w:spacing w:before="100" w:beforeAutospacing="1" w:after="100" w:afterAutospacing="1" w:line="240" w:lineRule="atLeast"/>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123套</w:t>
            </w:r>
          </w:p>
        </w:tc>
        <w:tc>
          <w:tcPr>
            <w:tcW w:w="1276"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lang w:eastAsia="zh-CN"/>
              </w:rPr>
            </w:pPr>
          </w:p>
        </w:tc>
        <w:tc>
          <w:tcPr>
            <w:tcW w:w="113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lang w:eastAsia="zh-CN"/>
              </w:rPr>
            </w:pPr>
          </w:p>
        </w:tc>
        <w:tc>
          <w:tcPr>
            <w:tcW w:w="198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含材料费，所有材料乙供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tblCellSpacing w:w="0" w:type="dxa"/>
        </w:trPr>
        <w:tc>
          <w:tcPr>
            <w:tcW w:w="2410" w:type="dxa"/>
            <w:tcBorders>
              <w:top w:val="outset" w:color="auto" w:sz="6" w:space="0"/>
              <w:left w:val="outset" w:color="auto" w:sz="6" w:space="0"/>
              <w:right w:val="outset" w:color="auto" w:sz="6" w:space="0"/>
            </w:tcBorders>
            <w:vAlign w:val="center"/>
          </w:tcPr>
          <w:p>
            <w:pPr>
              <w:widowControl/>
              <w:spacing w:before="100" w:beforeAutospacing="1" w:after="100" w:afterAutospacing="1"/>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整体气密性试验</w:t>
            </w:r>
            <w:r>
              <w:rPr>
                <w:rFonts w:asciiTheme="majorEastAsia" w:hAnsiTheme="majorEastAsia" w:eastAsiaTheme="majorEastAsia"/>
                <w:color w:val="000000"/>
                <w:sz w:val="21"/>
                <w:szCs w:val="21"/>
                <w:lang w:eastAsia="zh-CN"/>
              </w:rPr>
              <w:t>7昼夜泄漏率小于2％、活塞升降试验到18米</w:t>
            </w:r>
          </w:p>
        </w:tc>
        <w:tc>
          <w:tcPr>
            <w:tcW w:w="1559" w:type="dxa"/>
            <w:tcBorders>
              <w:top w:val="outset" w:color="auto" w:sz="6" w:space="0"/>
              <w:left w:val="outset" w:color="auto" w:sz="6" w:space="0"/>
              <w:right w:val="outset" w:color="auto" w:sz="6" w:space="0"/>
            </w:tcBorders>
            <w:vAlign w:val="center"/>
          </w:tcPr>
          <w:p>
            <w:pPr>
              <w:shd w:val="clear" w:color="auto" w:fill="FFFFFF"/>
              <w:spacing w:line="240" w:lineRule="atLeast"/>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CECS267：2009</w:t>
            </w:r>
          </w:p>
        </w:tc>
        <w:tc>
          <w:tcPr>
            <w:tcW w:w="709" w:type="dxa"/>
            <w:tcBorders>
              <w:top w:val="outset" w:color="auto" w:sz="6" w:space="0"/>
              <w:left w:val="outset" w:color="auto" w:sz="6" w:space="0"/>
              <w:right w:val="outset" w:color="auto" w:sz="6" w:space="0"/>
            </w:tcBorders>
            <w:vAlign w:val="center"/>
          </w:tcPr>
          <w:p>
            <w:pPr>
              <w:widowControl/>
              <w:spacing w:before="100" w:beforeAutospacing="1" w:after="100" w:afterAutospacing="1" w:line="240" w:lineRule="atLeast"/>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1次</w:t>
            </w:r>
          </w:p>
        </w:tc>
        <w:tc>
          <w:tcPr>
            <w:tcW w:w="1276"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lang w:eastAsia="zh-CN"/>
              </w:rPr>
            </w:pPr>
          </w:p>
        </w:tc>
        <w:tc>
          <w:tcPr>
            <w:tcW w:w="113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lang w:eastAsia="zh-CN"/>
              </w:rPr>
            </w:pPr>
          </w:p>
        </w:tc>
        <w:tc>
          <w:tcPr>
            <w:tcW w:w="198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含工具设备，所有材料乙供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9" w:hRule="atLeast"/>
          <w:tblCellSpacing w:w="0" w:type="dxa"/>
        </w:trPr>
        <w:tc>
          <w:tcPr>
            <w:tcW w:w="9072" w:type="dxa"/>
            <w:gridSpan w:val="6"/>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both"/>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总计（含税）：人民币        元整（含</w:t>
            </w:r>
            <w:r>
              <w:rPr>
                <w:rFonts w:hint="eastAsia" w:asciiTheme="majorEastAsia" w:hAnsiTheme="majorEastAsia" w:eastAsiaTheme="majorEastAsia"/>
                <w:sz w:val="21"/>
                <w:szCs w:val="21"/>
                <w:u w:val="single"/>
                <w:lang w:eastAsia="zh-CN"/>
              </w:rPr>
              <w:t xml:space="preserve">    </w:t>
            </w:r>
            <w:r>
              <w:rPr>
                <w:rFonts w:hint="eastAsia" w:asciiTheme="majorEastAsia" w:hAnsiTheme="majorEastAsia" w:eastAsiaTheme="majorEastAsia"/>
                <w:sz w:val="21"/>
                <w:szCs w:val="21"/>
                <w:lang w:eastAsia="zh-CN"/>
              </w:rPr>
              <w:t>%增值税）</w:t>
            </w:r>
          </w:p>
        </w:tc>
      </w:tr>
    </w:tbl>
    <w:p>
      <w:pPr>
        <w:widowControl/>
        <w:spacing w:line="360" w:lineRule="auto"/>
        <w:ind w:left="718" w:leftChars="-1" w:hanging="720" w:hangingChars="300"/>
        <w:rPr>
          <w:color w:val="000000"/>
          <w:sz w:val="24"/>
          <w:lang w:eastAsia="zh-CN"/>
        </w:rPr>
      </w:pPr>
      <w:r>
        <w:rPr>
          <w:rFonts w:hint="eastAsia"/>
          <w:sz w:val="24"/>
          <w:lang w:eastAsia="zh-CN"/>
        </w:rPr>
        <w:t>说明：本合同</w:t>
      </w:r>
      <w:r>
        <w:rPr>
          <w:rFonts w:hint="eastAsia"/>
          <w:color w:val="000000"/>
          <w:sz w:val="24"/>
          <w:lang w:eastAsia="zh-CN"/>
        </w:rPr>
        <w:t>的维修总价为包干制，</w:t>
      </w:r>
      <w:r>
        <w:rPr>
          <w:rFonts w:hint="eastAsia"/>
          <w:sz w:val="24"/>
          <w:lang w:eastAsia="zh-CN"/>
        </w:rPr>
        <w:t>包括乙方工作涉及到的劳务费、管理费、工具费、劳保费、所有税费、各种保险、安全费用、利润、运输费、耗材费及合同涉及到的所有风险、责任、义务等完成各项目所需的全部费用；乙方根据实际需要增加或者减少维修</w:t>
      </w:r>
      <w:r>
        <w:rPr>
          <w:rFonts w:hint="eastAsia"/>
          <w:color w:val="000000"/>
          <w:sz w:val="24"/>
          <w:lang w:eastAsia="zh-CN"/>
        </w:rPr>
        <w:t>人员数量，本合同固定总价不变。</w:t>
      </w:r>
    </w:p>
    <w:p>
      <w:pPr>
        <w:spacing w:line="360" w:lineRule="auto"/>
        <w:rPr>
          <w:b/>
          <w:color w:val="000000"/>
          <w:sz w:val="24"/>
          <w:lang w:eastAsia="zh-CN"/>
        </w:rPr>
      </w:pPr>
      <w:r>
        <w:rPr>
          <w:rFonts w:hint="eastAsia"/>
          <w:b/>
          <w:color w:val="000000"/>
          <w:sz w:val="24"/>
          <w:lang w:eastAsia="zh-CN"/>
        </w:rPr>
        <w:t>二、费用结算方式和支付期限：</w:t>
      </w:r>
    </w:p>
    <w:p>
      <w:pPr>
        <w:spacing w:line="360" w:lineRule="auto"/>
        <w:rPr>
          <w:sz w:val="24"/>
          <w:lang w:eastAsia="zh-CN"/>
        </w:rPr>
      </w:pPr>
      <w:r>
        <w:rPr>
          <w:rFonts w:hint="eastAsia"/>
          <w:sz w:val="24"/>
          <w:lang w:eastAsia="zh-CN"/>
        </w:rPr>
        <w:t>1、预付款：无</w:t>
      </w:r>
    </w:p>
    <w:p>
      <w:pPr>
        <w:spacing w:line="360" w:lineRule="auto"/>
        <w:ind w:left="1320" w:hanging="1320" w:hangingChars="550"/>
        <w:rPr>
          <w:sz w:val="24"/>
          <w:lang w:eastAsia="zh-CN"/>
        </w:rPr>
      </w:pPr>
      <w:r>
        <w:rPr>
          <w:rFonts w:hint="eastAsia"/>
          <w:sz w:val="24"/>
          <w:lang w:eastAsia="zh-CN"/>
        </w:rPr>
        <w:t>2、验收款：气柜检修完成并经甲方验收合格后，且收到全额合同总价</w:t>
      </w:r>
      <w:r>
        <w:rPr>
          <w:rFonts w:hint="eastAsia"/>
          <w:sz w:val="24"/>
          <w:u w:val="single"/>
          <w:lang w:eastAsia="zh-CN"/>
        </w:rPr>
        <w:t xml:space="preserve">    </w:t>
      </w:r>
      <w:r>
        <w:rPr>
          <w:rFonts w:hint="eastAsia"/>
          <w:sz w:val="24"/>
          <w:lang w:eastAsia="zh-CN"/>
        </w:rPr>
        <w:t>%增值税专用发票后，甲方15个工作日内支付给乙方90％的验收款（即￥</w:t>
      </w:r>
      <w:r>
        <w:rPr>
          <w:rFonts w:hint="eastAsia"/>
          <w:sz w:val="24"/>
          <w:u w:val="single"/>
          <w:lang w:eastAsia="zh-CN"/>
        </w:rPr>
        <w:t xml:space="preserve">       </w:t>
      </w:r>
      <w:r>
        <w:rPr>
          <w:rFonts w:hint="eastAsia"/>
          <w:sz w:val="24"/>
          <w:lang w:eastAsia="zh-CN"/>
        </w:rPr>
        <w:t>元）。</w:t>
      </w:r>
    </w:p>
    <w:p>
      <w:pPr>
        <w:spacing w:line="360" w:lineRule="auto"/>
        <w:ind w:left="1320" w:hanging="1320" w:hangingChars="550"/>
        <w:rPr>
          <w:sz w:val="24"/>
          <w:lang w:eastAsia="zh-CN"/>
        </w:rPr>
      </w:pPr>
      <w:r>
        <w:rPr>
          <w:rFonts w:hint="eastAsia"/>
          <w:sz w:val="24"/>
          <w:lang w:eastAsia="zh-CN"/>
        </w:rPr>
        <w:t>3、质保款：合同款的10%作为质保金，质保期12个月，质保期满无任何质量问题，甲方15个工作日内无息付清尾款。</w:t>
      </w:r>
    </w:p>
    <w:p>
      <w:pPr>
        <w:widowControl/>
        <w:spacing w:line="360" w:lineRule="auto"/>
        <w:rPr>
          <w:b/>
          <w:color w:val="000000"/>
          <w:sz w:val="24"/>
          <w:lang w:eastAsia="zh-CN"/>
        </w:rPr>
      </w:pPr>
      <w:r>
        <w:rPr>
          <w:b/>
          <w:color w:val="000000"/>
          <w:sz w:val="24"/>
          <w:lang w:eastAsia="zh-CN"/>
        </w:rPr>
        <w:t>三、</w:t>
      </w:r>
      <w:r>
        <w:rPr>
          <w:rFonts w:hint="eastAsia"/>
          <w:b/>
          <w:color w:val="000000"/>
          <w:sz w:val="24"/>
          <w:lang w:eastAsia="zh-CN"/>
        </w:rPr>
        <w:t>维修要求：</w:t>
      </w:r>
    </w:p>
    <w:p>
      <w:pPr>
        <w:spacing w:line="360" w:lineRule="auto"/>
        <w:ind w:left="-1" w:leftChars="-1" w:hanging="1"/>
        <w:rPr>
          <w:sz w:val="24"/>
          <w:lang w:eastAsia="zh-CN"/>
        </w:rPr>
      </w:pPr>
      <w:r>
        <w:rPr>
          <w:rFonts w:hint="eastAsia"/>
          <w:color w:val="000000"/>
          <w:sz w:val="24"/>
          <w:lang w:eastAsia="zh-CN"/>
        </w:rPr>
        <w:t>1、</w:t>
      </w:r>
      <w:r>
        <w:rPr>
          <w:color w:val="000000"/>
          <w:sz w:val="24"/>
          <w:lang w:eastAsia="zh-CN"/>
        </w:rPr>
        <w:t>维修地点</w:t>
      </w:r>
      <w:r>
        <w:rPr>
          <w:sz w:val="24"/>
          <w:lang w:eastAsia="zh-CN"/>
        </w:rPr>
        <w:t>：</w:t>
      </w:r>
      <w:r>
        <w:rPr>
          <w:rFonts w:hint="eastAsia"/>
          <w:color w:val="000000"/>
          <w:sz w:val="24"/>
          <w:u w:val="single"/>
          <w:lang w:eastAsia="zh-CN"/>
        </w:rPr>
        <w:t>甲方现场</w:t>
      </w:r>
      <w:r>
        <w:rPr>
          <w:rFonts w:hint="eastAsia"/>
          <w:sz w:val="24"/>
          <w:lang w:eastAsia="zh-CN"/>
        </w:rPr>
        <w:t>。</w:t>
      </w:r>
    </w:p>
    <w:p>
      <w:pPr>
        <w:spacing w:line="360" w:lineRule="auto"/>
        <w:ind w:left="2758" w:leftChars="-1" w:hanging="2760" w:hangingChars="1150"/>
        <w:rPr>
          <w:sz w:val="24"/>
          <w:lang w:eastAsia="zh-CN"/>
        </w:rPr>
      </w:pPr>
      <w:r>
        <w:rPr>
          <w:rFonts w:hint="eastAsia"/>
          <w:sz w:val="24"/>
          <w:lang w:eastAsia="zh-CN"/>
        </w:rPr>
        <w:t xml:space="preserve">   维修要求：见附件1“发包文件”</w:t>
      </w:r>
    </w:p>
    <w:p>
      <w:pPr>
        <w:widowControl/>
        <w:spacing w:line="360" w:lineRule="auto"/>
        <w:ind w:left="-1" w:leftChars="-1" w:hanging="1"/>
        <w:rPr>
          <w:rFonts w:cs="Arial"/>
          <w:sz w:val="24"/>
          <w:lang w:eastAsia="zh-CN"/>
        </w:rPr>
      </w:pPr>
      <w:r>
        <w:rPr>
          <w:rFonts w:hint="eastAsia"/>
          <w:color w:val="000000"/>
          <w:sz w:val="24"/>
          <w:lang w:eastAsia="zh-CN"/>
        </w:rPr>
        <w:t>2、</w:t>
      </w:r>
      <w:r>
        <w:rPr>
          <w:rFonts w:cs="Arial"/>
          <w:sz w:val="24"/>
          <w:lang w:eastAsia="zh-CN"/>
        </w:rPr>
        <w:t>修缮修理的质量要求、技术标准</w:t>
      </w:r>
      <w:r>
        <w:rPr>
          <w:rFonts w:hint="eastAsia" w:cs="Arial"/>
          <w:sz w:val="24"/>
          <w:lang w:eastAsia="zh-CN"/>
        </w:rPr>
        <w:t xml:space="preserve">：以国家标准、行业标准等有关规定为准。双方约定的质量和技术标准高于国家标准、行业标准的，按双方约定执行；双方约定低于国家标准和行业规范的或双方没有约定的，按国家标准、行业标准执行。如果没有国家标准、行业标准，双方也未作特别约定的，则按照通常的维修质量标准或者符合该维修整体及各部位的功能及结构目的的特定标准执行。    </w:t>
      </w:r>
    </w:p>
    <w:p>
      <w:pPr>
        <w:adjustRightInd w:val="0"/>
        <w:spacing w:line="360" w:lineRule="auto"/>
        <w:ind w:left="1"/>
        <w:rPr>
          <w:rFonts w:cs="Arial"/>
          <w:sz w:val="24"/>
          <w:lang w:eastAsia="zh-CN"/>
        </w:rPr>
      </w:pPr>
      <w:r>
        <w:rPr>
          <w:rFonts w:hint="eastAsia" w:cs="Arial"/>
          <w:sz w:val="24"/>
          <w:lang w:eastAsia="zh-CN"/>
        </w:rPr>
        <w:t>3、</w:t>
      </w:r>
      <w:r>
        <w:rPr>
          <w:rFonts w:cs="Arial"/>
          <w:sz w:val="24"/>
          <w:lang w:eastAsia="zh-CN"/>
        </w:rPr>
        <w:t>验收标准及方法</w:t>
      </w:r>
      <w:r>
        <w:rPr>
          <w:rFonts w:hint="eastAsia" w:cs="Arial"/>
          <w:sz w:val="24"/>
          <w:lang w:eastAsia="zh-CN"/>
        </w:rPr>
        <w:t>：符合气柜检修后的</w:t>
      </w:r>
      <w:r>
        <w:rPr>
          <w:rFonts w:hint="eastAsia" w:cs="Arial"/>
          <w:b/>
          <w:sz w:val="24"/>
          <w:lang w:eastAsia="zh-CN"/>
        </w:rPr>
        <w:t>GB</w:t>
      </w:r>
      <w:r>
        <w:rPr>
          <w:rFonts w:hint="eastAsia" w:cs="Arial"/>
          <w:sz w:val="24"/>
          <w:lang w:eastAsia="zh-CN"/>
        </w:rPr>
        <w:t>以及行业等相关标准要求，符合制造厂出厂标准，如经验收与验收标准不符的，甲方可在验收后</w:t>
      </w:r>
      <w:r>
        <w:rPr>
          <w:rFonts w:hint="eastAsia" w:cs="Arial"/>
          <w:sz w:val="24"/>
          <w:u w:val="single"/>
          <w:lang w:eastAsia="zh-CN"/>
        </w:rPr>
        <w:t xml:space="preserve"> 5 </w:t>
      </w:r>
      <w:r>
        <w:rPr>
          <w:rFonts w:hint="eastAsia" w:cs="Arial"/>
          <w:sz w:val="24"/>
          <w:lang w:eastAsia="zh-CN"/>
        </w:rPr>
        <w:t xml:space="preserve"> 个工作日内提出书面异议。乙方收到书面异议后须于</w:t>
      </w:r>
      <w:r>
        <w:rPr>
          <w:rFonts w:hint="eastAsia" w:cs="Arial"/>
          <w:sz w:val="24"/>
          <w:u w:val="single"/>
          <w:lang w:eastAsia="zh-CN"/>
        </w:rPr>
        <w:t xml:space="preserve"> 3</w:t>
      </w:r>
      <w:r>
        <w:rPr>
          <w:rFonts w:hint="eastAsia" w:cs="Arial"/>
          <w:sz w:val="24"/>
          <w:lang w:eastAsia="zh-CN"/>
        </w:rPr>
        <w:t xml:space="preserve"> 个工作日内书面答复并负责处理，否则视为默认甲方提出的异议成立并同意甲方的处理意见，承担相应的法律责任。</w:t>
      </w:r>
    </w:p>
    <w:p>
      <w:pPr>
        <w:widowControl/>
        <w:spacing w:line="360" w:lineRule="auto"/>
        <w:rPr>
          <w:rFonts w:cs="Arial"/>
          <w:sz w:val="24"/>
          <w:u w:val="single"/>
          <w:lang w:eastAsia="zh-CN"/>
        </w:rPr>
      </w:pPr>
      <w:r>
        <w:rPr>
          <w:rFonts w:hint="eastAsia" w:cs="Arial"/>
          <w:sz w:val="24"/>
          <w:lang w:eastAsia="zh-CN"/>
        </w:rPr>
        <w:t>4、</w:t>
      </w:r>
      <w:r>
        <w:rPr>
          <w:rFonts w:cs="Arial"/>
          <w:sz w:val="24"/>
          <w:lang w:eastAsia="zh-CN"/>
        </w:rPr>
        <w:t>包装要求及包装费用负担</w:t>
      </w:r>
      <w:r>
        <w:rPr>
          <w:rFonts w:hint="eastAsia" w:cs="Arial"/>
          <w:sz w:val="24"/>
          <w:lang w:eastAsia="zh-CN"/>
        </w:rPr>
        <w:t>：场外维修的，乙方应当按照足以固定、保护好维修设备的措施包装，费用由乙方承担（已含在维修报价里）。若因乙方包装不善，造成维修设备损坏的，乙方应当照价赔偿。</w:t>
      </w:r>
    </w:p>
    <w:p>
      <w:pPr>
        <w:widowControl/>
        <w:spacing w:line="360" w:lineRule="auto"/>
        <w:rPr>
          <w:rFonts w:cs="Arial"/>
          <w:sz w:val="24"/>
          <w:lang w:eastAsia="zh-CN"/>
        </w:rPr>
      </w:pPr>
      <w:r>
        <w:rPr>
          <w:rFonts w:hint="eastAsia"/>
          <w:sz w:val="24"/>
          <w:lang w:eastAsia="zh-CN"/>
        </w:rPr>
        <w:t>5</w:t>
      </w:r>
      <w:r>
        <w:rPr>
          <w:rFonts w:hint="eastAsia" w:cs="Arial"/>
          <w:sz w:val="24"/>
          <w:lang w:eastAsia="zh-CN"/>
        </w:rPr>
        <w:t>、</w:t>
      </w:r>
      <w:r>
        <w:rPr>
          <w:rFonts w:cs="Arial"/>
          <w:sz w:val="24"/>
          <w:lang w:eastAsia="zh-CN"/>
        </w:rPr>
        <w:t>乙方</w:t>
      </w:r>
      <w:r>
        <w:rPr>
          <w:rFonts w:hint="eastAsia" w:cs="Arial"/>
          <w:sz w:val="24"/>
          <w:lang w:eastAsia="zh-CN"/>
        </w:rPr>
        <w:t>保证</w:t>
      </w:r>
      <w:r>
        <w:rPr>
          <w:rFonts w:cs="Arial"/>
          <w:sz w:val="24"/>
          <w:lang w:eastAsia="zh-CN"/>
        </w:rPr>
        <w:t>为甲方提供的更换部件为</w:t>
      </w:r>
      <w:r>
        <w:rPr>
          <w:rFonts w:hint="eastAsia" w:cs="Arial"/>
          <w:sz w:val="24"/>
          <w:lang w:eastAsia="zh-CN"/>
        </w:rPr>
        <w:t>新</w:t>
      </w:r>
      <w:r>
        <w:rPr>
          <w:rFonts w:cs="Arial"/>
          <w:sz w:val="24"/>
          <w:lang w:eastAsia="zh-CN"/>
        </w:rPr>
        <w:t>部件，如有特殊情况，乙方需在与甲方协商认同后更换与原部件应用功能与技术指标相近的部件。</w:t>
      </w:r>
    </w:p>
    <w:p>
      <w:pPr>
        <w:widowControl/>
        <w:spacing w:line="360" w:lineRule="auto"/>
        <w:ind w:left="1"/>
        <w:rPr>
          <w:sz w:val="24"/>
          <w:lang w:eastAsia="zh-CN"/>
        </w:rPr>
      </w:pPr>
      <w:r>
        <w:rPr>
          <w:rFonts w:hint="eastAsia" w:cs="Arial"/>
          <w:sz w:val="24"/>
          <w:lang w:eastAsia="zh-CN"/>
        </w:rPr>
        <w:t>6、</w:t>
      </w:r>
      <w:r>
        <w:rPr>
          <w:rFonts w:cs="Arial"/>
          <w:sz w:val="24"/>
          <w:lang w:eastAsia="zh-CN"/>
        </w:rPr>
        <w:t>乙方为甲方更换的部件</w:t>
      </w:r>
      <w:r>
        <w:rPr>
          <w:rFonts w:hint="eastAsia" w:cs="Arial"/>
          <w:sz w:val="24"/>
          <w:lang w:eastAsia="zh-CN"/>
        </w:rPr>
        <w:t>、配件</w:t>
      </w:r>
      <w:r>
        <w:rPr>
          <w:rFonts w:cs="Arial"/>
          <w:sz w:val="24"/>
          <w:lang w:eastAsia="zh-CN"/>
        </w:rPr>
        <w:t>在</w:t>
      </w:r>
      <w:r>
        <w:rPr>
          <w:rFonts w:hint="eastAsia" w:cs="Arial"/>
          <w:sz w:val="24"/>
          <w:u w:val="single"/>
          <w:lang w:eastAsia="zh-CN"/>
        </w:rPr>
        <w:t>12</w:t>
      </w:r>
      <w:r>
        <w:rPr>
          <w:rFonts w:cs="Arial"/>
          <w:sz w:val="24"/>
          <w:lang w:eastAsia="zh-CN"/>
        </w:rPr>
        <w:t>个月内损坏</w:t>
      </w:r>
      <w:r>
        <w:rPr>
          <w:rFonts w:hint="eastAsia" w:cs="Arial"/>
          <w:sz w:val="24"/>
          <w:lang w:eastAsia="zh-CN"/>
        </w:rPr>
        <w:t>的</w:t>
      </w:r>
      <w:r>
        <w:rPr>
          <w:rFonts w:cs="Arial"/>
          <w:sz w:val="24"/>
          <w:lang w:eastAsia="zh-CN"/>
        </w:rPr>
        <w:t>，乙方</w:t>
      </w:r>
      <w:r>
        <w:rPr>
          <w:rFonts w:hint="eastAsia" w:cs="Arial"/>
          <w:sz w:val="24"/>
          <w:lang w:eastAsia="zh-CN"/>
        </w:rPr>
        <w:t>须</w:t>
      </w:r>
      <w:r>
        <w:rPr>
          <w:rFonts w:cs="Arial"/>
          <w:sz w:val="24"/>
          <w:lang w:eastAsia="zh-CN"/>
        </w:rPr>
        <w:t>为甲方免费更换、维修</w:t>
      </w:r>
      <w:r>
        <w:rPr>
          <w:rFonts w:hint="eastAsia" w:cs="Arial"/>
          <w:sz w:val="24"/>
          <w:lang w:eastAsia="zh-CN"/>
        </w:rPr>
        <w:t>，且承担由此产生的费用</w:t>
      </w:r>
      <w:r>
        <w:rPr>
          <w:rFonts w:cs="Arial"/>
          <w:sz w:val="24"/>
          <w:lang w:eastAsia="zh-CN"/>
        </w:rPr>
        <w:t>。</w:t>
      </w:r>
    </w:p>
    <w:p>
      <w:pPr>
        <w:widowControl/>
        <w:spacing w:line="360" w:lineRule="auto"/>
        <w:ind w:left="1"/>
        <w:rPr>
          <w:rFonts w:cs="Arial"/>
          <w:sz w:val="24"/>
          <w:lang w:eastAsia="zh-CN"/>
        </w:rPr>
      </w:pPr>
      <w:r>
        <w:rPr>
          <w:rFonts w:hint="eastAsia" w:cs="Arial"/>
          <w:sz w:val="24"/>
          <w:lang w:eastAsia="zh-CN"/>
        </w:rPr>
        <w:t>7</w:t>
      </w:r>
      <w:r>
        <w:rPr>
          <w:rFonts w:cs="Arial"/>
          <w:sz w:val="24"/>
          <w:lang w:eastAsia="zh-CN"/>
        </w:rPr>
        <w:t>、</w:t>
      </w:r>
      <w:r>
        <w:rPr>
          <w:rFonts w:hint="eastAsia" w:cs="Arial"/>
          <w:sz w:val="24"/>
          <w:lang w:eastAsia="zh-CN"/>
        </w:rPr>
        <w:t>乙方因维修设备所发生伙食费、差旅费、高速费、过桥费等均由其自行承担，乙方已在报价时给予综合考虑。</w:t>
      </w:r>
    </w:p>
    <w:p>
      <w:pPr>
        <w:widowControl/>
        <w:spacing w:line="360" w:lineRule="auto"/>
        <w:ind w:left="470" w:hanging="470" w:hangingChars="195"/>
        <w:rPr>
          <w:sz w:val="24"/>
          <w:lang w:eastAsia="zh-CN"/>
        </w:rPr>
      </w:pPr>
      <w:r>
        <w:rPr>
          <w:b/>
          <w:color w:val="000000"/>
          <w:sz w:val="24"/>
          <w:lang w:eastAsia="zh-CN"/>
        </w:rPr>
        <w:t>四、</w:t>
      </w:r>
      <w:r>
        <w:rPr>
          <w:color w:val="000000"/>
          <w:sz w:val="24"/>
          <w:lang w:eastAsia="zh-CN"/>
        </w:rPr>
        <w:t>修复设备的交付方式</w:t>
      </w:r>
      <w:r>
        <w:rPr>
          <w:rFonts w:hint="eastAsia"/>
          <w:color w:val="000000"/>
          <w:sz w:val="24"/>
          <w:lang w:eastAsia="zh-CN"/>
        </w:rPr>
        <w:t>（运输方式）</w:t>
      </w:r>
      <w:r>
        <w:rPr>
          <w:color w:val="000000"/>
          <w:sz w:val="24"/>
          <w:lang w:eastAsia="zh-CN"/>
        </w:rPr>
        <w:t>、地点：</w:t>
      </w:r>
      <w:r>
        <w:rPr>
          <w:color w:val="000000"/>
          <w:sz w:val="24"/>
          <w:u w:val="single"/>
          <w:lang w:eastAsia="zh-CN"/>
        </w:rPr>
        <w:t>_</w:t>
      </w:r>
      <w:r>
        <w:rPr>
          <w:rFonts w:hint="eastAsia"/>
          <w:color w:val="000000"/>
          <w:sz w:val="24"/>
          <w:u w:val="single"/>
          <w:lang w:eastAsia="zh-CN"/>
        </w:rPr>
        <w:t>汽运至甲方现场。</w:t>
      </w:r>
    </w:p>
    <w:p>
      <w:pPr>
        <w:widowControl/>
        <w:spacing w:line="360" w:lineRule="auto"/>
        <w:ind w:left="472" w:hanging="472" w:hangingChars="196"/>
        <w:rPr>
          <w:color w:val="000000"/>
          <w:sz w:val="24"/>
          <w:lang w:eastAsia="zh-CN"/>
        </w:rPr>
      </w:pPr>
      <w:r>
        <w:rPr>
          <w:b/>
          <w:color w:val="000000"/>
          <w:sz w:val="24"/>
          <w:lang w:eastAsia="zh-CN"/>
        </w:rPr>
        <w:t>五、</w:t>
      </w:r>
      <w:r>
        <w:rPr>
          <w:rFonts w:hint="eastAsia"/>
          <w:color w:val="000000"/>
          <w:sz w:val="24"/>
          <w:lang w:eastAsia="zh-CN"/>
        </w:rPr>
        <w:t>乙</w:t>
      </w:r>
      <w:r>
        <w:rPr>
          <w:color w:val="000000"/>
          <w:sz w:val="24"/>
          <w:lang w:eastAsia="zh-CN"/>
        </w:rPr>
        <w:t>方实施</w:t>
      </w:r>
      <w:r>
        <w:rPr>
          <w:rFonts w:hint="eastAsia"/>
          <w:color w:val="000000"/>
          <w:sz w:val="24"/>
          <w:lang w:eastAsia="zh-CN"/>
        </w:rPr>
        <w:t>场外</w:t>
      </w:r>
      <w:r>
        <w:rPr>
          <w:color w:val="000000"/>
          <w:sz w:val="24"/>
          <w:lang w:eastAsia="zh-CN"/>
        </w:rPr>
        <w:t>维修</w:t>
      </w:r>
      <w:r>
        <w:rPr>
          <w:rFonts w:hint="eastAsia"/>
          <w:color w:val="000000"/>
          <w:sz w:val="24"/>
          <w:lang w:eastAsia="zh-CN"/>
        </w:rPr>
        <w:t>的</w:t>
      </w:r>
      <w:r>
        <w:rPr>
          <w:color w:val="000000"/>
          <w:sz w:val="24"/>
          <w:lang w:eastAsia="zh-CN"/>
        </w:rPr>
        <w:t>，在</w:t>
      </w:r>
      <w:r>
        <w:rPr>
          <w:rFonts w:hint="eastAsia"/>
          <w:color w:val="000000"/>
          <w:sz w:val="24"/>
          <w:lang w:eastAsia="zh-CN"/>
        </w:rPr>
        <w:t>合同签订本生效后</w:t>
      </w:r>
      <w:r>
        <w:rPr>
          <w:color w:val="000000"/>
          <w:sz w:val="24"/>
          <w:u w:val="single"/>
          <w:lang w:eastAsia="zh-CN"/>
        </w:rPr>
        <w:t>_</w:t>
      </w:r>
      <w:r>
        <w:rPr>
          <w:rFonts w:hint="eastAsia"/>
          <w:color w:val="000000"/>
          <w:sz w:val="24"/>
          <w:u w:val="single"/>
          <w:lang w:eastAsia="zh-CN"/>
        </w:rPr>
        <w:t xml:space="preserve">15天 </w:t>
      </w:r>
      <w:r>
        <w:rPr>
          <w:color w:val="000000"/>
          <w:sz w:val="24"/>
          <w:lang w:eastAsia="zh-CN"/>
        </w:rPr>
        <w:t>内修复并按第四条中规定的方式</w:t>
      </w:r>
      <w:r>
        <w:rPr>
          <w:rFonts w:hint="eastAsia"/>
          <w:color w:val="000000"/>
          <w:sz w:val="24"/>
          <w:lang w:eastAsia="zh-CN"/>
        </w:rPr>
        <w:t>送达甲方</w:t>
      </w:r>
      <w:r>
        <w:rPr>
          <w:color w:val="000000"/>
          <w:sz w:val="24"/>
          <w:lang w:eastAsia="zh-CN"/>
        </w:rPr>
        <w:t>。</w:t>
      </w:r>
      <w:r>
        <w:rPr>
          <w:rFonts w:hint="eastAsia"/>
          <w:color w:val="000000"/>
          <w:sz w:val="24"/>
          <w:lang w:eastAsia="zh-CN"/>
        </w:rPr>
        <w:t>以上修复期限经甲方同意延期或因甲方原因造成延期的，按甲方确认的日期顺延。</w:t>
      </w:r>
    </w:p>
    <w:p>
      <w:pPr>
        <w:widowControl/>
        <w:spacing w:line="360" w:lineRule="auto"/>
        <w:ind w:left="472" w:hanging="472" w:hangingChars="196"/>
        <w:rPr>
          <w:color w:val="000000"/>
          <w:sz w:val="24"/>
          <w:lang w:eastAsia="zh-CN"/>
        </w:rPr>
      </w:pPr>
      <w:r>
        <w:rPr>
          <w:b/>
          <w:color w:val="000000"/>
          <w:sz w:val="24"/>
          <w:lang w:eastAsia="zh-CN"/>
        </w:rPr>
        <w:t>六、</w:t>
      </w:r>
      <w:r>
        <w:rPr>
          <w:color w:val="000000"/>
          <w:sz w:val="24"/>
          <w:lang w:eastAsia="zh-CN"/>
        </w:rPr>
        <w:t>设备修复后，对于该设备的同一故障，</w:t>
      </w:r>
      <w:r>
        <w:rPr>
          <w:rFonts w:hint="eastAsia"/>
          <w:color w:val="000000"/>
          <w:sz w:val="24"/>
          <w:lang w:eastAsia="zh-CN"/>
        </w:rPr>
        <w:t>乙</w:t>
      </w:r>
      <w:r>
        <w:rPr>
          <w:color w:val="000000"/>
          <w:sz w:val="24"/>
          <w:lang w:eastAsia="zh-CN"/>
        </w:rPr>
        <w:t>方提供</w:t>
      </w:r>
      <w:r>
        <w:rPr>
          <w:rFonts w:hint="eastAsia"/>
          <w:color w:val="000000"/>
          <w:sz w:val="24"/>
          <w:u w:val="single"/>
          <w:lang w:eastAsia="zh-CN"/>
        </w:rPr>
        <w:t xml:space="preserve"> 12</w:t>
      </w:r>
      <w:r>
        <w:rPr>
          <w:color w:val="000000"/>
          <w:sz w:val="24"/>
          <w:lang w:eastAsia="zh-CN"/>
        </w:rPr>
        <w:t>个月的</w:t>
      </w:r>
      <w:r>
        <w:rPr>
          <w:rFonts w:hint="eastAsia"/>
          <w:color w:val="000000"/>
          <w:sz w:val="24"/>
          <w:lang w:eastAsia="zh-CN"/>
        </w:rPr>
        <w:t>免费</w:t>
      </w:r>
      <w:r>
        <w:rPr>
          <w:color w:val="000000"/>
          <w:sz w:val="24"/>
          <w:lang w:eastAsia="zh-CN"/>
        </w:rPr>
        <w:t>保修</w:t>
      </w:r>
      <w:r>
        <w:rPr>
          <w:rFonts w:hint="eastAsia"/>
          <w:color w:val="000000"/>
          <w:sz w:val="24"/>
          <w:lang w:eastAsia="zh-CN"/>
        </w:rPr>
        <w:t>，自验收合格之日起起算。</w:t>
      </w:r>
    </w:p>
    <w:p>
      <w:pPr>
        <w:widowControl/>
        <w:spacing w:line="360" w:lineRule="auto"/>
        <w:ind w:left="472" w:hanging="472" w:hangingChars="196"/>
        <w:rPr>
          <w:color w:val="000000"/>
          <w:sz w:val="24"/>
          <w:lang w:eastAsia="zh-CN"/>
        </w:rPr>
      </w:pPr>
      <w:r>
        <w:rPr>
          <w:rFonts w:hint="eastAsia"/>
          <w:b/>
          <w:color w:val="000000"/>
          <w:sz w:val="24"/>
          <w:lang w:eastAsia="zh-CN"/>
        </w:rPr>
        <w:t>七、</w:t>
      </w:r>
      <w:r>
        <w:rPr>
          <w:rFonts w:hint="eastAsia"/>
          <w:color w:val="000000"/>
          <w:sz w:val="24"/>
          <w:lang w:eastAsia="zh-CN"/>
        </w:rPr>
        <w:t>需场外维修的设备，设备从离开甲方到修复送达甲方期间，设备的损坏灭失的风险由乙方承担，并向甲方承担损失赔偿责任。</w:t>
      </w:r>
    </w:p>
    <w:p>
      <w:pPr>
        <w:widowControl/>
        <w:spacing w:line="360" w:lineRule="auto"/>
        <w:ind w:left="472" w:hanging="472" w:hangingChars="196"/>
        <w:rPr>
          <w:color w:val="000000"/>
          <w:sz w:val="24"/>
          <w:lang w:eastAsia="zh-CN"/>
        </w:rPr>
      </w:pPr>
      <w:r>
        <w:rPr>
          <w:rFonts w:hint="eastAsia"/>
          <w:b/>
          <w:color w:val="000000"/>
          <w:sz w:val="24"/>
          <w:lang w:eastAsia="zh-CN"/>
        </w:rPr>
        <w:t>八、特别约定：</w:t>
      </w:r>
      <w:r>
        <w:rPr>
          <w:rFonts w:hint="eastAsia"/>
          <w:color w:val="000000"/>
          <w:sz w:val="24"/>
          <w:lang w:eastAsia="zh-CN"/>
        </w:rPr>
        <w:t>无</w:t>
      </w:r>
    </w:p>
    <w:p>
      <w:pPr>
        <w:widowControl/>
        <w:spacing w:line="360" w:lineRule="auto"/>
        <w:ind w:left="472" w:hanging="472" w:hangingChars="196"/>
        <w:rPr>
          <w:color w:val="000000"/>
          <w:sz w:val="24"/>
          <w:lang w:eastAsia="zh-CN"/>
        </w:rPr>
      </w:pPr>
      <w:r>
        <w:rPr>
          <w:rFonts w:hint="eastAsia"/>
          <w:b/>
          <w:color w:val="000000"/>
          <w:sz w:val="24"/>
          <w:lang w:eastAsia="zh-CN"/>
        </w:rPr>
        <w:t>九、不可抗力：</w:t>
      </w:r>
      <w:r>
        <w:rPr>
          <w:rFonts w:hint="eastAsia"/>
          <w:color w:val="000000"/>
          <w:sz w:val="24"/>
          <w:lang w:eastAsia="zh-CN"/>
        </w:rPr>
        <w:t>在合同履行过程中，双方的任何一方由于不可抗力的原因不能履行合同时应于该原因/事件发生后</w:t>
      </w:r>
      <w:r>
        <w:rPr>
          <w:rFonts w:hint="eastAsia"/>
          <w:color w:val="000000"/>
          <w:sz w:val="24"/>
          <w:u w:val="single"/>
          <w:lang w:eastAsia="zh-CN"/>
        </w:rPr>
        <w:t>10</w:t>
      </w:r>
      <w:r>
        <w:rPr>
          <w:rFonts w:hint="eastAsia"/>
          <w:color w:val="000000"/>
          <w:sz w:val="24"/>
          <w:lang w:eastAsia="zh-CN"/>
        </w:rPr>
        <w:t>日内向对方通报，并提供有效证明文件，并由双方协商是否全部或部分免除履行合同的责任或延期履行合同。</w:t>
      </w:r>
    </w:p>
    <w:p>
      <w:pPr>
        <w:widowControl/>
        <w:spacing w:line="360" w:lineRule="auto"/>
        <w:rPr>
          <w:b/>
          <w:color w:val="000000"/>
          <w:sz w:val="24"/>
          <w:lang w:eastAsia="zh-CN"/>
        </w:rPr>
      </w:pPr>
      <w:r>
        <w:rPr>
          <w:rFonts w:hint="eastAsia"/>
          <w:b/>
          <w:color w:val="000000"/>
          <w:sz w:val="24"/>
          <w:lang w:eastAsia="zh-CN"/>
        </w:rPr>
        <w:t>十</w:t>
      </w:r>
      <w:r>
        <w:rPr>
          <w:b/>
          <w:color w:val="000000"/>
          <w:sz w:val="24"/>
          <w:lang w:eastAsia="zh-CN"/>
        </w:rPr>
        <w:t>、违约责任：</w:t>
      </w:r>
    </w:p>
    <w:p>
      <w:pPr>
        <w:spacing w:line="360" w:lineRule="auto"/>
        <w:rPr>
          <w:color w:val="000000"/>
          <w:sz w:val="24"/>
          <w:lang w:eastAsia="zh-CN"/>
        </w:rPr>
      </w:pPr>
      <w:r>
        <w:rPr>
          <w:color w:val="000000"/>
          <w:sz w:val="24"/>
          <w:lang w:eastAsia="zh-CN"/>
        </w:rPr>
        <w:t>1</w:t>
      </w:r>
      <w:r>
        <w:rPr>
          <w:rFonts w:hint="eastAsia"/>
          <w:color w:val="000000"/>
          <w:sz w:val="24"/>
          <w:lang w:eastAsia="zh-CN"/>
        </w:rPr>
        <w:t>、乙方逾期修复的，每逾期一日应缴纳维修费用总金额的</w:t>
      </w:r>
      <w:r>
        <w:rPr>
          <w:rFonts w:hint="eastAsia"/>
          <w:color w:val="000000"/>
          <w:sz w:val="24"/>
          <w:u w:val="single"/>
          <w:lang w:eastAsia="zh-CN"/>
        </w:rPr>
        <w:t xml:space="preserve">0.1 </w:t>
      </w:r>
      <w:r>
        <w:rPr>
          <w:rFonts w:hint="eastAsia"/>
          <w:color w:val="000000"/>
          <w:sz w:val="24"/>
          <w:lang w:eastAsia="zh-CN"/>
        </w:rPr>
        <w:t>%作为逾期违约金，违约金从维修款里直接扣除。</w:t>
      </w:r>
    </w:p>
    <w:p>
      <w:pPr>
        <w:spacing w:line="360" w:lineRule="auto"/>
        <w:rPr>
          <w:color w:val="000000"/>
          <w:sz w:val="24"/>
          <w:lang w:eastAsia="zh-CN"/>
        </w:rPr>
      </w:pPr>
      <w:r>
        <w:rPr>
          <w:color w:val="000000"/>
          <w:sz w:val="24"/>
          <w:lang w:eastAsia="zh-CN"/>
        </w:rPr>
        <w:t>2</w:t>
      </w:r>
      <w:r>
        <w:rPr>
          <w:rFonts w:hint="eastAsia"/>
          <w:color w:val="000000"/>
          <w:sz w:val="24"/>
          <w:lang w:eastAsia="zh-CN"/>
        </w:rPr>
        <w:t>、乙方所交付的修复后气柜如不符合本合同约定的，按照本合同第三条第3项有关约定处理，且甲方无需支付相应维修费。</w:t>
      </w:r>
    </w:p>
    <w:p>
      <w:pPr>
        <w:spacing w:line="360" w:lineRule="auto"/>
        <w:rPr>
          <w:color w:val="000000"/>
          <w:sz w:val="24"/>
          <w:lang w:eastAsia="zh-CN"/>
        </w:rPr>
      </w:pPr>
      <w:r>
        <w:rPr>
          <w:rFonts w:hint="eastAsia"/>
          <w:color w:val="000000"/>
          <w:sz w:val="24"/>
          <w:lang w:eastAsia="zh-CN"/>
        </w:rPr>
        <w:t>3、任何一方无正当理由单方解约的，视同违约，违约一方应按维修费用总金额的</w:t>
      </w:r>
      <w:r>
        <w:rPr>
          <w:color w:val="000000"/>
          <w:sz w:val="24"/>
          <w:u w:val="single"/>
          <w:lang w:eastAsia="zh-CN"/>
        </w:rPr>
        <w:t>10%</w:t>
      </w:r>
      <w:r>
        <w:rPr>
          <w:rFonts w:hint="eastAsia"/>
          <w:color w:val="000000"/>
          <w:sz w:val="24"/>
          <w:lang w:eastAsia="zh-CN"/>
        </w:rPr>
        <w:t>向另一方偿付违约金及赔偿对方因此产生的损失。</w:t>
      </w:r>
    </w:p>
    <w:p>
      <w:pPr>
        <w:spacing w:line="360" w:lineRule="auto"/>
        <w:rPr>
          <w:color w:val="000000"/>
          <w:sz w:val="24"/>
          <w:lang w:eastAsia="zh-CN"/>
        </w:rPr>
      </w:pPr>
      <w:r>
        <w:rPr>
          <w:rFonts w:hint="eastAsia"/>
          <w:color w:val="000000"/>
          <w:sz w:val="24"/>
          <w:lang w:eastAsia="zh-CN"/>
        </w:rPr>
        <w:t>4、因乙方不能及时履行合同所规定的服务条款，并对甲方工作造成严重延误时，甲方有权解除合同，乙方须按维修费用总额的</w:t>
      </w:r>
      <w:r>
        <w:rPr>
          <w:rFonts w:hint="eastAsia"/>
          <w:color w:val="000000"/>
          <w:sz w:val="24"/>
          <w:u w:val="single"/>
          <w:lang w:eastAsia="zh-CN"/>
        </w:rPr>
        <w:t>20%</w:t>
      </w:r>
      <w:r>
        <w:rPr>
          <w:rFonts w:hint="eastAsia"/>
          <w:color w:val="000000"/>
          <w:sz w:val="24"/>
          <w:lang w:eastAsia="zh-CN"/>
        </w:rPr>
        <w:t>向甲方偿付违约金及赔偿因此给甲方造成的损失。</w:t>
      </w:r>
    </w:p>
    <w:p>
      <w:pPr>
        <w:spacing w:line="360" w:lineRule="auto"/>
        <w:rPr>
          <w:color w:val="000000"/>
          <w:sz w:val="24"/>
          <w:lang w:eastAsia="zh-CN"/>
        </w:rPr>
      </w:pPr>
      <w:r>
        <w:rPr>
          <w:rFonts w:hint="eastAsia"/>
          <w:color w:val="000000"/>
          <w:sz w:val="24"/>
          <w:lang w:eastAsia="zh-CN"/>
        </w:rPr>
        <w:t>5、因乙方工作失误导致甲方设备损坏，乙方应赔偿甲方相应零件并负责修复工作，且由此造成逾期修复的，按逾期修复承担责任。</w:t>
      </w:r>
    </w:p>
    <w:p>
      <w:pPr>
        <w:pStyle w:val="2"/>
        <w:spacing w:line="360" w:lineRule="auto"/>
        <w:rPr>
          <w:sz w:val="24"/>
          <w:szCs w:val="24"/>
        </w:rPr>
      </w:pPr>
      <w:r>
        <w:rPr>
          <w:rFonts w:hint="eastAsia"/>
          <w:sz w:val="24"/>
          <w:szCs w:val="24"/>
        </w:rPr>
        <w:t>6、如甲方逾期付款，按全国银行间同业拆借中心公布的贷款市场报价利率向乙方支付利息</w:t>
      </w:r>
      <w:r>
        <w:rPr>
          <w:rFonts w:hint="eastAsia"/>
          <w:sz w:val="24"/>
        </w:rPr>
        <w:t>。</w:t>
      </w:r>
    </w:p>
    <w:p>
      <w:pPr>
        <w:spacing w:line="360" w:lineRule="auto"/>
        <w:ind w:left="24"/>
        <w:rPr>
          <w:color w:val="000000"/>
          <w:sz w:val="24"/>
          <w:lang w:eastAsia="zh-CN"/>
        </w:rPr>
      </w:pPr>
      <w:r>
        <w:rPr>
          <w:rFonts w:hint="eastAsia"/>
          <w:color w:val="000000"/>
          <w:sz w:val="24"/>
          <w:lang w:eastAsia="zh-CN"/>
        </w:rPr>
        <w:t>上述违约金、赔偿金及其他各种损失，甲方可扣付维修费用充抵，不足部分，可另行向乙方追索。</w:t>
      </w:r>
    </w:p>
    <w:p>
      <w:pPr>
        <w:widowControl/>
        <w:spacing w:line="360" w:lineRule="auto"/>
        <w:ind w:left="472" w:hanging="472" w:hangingChars="196"/>
        <w:rPr>
          <w:color w:val="000000"/>
          <w:sz w:val="24"/>
          <w:lang w:eastAsia="zh-CN"/>
        </w:rPr>
      </w:pPr>
      <w:r>
        <w:rPr>
          <w:rFonts w:hint="eastAsia"/>
          <w:b/>
          <w:color w:val="000000"/>
          <w:sz w:val="24"/>
          <w:lang w:eastAsia="zh-CN"/>
        </w:rPr>
        <w:t>十一</w:t>
      </w:r>
      <w:r>
        <w:rPr>
          <w:b/>
          <w:color w:val="000000"/>
          <w:sz w:val="24"/>
          <w:lang w:eastAsia="zh-CN"/>
        </w:rPr>
        <w:t>、解决合同纠纷的方式：</w:t>
      </w:r>
      <w:r>
        <w:rPr>
          <w:color w:val="000000"/>
          <w:sz w:val="24"/>
          <w:lang w:eastAsia="zh-CN"/>
        </w:rPr>
        <w:t>执行本合同发生争议，由当事人双方协商解决。协商不成，</w:t>
      </w:r>
      <w:r>
        <w:rPr>
          <w:rFonts w:hint="eastAsia"/>
          <w:color w:val="000000"/>
          <w:sz w:val="24"/>
          <w:lang w:eastAsia="zh-CN"/>
        </w:rPr>
        <w:t>向甲方住所地人民法院起诉。</w:t>
      </w:r>
    </w:p>
    <w:p>
      <w:pPr>
        <w:spacing w:line="360" w:lineRule="auto"/>
        <w:rPr>
          <w:color w:val="000000"/>
          <w:sz w:val="24"/>
          <w:lang w:eastAsia="zh-CN"/>
        </w:rPr>
      </w:pPr>
      <w:r>
        <w:rPr>
          <w:rFonts w:hint="eastAsia"/>
          <w:b/>
          <w:color w:val="000000"/>
          <w:sz w:val="24"/>
          <w:lang w:eastAsia="zh-CN"/>
        </w:rPr>
        <w:t>十二、廉洁条款：</w:t>
      </w:r>
      <w:r>
        <w:rPr>
          <w:color w:val="000000"/>
          <w:sz w:val="24"/>
          <w:lang w:eastAsia="zh-CN"/>
        </w:rPr>
        <w:t>严禁乙方以任何方式向甲方人员提供私人便利、行贿</w:t>
      </w:r>
      <w:r>
        <w:rPr>
          <w:rFonts w:hint="eastAsia"/>
          <w:color w:val="000000"/>
          <w:sz w:val="24"/>
          <w:lang w:eastAsia="zh-CN"/>
        </w:rPr>
        <w:t>、赠送礼金、礼品等私利</w:t>
      </w:r>
      <w:r>
        <w:rPr>
          <w:color w:val="000000"/>
          <w:sz w:val="24"/>
          <w:lang w:eastAsia="zh-CN"/>
        </w:rPr>
        <w:t>或进行非正常商务宴请。如果出现乙方在</w:t>
      </w:r>
      <w:r>
        <w:rPr>
          <w:rFonts w:hint="eastAsia"/>
          <w:color w:val="000000"/>
          <w:sz w:val="24"/>
          <w:lang w:eastAsia="zh-CN"/>
        </w:rPr>
        <w:t>合同签订或</w:t>
      </w:r>
      <w:r>
        <w:rPr>
          <w:color w:val="000000"/>
          <w:sz w:val="24"/>
          <w:lang w:eastAsia="zh-CN"/>
        </w:rPr>
        <w:t>履约过程进行私下</w:t>
      </w:r>
      <w:r>
        <w:rPr>
          <w:rFonts w:hint="eastAsia"/>
          <w:color w:val="000000"/>
          <w:sz w:val="24"/>
          <w:lang w:eastAsia="zh-CN"/>
        </w:rPr>
        <w:t>宴请</w:t>
      </w:r>
      <w:r>
        <w:rPr>
          <w:color w:val="000000"/>
          <w:sz w:val="24"/>
          <w:lang w:eastAsia="zh-CN"/>
        </w:rPr>
        <w:t>、向甲方人员提供私人便利、行贿等一切非正常的经济活动</w:t>
      </w:r>
      <w:r>
        <w:rPr>
          <w:rFonts w:hint="eastAsia"/>
          <w:color w:val="000000"/>
          <w:sz w:val="24"/>
          <w:lang w:eastAsia="zh-CN"/>
        </w:rPr>
        <w:t>，</w:t>
      </w:r>
      <w:r>
        <w:rPr>
          <w:color w:val="000000"/>
          <w:sz w:val="24"/>
          <w:lang w:eastAsia="zh-CN"/>
        </w:rPr>
        <w:t>一经查实，甲方有权单方解除合同，</w:t>
      </w:r>
      <w:r>
        <w:rPr>
          <w:rFonts w:hint="eastAsia"/>
          <w:color w:val="000000"/>
          <w:sz w:val="24"/>
          <w:lang w:eastAsia="zh-CN"/>
        </w:rPr>
        <w:t>并根据具体情节对乙方处以合同总价50％的违约金，</w:t>
      </w:r>
      <w:r>
        <w:rPr>
          <w:color w:val="000000"/>
          <w:sz w:val="24"/>
          <w:lang w:eastAsia="zh-CN"/>
        </w:rPr>
        <w:t>因解除相关合同给甲方造成损失的，由乙方承担赔偿责任；同时，乙方如有</w:t>
      </w:r>
      <w:r>
        <w:rPr>
          <w:rFonts w:hint="eastAsia"/>
          <w:color w:val="000000"/>
          <w:sz w:val="24"/>
          <w:lang w:eastAsia="zh-CN"/>
        </w:rPr>
        <w:t>其它</w:t>
      </w:r>
      <w:r>
        <w:rPr>
          <w:color w:val="000000"/>
          <w:sz w:val="24"/>
          <w:lang w:eastAsia="zh-CN"/>
        </w:rPr>
        <w:t>违约，仍须承担违约责任。</w:t>
      </w:r>
    </w:p>
    <w:p>
      <w:pPr>
        <w:spacing w:line="360" w:lineRule="auto"/>
        <w:rPr>
          <w:color w:val="000000"/>
          <w:sz w:val="24"/>
          <w:lang w:eastAsia="zh-CN"/>
        </w:rPr>
      </w:pPr>
      <w:r>
        <w:rPr>
          <w:b/>
          <w:color w:val="000000"/>
          <w:sz w:val="24"/>
          <w:lang w:eastAsia="zh-CN"/>
        </w:rPr>
        <w:t>十</w:t>
      </w:r>
      <w:r>
        <w:rPr>
          <w:rFonts w:hint="eastAsia"/>
          <w:b/>
          <w:color w:val="000000"/>
          <w:sz w:val="24"/>
          <w:lang w:eastAsia="zh-CN"/>
        </w:rPr>
        <w:t>三</w:t>
      </w:r>
      <w:r>
        <w:rPr>
          <w:b/>
          <w:color w:val="000000"/>
          <w:sz w:val="24"/>
          <w:lang w:eastAsia="zh-CN"/>
        </w:rPr>
        <w:t>、</w:t>
      </w:r>
      <w:r>
        <w:rPr>
          <w:color w:val="000000"/>
          <w:sz w:val="24"/>
          <w:lang w:eastAsia="zh-CN"/>
        </w:rPr>
        <w:t>上述条款如有未尽事宜，应以书面补充</w:t>
      </w:r>
      <w:r>
        <w:rPr>
          <w:rFonts w:hint="eastAsia"/>
          <w:color w:val="000000"/>
          <w:sz w:val="24"/>
          <w:lang w:eastAsia="zh-CN"/>
        </w:rPr>
        <w:t>并</w:t>
      </w:r>
      <w:r>
        <w:rPr>
          <w:color w:val="000000"/>
          <w:sz w:val="24"/>
          <w:lang w:eastAsia="zh-CN"/>
        </w:rPr>
        <w:t>作为</w:t>
      </w:r>
      <w:r>
        <w:rPr>
          <w:rFonts w:hint="eastAsia"/>
          <w:color w:val="000000"/>
          <w:sz w:val="24"/>
          <w:lang w:eastAsia="zh-CN"/>
        </w:rPr>
        <w:t>本合同</w:t>
      </w:r>
      <w:r>
        <w:rPr>
          <w:color w:val="000000"/>
          <w:sz w:val="24"/>
          <w:lang w:eastAsia="zh-CN"/>
        </w:rPr>
        <w:t>附件。</w:t>
      </w:r>
    </w:p>
    <w:p>
      <w:pPr>
        <w:widowControl/>
        <w:spacing w:line="360" w:lineRule="auto"/>
        <w:ind w:left="708" w:hanging="708" w:hangingChars="294"/>
        <w:rPr>
          <w:color w:val="000000"/>
          <w:sz w:val="24"/>
          <w:lang w:eastAsia="zh-CN"/>
        </w:rPr>
      </w:pPr>
      <w:r>
        <w:rPr>
          <w:b/>
          <w:color w:val="000000"/>
          <w:sz w:val="24"/>
          <w:lang w:eastAsia="zh-CN"/>
        </w:rPr>
        <w:t>十</w:t>
      </w:r>
      <w:r>
        <w:rPr>
          <w:rFonts w:hint="eastAsia"/>
          <w:b/>
          <w:color w:val="000000"/>
          <w:sz w:val="24"/>
          <w:lang w:eastAsia="zh-CN"/>
        </w:rPr>
        <w:t>四</w:t>
      </w:r>
      <w:r>
        <w:rPr>
          <w:b/>
          <w:color w:val="000000"/>
          <w:sz w:val="24"/>
          <w:lang w:eastAsia="zh-CN"/>
        </w:rPr>
        <w:t>、</w:t>
      </w:r>
      <w:r>
        <w:rPr>
          <w:rFonts w:hint="eastAsia"/>
          <w:color w:val="000000"/>
          <w:sz w:val="24"/>
          <w:lang w:eastAsia="zh-CN"/>
        </w:rPr>
        <w:t>本合同经</w:t>
      </w:r>
      <w:r>
        <w:rPr>
          <w:color w:val="000000"/>
          <w:sz w:val="24"/>
          <w:lang w:eastAsia="zh-CN"/>
        </w:rPr>
        <w:t>双方</w:t>
      </w:r>
      <w:r>
        <w:rPr>
          <w:rFonts w:hint="eastAsia"/>
          <w:color w:val="000000"/>
          <w:sz w:val="24"/>
          <w:lang w:eastAsia="zh-CN"/>
        </w:rPr>
        <w:t>加盖单位公章之日起生效</w:t>
      </w:r>
      <w:r>
        <w:rPr>
          <w:color w:val="000000"/>
          <w:sz w:val="24"/>
          <w:lang w:eastAsia="zh-CN"/>
        </w:rPr>
        <w:t>。本合同一式</w:t>
      </w:r>
      <w:r>
        <w:rPr>
          <w:rFonts w:hint="eastAsia"/>
          <w:color w:val="000000"/>
          <w:sz w:val="24"/>
          <w:lang w:eastAsia="zh-CN"/>
        </w:rPr>
        <w:t>陆</w:t>
      </w:r>
      <w:r>
        <w:rPr>
          <w:color w:val="000000"/>
          <w:sz w:val="24"/>
          <w:lang w:eastAsia="zh-CN"/>
        </w:rPr>
        <w:t>份，</w:t>
      </w:r>
      <w:r>
        <w:rPr>
          <w:rFonts w:hint="eastAsia"/>
          <w:color w:val="000000"/>
          <w:sz w:val="24"/>
          <w:lang w:eastAsia="zh-CN"/>
        </w:rPr>
        <w:t>甲</w:t>
      </w:r>
      <w:r>
        <w:rPr>
          <w:color w:val="000000"/>
          <w:sz w:val="24"/>
          <w:lang w:eastAsia="zh-CN"/>
        </w:rPr>
        <w:t>方执</w:t>
      </w:r>
      <w:r>
        <w:rPr>
          <w:rFonts w:hint="eastAsia"/>
          <w:color w:val="000000"/>
          <w:sz w:val="24"/>
          <w:lang w:eastAsia="zh-CN"/>
        </w:rPr>
        <w:t>肆</w:t>
      </w:r>
      <w:r>
        <w:rPr>
          <w:color w:val="000000"/>
          <w:sz w:val="24"/>
          <w:lang w:eastAsia="zh-CN"/>
        </w:rPr>
        <w:t>份</w:t>
      </w:r>
      <w:r>
        <w:rPr>
          <w:rFonts w:hint="eastAsia"/>
          <w:color w:val="000000"/>
          <w:sz w:val="24"/>
          <w:lang w:eastAsia="zh-CN"/>
        </w:rPr>
        <w:t>，乙</w:t>
      </w:r>
      <w:r>
        <w:rPr>
          <w:color w:val="000000"/>
          <w:sz w:val="24"/>
          <w:lang w:eastAsia="zh-CN"/>
        </w:rPr>
        <w:t>方执</w:t>
      </w:r>
      <w:r>
        <w:rPr>
          <w:rFonts w:hint="eastAsia"/>
          <w:color w:val="000000"/>
          <w:sz w:val="24"/>
          <w:lang w:eastAsia="zh-CN"/>
        </w:rPr>
        <w:t>贰</w:t>
      </w:r>
      <w:r>
        <w:rPr>
          <w:color w:val="000000"/>
          <w:sz w:val="24"/>
          <w:lang w:eastAsia="zh-CN"/>
        </w:rPr>
        <w:t>份。</w:t>
      </w:r>
      <w:r>
        <w:rPr>
          <w:rFonts w:hint="eastAsia"/>
          <w:color w:val="000000"/>
          <w:sz w:val="24"/>
          <w:lang w:eastAsia="zh-CN"/>
        </w:rPr>
        <w:t>具有同等法律效力。</w:t>
      </w:r>
    </w:p>
    <w:p>
      <w:pPr>
        <w:pStyle w:val="4"/>
        <w:tabs>
          <w:tab w:val="left" w:pos="630"/>
          <w:tab w:val="left" w:pos="840"/>
        </w:tabs>
        <w:spacing w:line="360" w:lineRule="auto"/>
        <w:ind w:left="0"/>
        <w:rPr>
          <w:bCs w:val="0"/>
          <w:color w:val="000000"/>
          <w:lang w:eastAsia="zh-CN"/>
        </w:rPr>
      </w:pPr>
      <w:r>
        <w:rPr>
          <w:rFonts w:hint="eastAsia"/>
          <w:bCs w:val="0"/>
          <w:color w:val="000000"/>
          <w:lang w:eastAsia="zh-CN"/>
        </w:rPr>
        <w:t>十五、附件:</w:t>
      </w:r>
    </w:p>
    <w:p>
      <w:pPr>
        <w:pStyle w:val="45"/>
        <w:numPr>
          <w:ilvl w:val="0"/>
          <w:numId w:val="6"/>
        </w:numPr>
        <w:overflowPunct w:val="0"/>
        <w:adjustRightInd w:val="0"/>
        <w:spacing w:before="0" w:line="360" w:lineRule="auto"/>
        <w:textAlignment w:val="baseline"/>
        <w:rPr>
          <w:color w:val="000000"/>
          <w:sz w:val="24"/>
          <w:lang w:eastAsia="zh-CN"/>
        </w:rPr>
      </w:pPr>
      <w:r>
        <w:rPr>
          <w:rFonts w:hint="eastAsia"/>
          <w:color w:val="000000"/>
          <w:sz w:val="24"/>
          <w:lang w:eastAsia="zh-CN"/>
        </w:rPr>
        <w:t>构成本合同的文件可视为是能互相说明的，如果合同文件存在歧义或不一致，以签订时间在后的为准，时间在后的优先适用，无法确定的则以甲方指定的为准。</w:t>
      </w:r>
    </w:p>
    <w:p>
      <w:pPr>
        <w:pStyle w:val="45"/>
        <w:numPr>
          <w:ilvl w:val="0"/>
          <w:numId w:val="6"/>
        </w:numPr>
        <w:overflowPunct w:val="0"/>
        <w:adjustRightInd w:val="0"/>
        <w:spacing w:before="0" w:line="360" w:lineRule="auto"/>
        <w:textAlignment w:val="baseline"/>
        <w:rPr>
          <w:sz w:val="24"/>
          <w:lang w:eastAsia="zh-CN"/>
        </w:rPr>
      </w:pPr>
      <w:r>
        <w:rPr>
          <w:rFonts w:hint="eastAsia"/>
          <w:sz w:val="24"/>
          <w:lang w:eastAsia="zh-CN"/>
        </w:rPr>
        <w:t>附件作为本合同组成部分，与本合同具有同等法律效力。</w:t>
      </w:r>
    </w:p>
    <w:p>
      <w:pPr>
        <w:spacing w:line="360" w:lineRule="auto"/>
        <w:ind w:left="1680" w:hanging="1680" w:hangingChars="700"/>
        <w:rPr>
          <w:sz w:val="24"/>
          <w:lang w:eastAsia="zh-CN"/>
        </w:rPr>
      </w:pPr>
      <w:r>
        <w:rPr>
          <w:rFonts w:hint="eastAsia"/>
          <w:sz w:val="24"/>
          <w:lang w:eastAsia="zh-CN"/>
        </w:rPr>
        <w:t xml:space="preserve">   附件1：发包文件</w:t>
      </w:r>
    </w:p>
    <w:p>
      <w:pPr>
        <w:spacing w:line="360" w:lineRule="auto"/>
        <w:ind w:left="1683" w:leftChars="165" w:hanging="1320" w:hangingChars="550"/>
        <w:rPr>
          <w:sz w:val="24"/>
          <w:lang w:eastAsia="zh-CN"/>
        </w:rPr>
      </w:pPr>
      <w:r>
        <w:rPr>
          <w:rFonts w:hint="eastAsia"/>
          <w:sz w:val="24"/>
          <w:lang w:eastAsia="zh-CN"/>
        </w:rPr>
        <w:t>附件2：</w:t>
      </w:r>
      <w:r>
        <w:rPr>
          <w:rFonts w:hint="eastAsia" w:cs="Arial"/>
          <w:sz w:val="24"/>
          <w:lang w:eastAsia="zh-CN"/>
        </w:rPr>
        <w:t>安全环保协议</w:t>
      </w:r>
    </w:p>
    <w:p>
      <w:pPr>
        <w:spacing w:line="360" w:lineRule="auto"/>
        <w:ind w:firstLine="360" w:firstLineChars="150"/>
        <w:rPr>
          <w:rFonts w:cs="Arial"/>
          <w:sz w:val="24"/>
          <w:lang w:eastAsia="zh-CN"/>
        </w:rPr>
      </w:pPr>
    </w:p>
    <w:p>
      <w:pPr>
        <w:rPr>
          <w:rFonts w:cs="Arial"/>
          <w:b/>
          <w:sz w:val="24"/>
          <w:lang w:eastAsia="zh-CN"/>
        </w:rPr>
      </w:pPr>
      <w:r>
        <w:rPr>
          <w:rFonts w:hint="eastAsia" w:cs="Arial"/>
          <w:b/>
          <w:sz w:val="24"/>
          <w:lang w:eastAsia="zh-CN"/>
        </w:rPr>
        <w:t>（本页为签署栏，无正文）</w:t>
      </w:r>
    </w:p>
    <w:p>
      <w:pPr>
        <w:rPr>
          <w:rFonts w:cs="Arial"/>
          <w:b/>
          <w:sz w:val="24"/>
          <w:lang w:eastAsia="zh-CN"/>
        </w:rPr>
      </w:pPr>
    </w:p>
    <w:p>
      <w:pPr>
        <w:pStyle w:val="2"/>
        <w:rPr>
          <w:sz w:val="24"/>
          <w:szCs w:val="24"/>
        </w:rPr>
      </w:pPr>
    </w:p>
    <w:p>
      <w:pPr>
        <w:spacing w:line="360" w:lineRule="auto"/>
        <w:ind w:right="-147" w:rightChars="-67"/>
        <w:rPr>
          <w:rFonts w:cs="Arial"/>
          <w:b/>
          <w:sz w:val="24"/>
          <w:lang w:eastAsia="zh-CN"/>
        </w:rPr>
      </w:pPr>
      <w:r>
        <w:rPr>
          <w:rFonts w:hint="eastAsia" w:cs="Arial"/>
          <w:b/>
          <w:sz w:val="24"/>
          <w:lang w:eastAsia="zh-CN"/>
        </w:rPr>
        <w:t>甲方</w:t>
      </w:r>
      <w:r>
        <w:rPr>
          <w:rFonts w:cs="Arial"/>
          <w:b/>
          <w:sz w:val="24"/>
          <w:lang w:eastAsia="zh-CN"/>
        </w:rPr>
        <w:t>：</w:t>
      </w:r>
      <w:r>
        <w:rPr>
          <w:rFonts w:hint="eastAsia" w:cs="Arial"/>
          <w:b/>
          <w:sz w:val="24"/>
          <w:lang w:eastAsia="zh-CN"/>
        </w:rPr>
        <w:t xml:space="preserve">                                    乙方：</w:t>
      </w:r>
      <w:r>
        <w:rPr>
          <w:rFonts w:cs="Arial"/>
          <w:b/>
          <w:sz w:val="24"/>
          <w:lang w:eastAsia="zh-CN"/>
        </w:rPr>
        <w:t xml:space="preserve"> </w:t>
      </w:r>
    </w:p>
    <w:p>
      <w:pPr>
        <w:spacing w:line="360" w:lineRule="auto"/>
        <w:ind w:right="-147" w:rightChars="-67"/>
        <w:rPr>
          <w:rFonts w:cs="Arial"/>
          <w:b/>
          <w:sz w:val="24"/>
          <w:lang w:eastAsia="zh-CN"/>
        </w:rPr>
      </w:pPr>
    </w:p>
    <w:p>
      <w:pPr>
        <w:spacing w:line="360" w:lineRule="auto"/>
        <w:ind w:right="-147" w:rightChars="-67"/>
        <w:rPr>
          <w:b/>
          <w:sz w:val="24"/>
          <w:lang w:eastAsia="zh-CN"/>
        </w:rPr>
      </w:pPr>
      <w:r>
        <w:rPr>
          <w:rFonts w:hint="eastAsia"/>
          <w:b/>
          <w:spacing w:val="20"/>
          <w:sz w:val="24"/>
          <w:lang w:eastAsia="zh-CN"/>
        </w:rPr>
        <w:t xml:space="preserve">腾龙芳烃（漳州）有限公司          </w:t>
      </w:r>
    </w:p>
    <w:p>
      <w:pPr>
        <w:spacing w:line="360" w:lineRule="auto"/>
        <w:ind w:right="-147" w:rightChars="-67"/>
        <w:rPr>
          <w:szCs w:val="21"/>
          <w:lang w:eastAsia="zh-CN"/>
        </w:rPr>
      </w:pPr>
      <w:r>
        <w:rPr>
          <w:rFonts w:cs="Arial"/>
          <w:b/>
          <w:sz w:val="24"/>
          <w:lang w:eastAsia="zh-CN"/>
        </w:rPr>
        <w:br w:type="textWrapping"/>
      </w:r>
      <w:r>
        <w:rPr>
          <w:rFonts w:hint="eastAsia"/>
          <w:szCs w:val="21"/>
          <w:lang w:eastAsia="zh-CN"/>
        </w:rPr>
        <w:t>地</w:t>
      </w:r>
      <w:r>
        <w:rPr>
          <w:szCs w:val="21"/>
          <w:lang w:eastAsia="zh-CN"/>
        </w:rPr>
        <w:t xml:space="preserve">  </w:t>
      </w:r>
      <w:r>
        <w:rPr>
          <w:rFonts w:hint="eastAsia"/>
          <w:szCs w:val="21"/>
          <w:lang w:eastAsia="zh-CN"/>
        </w:rPr>
        <w:t>址：</w:t>
      </w:r>
      <w:r>
        <w:rPr>
          <w:rFonts w:hint="eastAsia" w:hAnsi="Courier New" w:cs="Courier New"/>
          <w:szCs w:val="21"/>
          <w:lang w:eastAsia="zh-CN"/>
        </w:rPr>
        <w:t>福建省漳州市古雷港经济开发区</w:t>
      </w:r>
      <w:r>
        <w:rPr>
          <w:rFonts w:hint="eastAsia"/>
          <w:szCs w:val="21"/>
          <w:lang w:eastAsia="zh-CN"/>
        </w:rPr>
        <w:t xml:space="preserve">          地</w:t>
      </w:r>
      <w:r>
        <w:rPr>
          <w:szCs w:val="21"/>
          <w:lang w:eastAsia="zh-CN"/>
        </w:rPr>
        <w:t xml:space="preserve"> </w:t>
      </w:r>
      <w:r>
        <w:rPr>
          <w:rFonts w:hint="eastAsia"/>
          <w:szCs w:val="21"/>
          <w:lang w:eastAsia="zh-CN"/>
        </w:rPr>
        <w:t xml:space="preserve"> 址：</w:t>
      </w:r>
      <w:r>
        <w:rPr>
          <w:szCs w:val="21"/>
          <w:lang w:eastAsia="zh-CN"/>
        </w:rPr>
        <w:t xml:space="preserve"> </w:t>
      </w:r>
    </w:p>
    <w:p>
      <w:pPr>
        <w:spacing w:line="360" w:lineRule="auto"/>
        <w:ind w:right="-147" w:rightChars="-67"/>
        <w:rPr>
          <w:szCs w:val="21"/>
          <w:lang w:eastAsia="zh-CN"/>
        </w:rPr>
      </w:pPr>
      <w:r>
        <w:rPr>
          <w:rFonts w:hint="eastAsia"/>
          <w:szCs w:val="21"/>
          <w:lang w:eastAsia="zh-CN"/>
        </w:rPr>
        <w:t xml:space="preserve">          </w:t>
      </w:r>
      <w:r>
        <w:rPr>
          <w:szCs w:val="21"/>
          <w:lang w:eastAsia="zh-CN"/>
        </w:rPr>
        <w:t xml:space="preserve"> </w:t>
      </w:r>
      <w:r>
        <w:rPr>
          <w:rFonts w:hint="eastAsia" w:hAnsi="Courier New" w:cs="Courier New"/>
          <w:szCs w:val="21"/>
          <w:lang w:eastAsia="zh-CN"/>
        </w:rPr>
        <w:t>腾龙路84号</w:t>
      </w:r>
    </w:p>
    <w:p>
      <w:pPr>
        <w:spacing w:line="360" w:lineRule="auto"/>
        <w:ind w:left="1038" w:right="-147" w:rightChars="-67" w:hanging="1038" w:hangingChars="472"/>
        <w:rPr>
          <w:szCs w:val="21"/>
          <w:lang w:eastAsia="zh-CN"/>
        </w:rPr>
      </w:pPr>
      <w:r>
        <w:rPr>
          <w:rFonts w:hint="eastAsia"/>
          <w:szCs w:val="21"/>
          <w:lang w:eastAsia="zh-CN"/>
        </w:rPr>
        <w:t xml:space="preserve">开户行：兴业银行漳州古雷支行                  开户行：                                </w:t>
      </w:r>
    </w:p>
    <w:p>
      <w:pPr>
        <w:spacing w:line="360" w:lineRule="auto"/>
        <w:ind w:right="-147" w:rightChars="-67"/>
        <w:rPr>
          <w:szCs w:val="21"/>
          <w:lang w:eastAsia="zh-CN"/>
        </w:rPr>
      </w:pPr>
      <w:r>
        <w:rPr>
          <w:rFonts w:hint="eastAsia"/>
          <w:szCs w:val="21"/>
          <w:lang w:eastAsia="zh-CN"/>
        </w:rPr>
        <w:t>帐</w:t>
      </w:r>
      <w:r>
        <w:rPr>
          <w:szCs w:val="21"/>
          <w:lang w:eastAsia="zh-CN"/>
        </w:rPr>
        <w:t xml:space="preserve">  </w:t>
      </w:r>
      <w:r>
        <w:rPr>
          <w:rFonts w:hint="eastAsia"/>
          <w:szCs w:val="21"/>
          <w:lang w:eastAsia="zh-CN"/>
        </w:rPr>
        <w:t>号： 162070100100021071                   帐</w:t>
      </w:r>
      <w:r>
        <w:rPr>
          <w:szCs w:val="21"/>
          <w:lang w:eastAsia="zh-CN"/>
        </w:rPr>
        <w:t xml:space="preserve">  </w:t>
      </w:r>
      <w:r>
        <w:rPr>
          <w:rFonts w:hint="eastAsia"/>
          <w:szCs w:val="21"/>
          <w:lang w:eastAsia="zh-CN"/>
        </w:rPr>
        <w:t xml:space="preserve">号： </w:t>
      </w:r>
    </w:p>
    <w:p>
      <w:pPr>
        <w:spacing w:line="360" w:lineRule="auto"/>
        <w:ind w:right="-147" w:rightChars="-67"/>
        <w:rPr>
          <w:lang w:eastAsia="zh-CN"/>
        </w:rPr>
      </w:pPr>
      <w:r>
        <w:rPr>
          <w:rFonts w:hint="eastAsia"/>
          <w:szCs w:val="21"/>
          <w:lang w:eastAsia="zh-CN"/>
        </w:rPr>
        <w:t>税</w:t>
      </w:r>
      <w:r>
        <w:rPr>
          <w:szCs w:val="21"/>
          <w:lang w:eastAsia="zh-CN"/>
        </w:rPr>
        <w:t xml:space="preserve">  </w:t>
      </w:r>
      <w:r>
        <w:rPr>
          <w:rFonts w:hint="eastAsia"/>
          <w:szCs w:val="21"/>
          <w:lang w:eastAsia="zh-CN"/>
        </w:rPr>
        <w:t>号： 91350600717866709A</w:t>
      </w:r>
      <w:r>
        <w:rPr>
          <w:rFonts w:hint="eastAsia"/>
          <w:lang w:eastAsia="zh-CN"/>
        </w:rPr>
        <w:t xml:space="preserve"> </w:t>
      </w:r>
      <w:r>
        <w:rPr>
          <w:rFonts w:hint="eastAsia"/>
          <w:szCs w:val="21"/>
          <w:lang w:eastAsia="zh-CN"/>
        </w:rPr>
        <w:t xml:space="preserve">                  税</w:t>
      </w:r>
      <w:r>
        <w:rPr>
          <w:szCs w:val="21"/>
          <w:lang w:eastAsia="zh-CN"/>
        </w:rPr>
        <w:t xml:space="preserve"> </w:t>
      </w:r>
      <w:r>
        <w:rPr>
          <w:rFonts w:hint="eastAsia"/>
          <w:szCs w:val="21"/>
          <w:lang w:eastAsia="zh-CN"/>
        </w:rPr>
        <w:t xml:space="preserve"> 号： </w:t>
      </w:r>
    </w:p>
    <w:p>
      <w:pPr>
        <w:spacing w:line="360" w:lineRule="auto"/>
        <w:ind w:right="-147" w:rightChars="-67"/>
        <w:rPr>
          <w:szCs w:val="21"/>
          <w:lang w:eastAsia="zh-CN"/>
        </w:rPr>
      </w:pPr>
      <w:r>
        <w:rPr>
          <w:rFonts w:hint="eastAsia"/>
          <w:szCs w:val="21"/>
          <w:lang w:eastAsia="zh-CN"/>
        </w:rPr>
        <w:t>电</w:t>
      </w:r>
      <w:r>
        <w:rPr>
          <w:szCs w:val="21"/>
          <w:lang w:eastAsia="zh-CN"/>
        </w:rPr>
        <w:t xml:space="preserve">  </w:t>
      </w:r>
      <w:r>
        <w:rPr>
          <w:rFonts w:hint="eastAsia"/>
          <w:szCs w:val="21"/>
          <w:lang w:eastAsia="zh-CN"/>
        </w:rPr>
        <w:t>话：  0596-6311083                        电</w:t>
      </w:r>
      <w:r>
        <w:rPr>
          <w:szCs w:val="21"/>
          <w:lang w:eastAsia="zh-CN"/>
        </w:rPr>
        <w:t xml:space="preserve">  </w:t>
      </w:r>
      <w:r>
        <w:rPr>
          <w:rFonts w:hint="eastAsia"/>
          <w:szCs w:val="21"/>
          <w:lang w:eastAsia="zh-CN"/>
        </w:rPr>
        <w:t>话：</w:t>
      </w:r>
      <w:r>
        <w:rPr>
          <w:rFonts w:hint="eastAsia"/>
          <w:bCs/>
          <w:szCs w:val="21"/>
          <w:lang w:eastAsia="zh-CN"/>
        </w:rPr>
        <w:t xml:space="preserve"> </w:t>
      </w:r>
    </w:p>
    <w:p>
      <w:pPr>
        <w:pStyle w:val="2"/>
        <w:rPr>
          <w:b/>
          <w:sz w:val="28"/>
          <w:szCs w:val="28"/>
        </w:rPr>
      </w:pPr>
    </w:p>
    <w:p>
      <w:pPr>
        <w:spacing w:line="360" w:lineRule="auto"/>
        <w:rPr>
          <w:rFonts w:cs="Arial" w:asciiTheme="majorEastAsia" w:hAnsiTheme="majorEastAsia" w:eastAsiaTheme="majorEastAsia"/>
          <w:b/>
          <w:sz w:val="24"/>
          <w:lang w:eastAsia="zh-CN"/>
        </w:rPr>
      </w:pPr>
      <w:r>
        <w:rPr>
          <w:rFonts w:hint="eastAsia"/>
          <w:b/>
          <w:sz w:val="28"/>
          <w:szCs w:val="28"/>
          <w:shd w:val="clear" w:color="auto" w:fill="FFFFFF"/>
          <w:lang w:eastAsia="zh-CN"/>
        </w:rPr>
        <w:t>附件1：发包文件</w:t>
      </w:r>
    </w:p>
    <w:p>
      <w:pPr>
        <w:rPr>
          <w:lang w:eastAsia="zh-CN"/>
        </w:rPr>
      </w:pPr>
    </w:p>
    <w:p>
      <w:pPr>
        <w:spacing w:line="400" w:lineRule="exact"/>
        <w:ind w:right="-514"/>
        <w:rPr>
          <w:b/>
          <w:sz w:val="28"/>
          <w:szCs w:val="28"/>
          <w:shd w:val="clear" w:color="auto" w:fill="FFFFFF"/>
          <w:lang w:eastAsia="zh-CN"/>
        </w:rPr>
      </w:pPr>
      <w:r>
        <w:rPr>
          <w:rFonts w:hint="eastAsia"/>
          <w:b/>
          <w:sz w:val="28"/>
          <w:szCs w:val="28"/>
          <w:shd w:val="clear" w:color="auto" w:fill="FFFFFF"/>
          <w:lang w:eastAsia="zh-CN"/>
        </w:rPr>
        <w:t>附件2：</w:t>
      </w:r>
    </w:p>
    <w:p>
      <w:pPr>
        <w:pStyle w:val="17"/>
        <w:spacing w:afterLines="150" w:line="276" w:lineRule="auto"/>
        <w:ind w:left="-424" w:leftChars="-339" w:hanging="322" w:hangingChars="89"/>
        <w:jc w:val="center"/>
        <w:rPr>
          <w:rFonts w:ascii="黑体" w:hAnsi="宋体" w:eastAsia="黑体"/>
          <w:b/>
          <w:sz w:val="36"/>
          <w:szCs w:val="36"/>
          <w:lang w:eastAsia="zh-CN"/>
        </w:rPr>
      </w:pPr>
      <w:r>
        <w:rPr>
          <w:rFonts w:hint="eastAsia" w:ascii="黑体" w:hAnsi="宋体" w:eastAsia="黑体"/>
          <w:b/>
          <w:sz w:val="36"/>
          <w:szCs w:val="36"/>
          <w:lang w:eastAsia="zh-CN"/>
        </w:rPr>
        <w:t>安全环保协议书</w:t>
      </w:r>
    </w:p>
    <w:p>
      <w:pPr>
        <w:spacing w:line="360" w:lineRule="auto"/>
        <w:ind w:right="110" w:rightChars="5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发包单位（以下简称甲方）：</w:t>
      </w:r>
      <w:r>
        <w:rPr>
          <w:rFonts w:hint="eastAsia" w:asciiTheme="majorEastAsia" w:hAnsiTheme="majorEastAsia" w:eastAsiaTheme="majorEastAsia"/>
          <w:sz w:val="21"/>
          <w:szCs w:val="21"/>
          <w:u w:val="single"/>
          <w:lang w:eastAsia="zh-CN"/>
        </w:rPr>
        <w:t xml:space="preserve"> 腾龙芳烃（漳州）有限公司  </w:t>
      </w:r>
      <w:r>
        <w:rPr>
          <w:rFonts w:hint="eastAsia" w:asciiTheme="majorEastAsia" w:hAnsiTheme="majorEastAsia" w:eastAsiaTheme="majorEastAsia"/>
          <w:sz w:val="21"/>
          <w:szCs w:val="21"/>
          <w:lang w:eastAsia="zh-CN"/>
        </w:rPr>
        <w:t xml:space="preserve">   </w:t>
      </w:r>
    </w:p>
    <w:p>
      <w:pPr>
        <w:spacing w:line="360" w:lineRule="auto"/>
        <w:ind w:right="110" w:rightChars="5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承包单位（以下简称乙方）：</w:t>
      </w:r>
      <w:r>
        <w:rPr>
          <w:rFonts w:hint="eastAsia" w:asciiTheme="majorEastAsia" w:hAnsiTheme="majorEastAsia" w:eastAsiaTheme="majorEastAsia"/>
          <w:sz w:val="21"/>
          <w:szCs w:val="21"/>
          <w:u w:val="single"/>
          <w:lang w:eastAsia="zh-CN"/>
        </w:rPr>
        <w:t xml:space="preserve">                           </w:t>
      </w:r>
      <w:r>
        <w:rPr>
          <w:rFonts w:hint="eastAsia" w:asciiTheme="majorEastAsia" w:hAnsiTheme="majorEastAsia" w:eastAsiaTheme="majorEastAsia"/>
          <w:sz w:val="21"/>
          <w:szCs w:val="21"/>
          <w:lang w:eastAsia="zh-CN"/>
        </w:rPr>
        <w:t xml:space="preserve">   </w:t>
      </w:r>
    </w:p>
    <w:p>
      <w:pPr>
        <w:spacing w:line="360" w:lineRule="auto"/>
        <w:ind w:right="110" w:rightChars="50" w:firstLine="48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双方就</w:t>
      </w:r>
      <w:r>
        <w:rPr>
          <w:rFonts w:hint="eastAsia" w:asciiTheme="majorEastAsia" w:hAnsiTheme="majorEastAsia" w:eastAsiaTheme="majorEastAsia"/>
          <w:sz w:val="21"/>
          <w:szCs w:val="21"/>
          <w:u w:val="single"/>
          <w:lang w:eastAsia="zh-CN"/>
        </w:rPr>
        <w:t>火炬气柜检修项目</w:t>
      </w:r>
      <w:r>
        <w:rPr>
          <w:rFonts w:hint="eastAsia" w:asciiTheme="majorEastAsia" w:hAnsiTheme="majorEastAsia" w:eastAsiaTheme="majorEastAsia"/>
          <w:sz w:val="21"/>
          <w:szCs w:val="21"/>
          <w:lang w:eastAsia="zh-CN"/>
        </w:rPr>
        <w:t>程签订了</w:t>
      </w:r>
      <w:r>
        <w:rPr>
          <w:rFonts w:hint="eastAsia" w:asciiTheme="majorEastAsia" w:hAnsiTheme="majorEastAsia" w:eastAsiaTheme="majorEastAsia"/>
          <w:sz w:val="21"/>
          <w:szCs w:val="21"/>
          <w:u w:val="single"/>
          <w:lang w:eastAsia="zh-CN"/>
        </w:rPr>
        <w:t xml:space="preserve">维修 </w:t>
      </w:r>
      <w:r>
        <w:rPr>
          <w:rFonts w:hint="eastAsia" w:asciiTheme="majorEastAsia" w:hAnsiTheme="majorEastAsia" w:eastAsiaTheme="majorEastAsia"/>
          <w:sz w:val="21"/>
          <w:szCs w:val="21"/>
          <w:lang w:eastAsia="zh-CN"/>
        </w:rPr>
        <w:t>合同，为进一步明确甲乙双方在工程承包合同履行过程中的权利和义务及责任，保障人身安全和企业财产安全，依据《中华人民共和国安全生产法》、《中华人民共和国环境保护法》等相关法规及翔鹭石化（漳州）有限公司HSE管理制度，经双方协商，双方自愿签订本安全环保协议，作为主合同的附件。</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b/>
          <w:sz w:val="21"/>
          <w:szCs w:val="21"/>
          <w:lang w:eastAsia="zh-CN"/>
        </w:rPr>
        <w:t>一、甲方的权利和义务：</w:t>
      </w:r>
    </w:p>
    <w:p>
      <w:pPr>
        <w:pStyle w:val="45"/>
        <w:spacing w:before="0" w:line="360" w:lineRule="auto"/>
        <w:ind w:left="0"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 甲方有权对乙方的资质进行审查，确认其符合且具备进厂条件，方可进厂施工。</w:t>
      </w:r>
    </w:p>
    <w:p>
      <w:pPr>
        <w:pStyle w:val="45"/>
        <w:spacing w:before="0" w:line="360" w:lineRule="auto"/>
        <w:ind w:left="0"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 甲方有权要求乙方维护好甲方相关的安全环保设施、设备和器材。</w:t>
      </w:r>
    </w:p>
    <w:p>
      <w:pPr>
        <w:tabs>
          <w:tab w:val="left" w:pos="360"/>
          <w:tab w:val="left" w:pos="840"/>
        </w:tabs>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pPr>
        <w:tabs>
          <w:tab w:val="left" w:pos="360"/>
          <w:tab w:val="left" w:pos="840"/>
        </w:tabs>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pPr>
        <w:tabs>
          <w:tab w:val="left" w:pos="360"/>
          <w:tab w:val="left" w:pos="840"/>
        </w:tabs>
        <w:spacing w:line="360" w:lineRule="auto"/>
        <w:ind w:leftChars="-1" w:right="110" w:rightChars="50" w:hanging="2"/>
        <w:rPr>
          <w:rFonts w:asciiTheme="majorEastAsia" w:hAnsiTheme="majorEastAsia" w:eastAsiaTheme="majorEastAsia"/>
          <w:color w:val="FF0000"/>
          <w:sz w:val="21"/>
          <w:szCs w:val="21"/>
          <w:lang w:eastAsia="zh-CN"/>
        </w:rPr>
      </w:pPr>
      <w:r>
        <w:rPr>
          <w:rFonts w:hint="eastAsia" w:asciiTheme="majorEastAsia" w:hAnsiTheme="majorEastAsia" w:eastAsiaTheme="majorEastAsia"/>
          <w:sz w:val="21"/>
          <w:szCs w:val="21"/>
          <w:lang w:eastAsia="zh-CN"/>
        </w:rPr>
        <w:t>5、 甲方有权对乙方不服从管理和严重违章者，驱除施工现场。</w:t>
      </w:r>
    </w:p>
    <w:p>
      <w:pPr>
        <w:pStyle w:val="45"/>
        <w:spacing w:before="0" w:line="360" w:lineRule="auto"/>
        <w:ind w:left="0" w:leftChars="-1" w:right="110" w:rightChars="50" w:hanging="2"/>
        <w:rPr>
          <w:rFonts w:asciiTheme="majorEastAsia" w:hAnsiTheme="majorEastAsia" w:eastAsiaTheme="majorEastAsia"/>
          <w:b/>
          <w:sz w:val="21"/>
          <w:szCs w:val="21"/>
          <w:lang w:eastAsia="zh-CN"/>
        </w:rPr>
      </w:pPr>
      <w:r>
        <w:rPr>
          <w:rFonts w:hint="eastAsia" w:asciiTheme="majorEastAsia" w:hAnsiTheme="majorEastAsia" w:eastAsiaTheme="majorEastAsia"/>
          <w:sz w:val="21"/>
          <w:szCs w:val="21"/>
          <w:lang w:eastAsia="zh-CN"/>
        </w:rPr>
        <w:t>6、 甲方负责对乙方进行厂级和部门级安全培训教育和考核，考核合格方可办理入厂手续。</w:t>
      </w:r>
    </w:p>
    <w:p>
      <w:pPr>
        <w:tabs>
          <w:tab w:val="left" w:pos="360"/>
          <w:tab w:val="left" w:pos="840"/>
        </w:tabs>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7、 甲方负责各装置的工艺处理、退料、置换、吹扫及盲板隔离工作，为本项目提供安全的施工条件。</w:t>
      </w:r>
    </w:p>
    <w:p>
      <w:pPr>
        <w:tabs>
          <w:tab w:val="left" w:pos="360"/>
          <w:tab w:val="left" w:pos="840"/>
        </w:tabs>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8、 甲方应乙方要求，向乙方提供与乙方作业相关的甲方有毒有害、易燃易爆物品的数据。</w:t>
      </w:r>
    </w:p>
    <w:p>
      <w:pPr>
        <w:tabs>
          <w:tab w:val="left" w:pos="360"/>
          <w:tab w:val="left" w:pos="840"/>
        </w:tabs>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9、 甲方在开工前必须对乙方进行全面的安全技术及文明施工交底。</w:t>
      </w:r>
    </w:p>
    <w:p>
      <w:pPr>
        <w:spacing w:line="360" w:lineRule="auto"/>
        <w:ind w:leftChars="-1" w:right="110" w:rightChars="50" w:hanging="2"/>
        <w:rPr>
          <w:rFonts w:asciiTheme="majorEastAsia" w:hAnsiTheme="majorEastAsia" w:eastAsiaTheme="majorEastAsia"/>
          <w:b/>
          <w:sz w:val="21"/>
          <w:szCs w:val="21"/>
          <w:lang w:eastAsia="zh-CN"/>
        </w:rPr>
      </w:pPr>
      <w:r>
        <w:rPr>
          <w:rFonts w:hint="eastAsia" w:asciiTheme="majorEastAsia" w:hAnsiTheme="majorEastAsia" w:eastAsiaTheme="majorEastAsia"/>
          <w:b/>
          <w:sz w:val="21"/>
          <w:szCs w:val="21"/>
          <w:lang w:eastAsia="zh-CN"/>
        </w:rPr>
        <w:t>二、乙方的权利和义务：</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 乙方有权对甲方安全管理工作提出合理化建议或改进措施。</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 xml:space="preserve">3、 乙方对甲方管理人员违章指挥、强令冒险作业、有权拒绝执行。对打击和报复行为有权向上级和有关部门汇报。 </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4、 乙方对危及生命安全和身体健康的施工作业条件和环境，有权提出整改建议或拒绝施工作业。</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5、 乙方施工过程中在发生严重危及作业人员生命安全的不可抗拒紧急情况时，有权采取必要的避险措施，并立即向管理部门报告。</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6、 乙方有权要求甲方提供相关的安全资料。</w:t>
      </w:r>
    </w:p>
    <w:p>
      <w:pPr>
        <w:spacing w:line="360" w:lineRule="auto"/>
        <w:ind w:leftChars="-1" w:right="110" w:rightChars="50" w:hanging="2"/>
        <w:rPr>
          <w:rFonts w:asciiTheme="majorEastAsia" w:hAnsiTheme="majorEastAsia" w:eastAsiaTheme="majorEastAsia"/>
          <w:b/>
          <w:sz w:val="21"/>
          <w:szCs w:val="21"/>
          <w:lang w:eastAsia="zh-CN"/>
        </w:rPr>
      </w:pPr>
      <w:r>
        <w:rPr>
          <w:rFonts w:hint="eastAsia" w:asciiTheme="majorEastAsia" w:hAnsiTheme="majorEastAsia" w:eastAsiaTheme="majorEastAsia"/>
          <w:sz w:val="21"/>
          <w:szCs w:val="21"/>
          <w:lang w:eastAsia="zh-CN"/>
        </w:rPr>
        <w:t xml:space="preserve">7、 </w:t>
      </w:r>
      <w:r>
        <w:rPr>
          <w:rFonts w:hint="eastAsia" w:cs="Arial" w:asciiTheme="majorEastAsia" w:hAnsiTheme="majorEastAsia" w:eastAsiaTheme="majorEastAsia"/>
          <w:sz w:val="21"/>
          <w:szCs w:val="21"/>
          <w:lang w:eastAsia="zh-CN"/>
        </w:rPr>
        <w:t>乙方必须建立健全HSE管理网络、HSE保证体系和HSE责任制，成立专职HSE管理机构</w:t>
      </w:r>
      <w:r>
        <w:rPr>
          <w:rFonts w:hint="eastAsia" w:asciiTheme="majorEastAsia" w:hAnsiTheme="majorEastAsia" w:eastAsiaTheme="majorEastAsia"/>
          <w:sz w:val="21"/>
          <w:szCs w:val="21"/>
          <w:lang w:eastAsia="zh-CN"/>
        </w:rPr>
        <w:t>，依照《安全生产法》的要求配备专职或兼职安全生产管理人员；施工队伍超过50人的应按比例配足专职安全员，</w:t>
      </w:r>
      <w:r>
        <w:rPr>
          <w:rFonts w:hint="eastAsia" w:cs="Arial" w:asciiTheme="majorEastAsia" w:hAnsiTheme="majorEastAsia" w:eastAsiaTheme="majorEastAsia"/>
          <w:sz w:val="21"/>
          <w:szCs w:val="21"/>
          <w:lang w:eastAsia="zh-CN"/>
        </w:rPr>
        <w:t>并佩戴明显标志；编制和实施各安全环保施工方案和专项应急预案。</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11、乙方应按《中华人民共和国劳动法》等法律、法规、规定用工，严禁使用未成年工和有职业禁忌的人员进行施工作业。</w:t>
      </w:r>
      <w:r>
        <w:rPr>
          <w:rFonts w:asciiTheme="majorEastAsia" w:hAnsiTheme="majorEastAsia" w:eastAsiaTheme="majorEastAsia"/>
          <w:sz w:val="21"/>
          <w:szCs w:val="21"/>
          <w:lang w:eastAsia="zh-CN"/>
        </w:rPr>
        <w:t xml:space="preserve"> </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12、 乙方必须按国家有关规定，为施工人员办理工伤保险、意外伤害保险（施工人员较多的承包商建议购买建筑工程团体意外险），为施工人员配备合格的劳动防护用品及安全用具，并保证施工工具、器械使用安全。</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13、 乙方需建立安全检查制度，指定专人负责现场安全监督检查工作，认真开展安全检查，发现作业过程中不安全行为、隐患、重大险情，应采取有效措施及时处理并报告甲方。</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14、 发生事故时，乙方必须及时向甲方报告。同时根据指令迅速组织实施现场人员疏散和抢救工作、采取相应的措施保护好现场，并要积极配合甲方或上级有关部门对事故的调查和现场勘查。</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15、 乙方进入现场的施工人员，严禁动用装置区机泵、容器、塔、加热炉等任何部位阀门，防止误开误关，造成意外事故。如确实需用，经与装置有关人员联系，同意后，由操作人员启闭阀门。</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16、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 xml:space="preserve">17、 </w:t>
      </w:r>
      <w:r>
        <w:rPr>
          <w:rFonts w:hint="eastAsia" w:asciiTheme="majorEastAsia" w:hAnsiTheme="majorEastAsia" w:eastAsiaTheme="majorEastAsia"/>
          <w:bCs/>
          <w:sz w:val="21"/>
          <w:szCs w:val="21"/>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pPr>
        <w:spacing w:line="360" w:lineRule="auto"/>
        <w:ind w:leftChars="-1" w:right="110" w:rightChars="50" w:hanging="2"/>
        <w:rPr>
          <w:rFonts w:asciiTheme="majorEastAsia" w:hAnsiTheme="majorEastAsia" w:eastAsiaTheme="majorEastAsia"/>
          <w:bCs/>
          <w:sz w:val="21"/>
          <w:szCs w:val="21"/>
          <w:lang w:eastAsia="zh-CN"/>
        </w:rPr>
      </w:pPr>
      <w:r>
        <w:rPr>
          <w:rFonts w:hint="eastAsia" w:asciiTheme="majorEastAsia" w:hAnsiTheme="majorEastAsia" w:eastAsiaTheme="majorEastAsia"/>
          <w:bCs/>
          <w:sz w:val="21"/>
          <w:szCs w:val="21"/>
          <w:lang w:eastAsia="zh-CN"/>
        </w:rPr>
        <w:t xml:space="preserve">18、 </w:t>
      </w:r>
      <w:r>
        <w:rPr>
          <w:rFonts w:hint="eastAsia" w:asciiTheme="majorEastAsia" w:hAnsiTheme="majorEastAsia" w:eastAsiaTheme="majorEastAsia"/>
          <w:sz w:val="21"/>
          <w:szCs w:val="21"/>
          <w:lang w:eastAsia="zh-CN"/>
        </w:rPr>
        <w:t>乙方</w:t>
      </w:r>
      <w:r>
        <w:rPr>
          <w:rFonts w:hint="eastAsia" w:asciiTheme="majorEastAsia" w:hAnsiTheme="majorEastAsia" w:eastAsiaTheme="majorEastAsia"/>
          <w:bCs/>
          <w:sz w:val="21"/>
          <w:szCs w:val="21"/>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asciiTheme="majorEastAsia" w:hAnsiTheme="majorEastAsia" w:eastAsiaTheme="majorEastAsia"/>
          <w:sz w:val="21"/>
          <w:szCs w:val="21"/>
          <w:lang w:eastAsia="zh-CN"/>
        </w:rPr>
        <w:t>GB 2894-2008）</w:t>
      </w:r>
      <w:r>
        <w:rPr>
          <w:rFonts w:hint="eastAsia" w:asciiTheme="majorEastAsia" w:hAnsiTheme="majorEastAsia" w:eastAsiaTheme="majorEastAsia"/>
          <w:bCs/>
          <w:sz w:val="21"/>
          <w:szCs w:val="21"/>
          <w:lang w:eastAsia="zh-CN"/>
        </w:rPr>
        <w:t>的规定。</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bCs/>
          <w:sz w:val="21"/>
          <w:szCs w:val="21"/>
          <w:lang w:eastAsia="zh-CN"/>
        </w:rPr>
        <w:t>19、</w:t>
      </w:r>
      <w:r>
        <w:rPr>
          <w:rFonts w:hint="eastAsia" w:asciiTheme="majorEastAsia" w:hAnsiTheme="majorEastAsia" w:eastAsiaTheme="majorEastAsia"/>
          <w:sz w:val="21"/>
          <w:szCs w:val="21"/>
          <w:lang w:eastAsia="zh-CN"/>
        </w:rPr>
        <w:t>乙方</w:t>
      </w:r>
      <w:r>
        <w:rPr>
          <w:rFonts w:hint="eastAsia" w:asciiTheme="majorEastAsia" w:hAnsiTheme="majorEastAsia" w:eastAsiaTheme="majorEastAsia"/>
          <w:bCs/>
          <w:sz w:val="21"/>
          <w:szCs w:val="21"/>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20、 乙方施工产生的</w:t>
      </w:r>
      <w:r>
        <w:rPr>
          <w:rFonts w:hint="eastAsia" w:asciiTheme="majorEastAsia" w:hAnsiTheme="majorEastAsia" w:eastAsiaTheme="majorEastAsia"/>
          <w:bCs/>
          <w:sz w:val="21"/>
          <w:szCs w:val="21"/>
          <w:lang w:eastAsia="zh-CN"/>
        </w:rPr>
        <w:t>任何有毒、有害物质，油类，化学品，废水，生活污水及其它污染物绝不能排入雨边沟、地井或污染地表土，必须按国家及地方的相关规定进行妥善处置。</w:t>
      </w:r>
      <w:r>
        <w:rPr>
          <w:rFonts w:hint="eastAsia" w:asciiTheme="majorEastAsia" w:hAnsiTheme="majorEastAsia" w:eastAsiaTheme="majorEastAsia"/>
          <w:sz w:val="21"/>
          <w:szCs w:val="21"/>
          <w:lang w:eastAsia="zh-CN"/>
        </w:rPr>
        <w:t>产生的废物应进行鉴别，一般固废和危险废物应妥善包装、分类堆放，并及时清理。不能任意排放和丢弃。</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21、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 xml:space="preserve">22、 </w:t>
      </w:r>
      <w:r>
        <w:rPr>
          <w:rFonts w:hint="eastAsia" w:asciiTheme="majorEastAsia" w:hAnsiTheme="majorEastAsia" w:eastAsiaTheme="majorEastAsia"/>
          <w:bCs/>
          <w:sz w:val="21"/>
          <w:szCs w:val="21"/>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pPr>
        <w:spacing w:line="360" w:lineRule="auto"/>
        <w:ind w:leftChars="-1" w:right="110" w:rightChars="50" w:hanging="2"/>
        <w:rPr>
          <w:rFonts w:asciiTheme="majorEastAsia" w:hAnsiTheme="majorEastAsia" w:eastAsiaTheme="majorEastAsia"/>
          <w:b/>
          <w:sz w:val="21"/>
          <w:szCs w:val="21"/>
        </w:rPr>
      </w:pPr>
      <w:r>
        <w:rPr>
          <w:rFonts w:hint="eastAsia" w:asciiTheme="majorEastAsia" w:hAnsiTheme="majorEastAsia" w:eastAsiaTheme="majorEastAsia"/>
          <w:b/>
          <w:sz w:val="21"/>
          <w:szCs w:val="21"/>
        </w:rPr>
        <w:t>三、违约责任及处理</w:t>
      </w:r>
    </w:p>
    <w:p>
      <w:pPr>
        <w:pStyle w:val="45"/>
        <w:numPr>
          <w:ilvl w:val="0"/>
          <w:numId w:val="7"/>
        </w:numPr>
        <w:autoSpaceDE/>
        <w:autoSpaceDN/>
        <w:spacing w:before="0" w:line="360" w:lineRule="auto"/>
        <w:ind w:left="0" w:leftChars="-1" w:right="110" w:rightChars="50" w:hanging="2"/>
        <w:jc w:val="both"/>
        <w:rPr>
          <w:rFonts w:asciiTheme="majorEastAsia" w:hAnsiTheme="majorEastAsia" w:eastAsiaTheme="majorEastAsia"/>
          <w:b/>
          <w:sz w:val="21"/>
          <w:szCs w:val="21"/>
          <w:lang w:eastAsia="zh-CN"/>
        </w:rPr>
      </w:pPr>
      <w:r>
        <w:rPr>
          <w:rFonts w:hint="eastAsia" w:asciiTheme="majorEastAsia" w:hAnsiTheme="majorEastAsia" w:eastAsiaTheme="majorEastAsia"/>
          <w:sz w:val="21"/>
          <w:szCs w:val="21"/>
          <w:lang w:eastAsia="zh-CN"/>
        </w:rPr>
        <w:t>乙方不得将工程违法转包、分包。</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2、发生安全事故时，甲乙双方均有抢险、救灾的义务，所发生的费用由责任方承担。</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4、甲方违约造成的事故，甲方承担全部责任，并按规定追究有关人员责任及上报。</w:t>
      </w:r>
    </w:p>
    <w:p>
      <w:pPr>
        <w:spacing w:line="360" w:lineRule="auto"/>
        <w:ind w:leftChars="-1" w:right="110" w:rightChars="50"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5、 乙方在施工过程中如果有违法、违规和违章行为，甲方将按照按国家法律、法规和甲方的HSE管理制度进行处罚。处罚款由乙方现金形式交到甲方财务部，对不按时缴纳罚款的，甲方可以从乙方工程款双倍扣除。</w:t>
      </w:r>
    </w:p>
    <w:p>
      <w:pPr>
        <w:tabs>
          <w:tab w:val="left" w:pos="360"/>
          <w:tab w:val="left" w:pos="840"/>
        </w:tabs>
        <w:spacing w:line="360" w:lineRule="auto"/>
        <w:ind w:leftChars="-1" w:right="110" w:rightChars="50" w:hanging="2"/>
        <w:rPr>
          <w:rFonts w:asciiTheme="majorEastAsia" w:hAnsiTheme="majorEastAsia" w:eastAsiaTheme="majorEastAsia"/>
          <w:color w:val="FF0000"/>
          <w:sz w:val="21"/>
          <w:szCs w:val="21"/>
          <w:lang w:eastAsia="zh-CN"/>
        </w:rPr>
      </w:pPr>
      <w:r>
        <w:rPr>
          <w:rFonts w:hint="eastAsia" w:asciiTheme="majorEastAsia" w:hAnsiTheme="majorEastAsia" w:eastAsiaTheme="majorEastAsia"/>
          <w:sz w:val="21"/>
          <w:szCs w:val="21"/>
          <w:lang w:eastAsia="zh-CN"/>
        </w:rPr>
        <w:t>6、 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pPr>
        <w:spacing w:line="360" w:lineRule="auto"/>
        <w:ind w:leftChars="-1" w:right="110" w:rightChars="50" w:hanging="2"/>
        <w:rPr>
          <w:rFonts w:asciiTheme="majorEastAsia" w:hAnsiTheme="majorEastAsia" w:eastAsiaTheme="majorEastAsia"/>
          <w:color w:val="FF0000"/>
          <w:sz w:val="21"/>
          <w:szCs w:val="21"/>
          <w:lang w:eastAsia="zh-CN"/>
        </w:rPr>
      </w:pPr>
      <w:r>
        <w:rPr>
          <w:rFonts w:hint="eastAsia" w:asciiTheme="majorEastAsia" w:hAnsiTheme="majorEastAsia" w:eastAsiaTheme="majorEastAsia"/>
          <w:sz w:val="21"/>
          <w:szCs w:val="21"/>
          <w:lang w:eastAsia="zh-CN"/>
        </w:rPr>
        <w:t>7、 对乙方发生事故后弄虚作假、隐瞒不报、迟报或谎报，一经查出，按有关规定处罚，并向所有在甲方范围内施工的其它承包商进行通报，并将通报送达承包商。情节严重的，取消其进入甲方的市场资格。</w:t>
      </w:r>
    </w:p>
    <w:p>
      <w:pPr>
        <w:spacing w:line="360" w:lineRule="auto"/>
        <w:ind w:right="110" w:rightChars="50"/>
        <w:rPr>
          <w:rFonts w:asciiTheme="majorEastAsia" w:hAnsiTheme="majorEastAsia" w:eastAsiaTheme="majorEastAsia"/>
          <w:b/>
          <w:sz w:val="21"/>
          <w:szCs w:val="21"/>
          <w:lang w:eastAsia="zh-CN"/>
        </w:rPr>
      </w:pPr>
      <w:r>
        <w:rPr>
          <w:rFonts w:hint="eastAsia" w:asciiTheme="majorEastAsia" w:hAnsiTheme="majorEastAsia" w:eastAsiaTheme="majorEastAsia"/>
          <w:b/>
          <w:sz w:val="21"/>
          <w:szCs w:val="21"/>
          <w:lang w:eastAsia="zh-CN"/>
        </w:rPr>
        <w:t>四、 不可抗力：</w:t>
      </w:r>
    </w:p>
    <w:p>
      <w:pPr>
        <w:spacing w:line="360" w:lineRule="auto"/>
        <w:ind w:right="110" w:rightChars="5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 xml:space="preserve">    由于不可抗力造成合同项目施工作业事故及产生的损失，甲乙双方各自承担相应的损失。</w:t>
      </w:r>
    </w:p>
    <w:p>
      <w:pPr>
        <w:spacing w:line="360" w:lineRule="auto"/>
        <w:ind w:right="110" w:rightChars="50"/>
        <w:rPr>
          <w:rFonts w:asciiTheme="majorEastAsia" w:hAnsiTheme="majorEastAsia" w:eastAsiaTheme="majorEastAsia"/>
          <w:sz w:val="21"/>
          <w:szCs w:val="21"/>
          <w:lang w:eastAsia="zh-CN"/>
        </w:rPr>
      </w:pPr>
      <w:r>
        <w:rPr>
          <w:rFonts w:hint="eastAsia" w:asciiTheme="majorEastAsia" w:hAnsiTheme="majorEastAsia" w:eastAsiaTheme="majorEastAsia"/>
          <w:b/>
          <w:sz w:val="21"/>
          <w:szCs w:val="21"/>
          <w:lang w:eastAsia="zh-CN"/>
        </w:rPr>
        <w:t>五、</w:t>
      </w:r>
      <w:r>
        <w:rPr>
          <w:rFonts w:hint="eastAsia" w:asciiTheme="majorEastAsia" w:hAnsiTheme="majorEastAsia" w:eastAsiaTheme="majorEastAsia"/>
          <w:sz w:val="21"/>
          <w:szCs w:val="21"/>
          <w:lang w:eastAsia="zh-CN"/>
        </w:rPr>
        <w:t>本协议书一式两份，甲乙双方各执一份。</w:t>
      </w:r>
    </w:p>
    <w:p>
      <w:pPr>
        <w:spacing w:line="360" w:lineRule="auto"/>
        <w:ind w:right="110" w:rightChars="50"/>
        <w:rPr>
          <w:rFonts w:asciiTheme="majorEastAsia" w:hAnsiTheme="majorEastAsia" w:eastAsiaTheme="majorEastAsia"/>
          <w:sz w:val="21"/>
          <w:szCs w:val="21"/>
          <w:lang w:eastAsia="zh-CN"/>
        </w:rPr>
      </w:pPr>
      <w:r>
        <w:rPr>
          <w:rFonts w:hint="eastAsia" w:asciiTheme="majorEastAsia" w:hAnsiTheme="majorEastAsia" w:eastAsiaTheme="majorEastAsia"/>
          <w:b/>
          <w:sz w:val="21"/>
          <w:szCs w:val="21"/>
          <w:lang w:eastAsia="zh-CN"/>
        </w:rPr>
        <w:t>六、</w:t>
      </w:r>
      <w:r>
        <w:rPr>
          <w:rFonts w:hint="eastAsia" w:asciiTheme="majorEastAsia" w:hAnsiTheme="majorEastAsia" w:eastAsiaTheme="majorEastAsia"/>
          <w:sz w:val="21"/>
          <w:szCs w:val="21"/>
          <w:lang w:eastAsia="zh-CN"/>
        </w:rPr>
        <w:t>本协议书经双方盖章后生效。</w:t>
      </w:r>
    </w:p>
    <w:p>
      <w:pPr>
        <w:spacing w:line="360" w:lineRule="auto"/>
        <w:ind w:right="110" w:rightChars="50"/>
        <w:rPr>
          <w:rFonts w:asciiTheme="majorEastAsia" w:hAnsiTheme="majorEastAsia" w:eastAsiaTheme="majorEastAsia"/>
          <w:b/>
          <w:sz w:val="21"/>
          <w:szCs w:val="21"/>
          <w:lang w:eastAsia="zh-CN"/>
        </w:rPr>
      </w:pPr>
      <w:r>
        <w:rPr>
          <w:rFonts w:hint="eastAsia" w:asciiTheme="majorEastAsia" w:hAnsiTheme="majorEastAsia" w:eastAsiaTheme="majorEastAsia"/>
          <w:b/>
          <w:sz w:val="21"/>
          <w:szCs w:val="21"/>
          <w:lang w:eastAsia="zh-CN"/>
        </w:rPr>
        <w:t>七、协议期限：</w:t>
      </w:r>
    </w:p>
    <w:p>
      <w:pPr>
        <w:spacing w:line="360" w:lineRule="auto"/>
        <w:ind w:right="110" w:rightChars="5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本协议期限应与主合同期限一致。如果主合同因故需要变更期限，本合同应与主同变更至相同期限。</w:t>
      </w:r>
    </w:p>
    <w:p>
      <w:pPr>
        <w:spacing w:line="360" w:lineRule="auto"/>
        <w:ind w:right="110" w:rightChars="5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（以下无正文）</w:t>
      </w:r>
    </w:p>
    <w:p>
      <w:pPr>
        <w:spacing w:line="360" w:lineRule="auto"/>
        <w:ind w:right="110" w:rightChars="50"/>
        <w:rPr>
          <w:rFonts w:asciiTheme="majorEastAsia" w:hAnsiTheme="majorEastAsia" w:eastAsiaTheme="majorEastAsia"/>
          <w:sz w:val="21"/>
          <w:szCs w:val="21"/>
          <w:lang w:eastAsia="zh-CN"/>
        </w:rPr>
      </w:pPr>
    </w:p>
    <w:p>
      <w:pPr>
        <w:spacing w:line="360" w:lineRule="auto"/>
        <w:ind w:right="110" w:rightChars="5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甲方 (章)：                                  乙方(章)：</w:t>
      </w:r>
    </w:p>
    <w:p>
      <w:pPr>
        <w:spacing w:line="360" w:lineRule="auto"/>
        <w:ind w:left="-222" w:leftChars="-101" w:right="110" w:rightChars="50" w:firstLine="630" w:firstLineChars="30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 xml:space="preserve">腾龙芳烃（漳州）有限公司                 </w:t>
      </w:r>
    </w:p>
    <w:p>
      <w:pPr>
        <w:spacing w:line="360" w:lineRule="auto"/>
        <w:ind w:right="110" w:rightChars="50"/>
        <w:rPr>
          <w:rFonts w:asciiTheme="majorEastAsia" w:hAnsiTheme="majorEastAsia" w:eastAsiaTheme="majorEastAsia"/>
          <w:sz w:val="21"/>
          <w:szCs w:val="21"/>
          <w:lang w:eastAsia="zh-CN"/>
        </w:rPr>
      </w:pPr>
    </w:p>
    <w:p>
      <w:pPr>
        <w:spacing w:line="360" w:lineRule="auto"/>
        <w:ind w:right="110" w:rightChars="50"/>
        <w:rPr>
          <w:rFonts w:asciiTheme="majorEastAsia" w:hAnsiTheme="majorEastAsia" w:eastAsiaTheme="majorEastAsia"/>
          <w:b/>
          <w:color w:val="FF0000"/>
          <w:sz w:val="21"/>
          <w:szCs w:val="21"/>
          <w:lang w:eastAsia="zh-CN"/>
        </w:rPr>
      </w:pPr>
      <w:r>
        <w:rPr>
          <w:rFonts w:hint="eastAsia" w:asciiTheme="majorEastAsia" w:hAnsiTheme="majorEastAsia" w:eastAsiaTheme="majorEastAsia"/>
          <w:sz w:val="21"/>
          <w:szCs w:val="21"/>
          <w:lang w:eastAsia="zh-CN"/>
        </w:rPr>
        <w:t xml:space="preserve">签定日期：    年    月    日                   </w:t>
      </w:r>
    </w:p>
    <w:p>
      <w:pPr>
        <w:spacing w:line="360" w:lineRule="auto"/>
        <w:ind w:right="110" w:rightChars="50"/>
        <w:rPr>
          <w:rFonts w:asciiTheme="majorEastAsia" w:hAnsiTheme="majorEastAsia" w:eastAsiaTheme="majorEastAsia"/>
          <w:sz w:val="21"/>
          <w:szCs w:val="21"/>
          <w:lang w:eastAsia="zh-CN"/>
        </w:rPr>
      </w:pPr>
    </w:p>
    <w:p>
      <w:pPr>
        <w:pStyle w:val="17"/>
        <w:spacing w:line="360" w:lineRule="auto"/>
        <w:rPr>
          <w:rFonts w:hAnsi="宋体"/>
          <w:lang w:eastAsia="zh-CN"/>
        </w:rPr>
      </w:pPr>
    </w:p>
    <w:p>
      <w:pPr>
        <w:pStyle w:val="2"/>
        <w:sectPr>
          <w:footerReference r:id="rId5" w:type="default"/>
          <w:pgSz w:w="11910" w:h="16840"/>
          <w:pgMar w:top="1480" w:right="1120" w:bottom="740" w:left="1300" w:header="0" w:footer="487" w:gutter="0"/>
          <w:cols w:space="720" w:num="1"/>
        </w:sectPr>
      </w:pPr>
    </w:p>
    <w:p>
      <w:pPr>
        <w:pStyle w:val="2"/>
        <w:rPr>
          <w:b/>
          <w:bCs/>
          <w:sz w:val="24"/>
          <w:szCs w:val="24"/>
        </w:rPr>
      </w:pPr>
      <w:bookmarkStart w:id="9" w:name="_Toc251742852"/>
      <w:r>
        <w:rPr>
          <w:rFonts w:hint="eastAsia"/>
          <w:b/>
          <w:bCs/>
          <w:sz w:val="24"/>
          <w:szCs w:val="24"/>
        </w:rPr>
        <w:t>附件二   参选文件范本</w:t>
      </w:r>
    </w:p>
    <w:p>
      <w:pPr>
        <w:pStyle w:val="17"/>
        <w:jc w:val="center"/>
        <w:rPr>
          <w:rFonts w:ascii="Times New Roman" w:hAnsi="Times New Roman"/>
          <w:b/>
          <w:sz w:val="52"/>
          <w:szCs w:val="52"/>
          <w:lang w:eastAsia="zh-CN"/>
        </w:rPr>
      </w:pPr>
    </w:p>
    <w:p>
      <w:pPr>
        <w:pStyle w:val="17"/>
        <w:spacing w:line="615" w:lineRule="exact"/>
        <w:jc w:val="center"/>
        <w:rPr>
          <w:rFonts w:ascii="方正小标宋简体" w:hAnsi="方正小标宋简体" w:eastAsia="方正小标宋简体" w:cs="方正小标宋简体"/>
          <w:b/>
          <w:sz w:val="36"/>
          <w:szCs w:val="36"/>
          <w:lang w:eastAsia="zh-CN"/>
        </w:rPr>
      </w:pPr>
      <w:r>
        <w:rPr>
          <w:rFonts w:hint="eastAsia" w:ascii="方正小标宋简体" w:hAnsi="方正小标宋简体" w:eastAsia="方正小标宋简体" w:cs="方正小标宋简体"/>
          <w:b/>
          <w:sz w:val="36"/>
          <w:szCs w:val="36"/>
          <w:lang w:eastAsia="zh-CN"/>
        </w:rPr>
        <w:t>福建福海创石油化工有限公司</w:t>
      </w:r>
    </w:p>
    <w:p>
      <w:pPr>
        <w:pStyle w:val="17"/>
        <w:spacing w:line="615" w:lineRule="exact"/>
        <w:jc w:val="center"/>
        <w:rPr>
          <w:rFonts w:ascii="方正小标宋简体" w:hAnsi="方正小标宋简体" w:eastAsia="方正小标宋简体" w:cs="方正小标宋简体"/>
          <w:b/>
          <w:sz w:val="44"/>
          <w:szCs w:val="44"/>
          <w:lang w:eastAsia="zh-CN"/>
        </w:rPr>
      </w:pPr>
    </w:p>
    <w:p>
      <w:pPr>
        <w:spacing w:before="38"/>
        <w:ind w:left="172"/>
        <w:jc w:val="center"/>
        <w:rPr>
          <w:rFonts w:ascii="微软雅黑" w:eastAsia="微软雅黑"/>
          <w:b/>
          <w:sz w:val="36"/>
          <w:szCs w:val="36"/>
          <w:lang w:eastAsia="zh-CN"/>
        </w:rPr>
      </w:pPr>
      <w:r>
        <w:rPr>
          <w:rFonts w:hint="eastAsia" w:ascii="微软雅黑" w:eastAsia="微软雅黑"/>
          <w:b/>
          <w:sz w:val="36"/>
          <w:szCs w:val="36"/>
          <w:u w:val="single"/>
          <w:lang w:eastAsia="zh-CN"/>
        </w:rPr>
        <w:t xml:space="preserve">  </w:t>
      </w:r>
      <w:r>
        <w:rPr>
          <w:rFonts w:hint="eastAsia" w:asciiTheme="minorEastAsia" w:hAnsiTheme="minorEastAsia" w:eastAsiaTheme="minorEastAsia"/>
          <w:b/>
          <w:sz w:val="36"/>
          <w:szCs w:val="36"/>
          <w:u w:val="single"/>
          <w:lang w:eastAsia="zh-CN"/>
        </w:rPr>
        <w:t>PX厂区火炬气柜检修</w:t>
      </w:r>
      <w:r>
        <w:rPr>
          <w:rFonts w:hint="eastAsia" w:ascii="微软雅黑" w:eastAsia="微软雅黑"/>
          <w:b/>
          <w:sz w:val="36"/>
          <w:szCs w:val="36"/>
          <w:u w:val="single"/>
          <w:lang w:eastAsia="zh-CN"/>
        </w:rPr>
        <w:t xml:space="preserve">  </w:t>
      </w:r>
      <w:r>
        <w:rPr>
          <w:rFonts w:hint="eastAsia" w:ascii="微软雅黑" w:eastAsia="微软雅黑"/>
          <w:b/>
          <w:sz w:val="36"/>
          <w:szCs w:val="36"/>
          <w:lang w:eastAsia="zh-CN"/>
        </w:rPr>
        <w:t>项目</w:t>
      </w:r>
    </w:p>
    <w:p>
      <w:pPr>
        <w:spacing w:line="1000" w:lineRule="exact"/>
        <w:jc w:val="center"/>
        <w:rPr>
          <w:rFonts w:ascii="方正小标宋简体" w:hAnsi="方正小标宋简体" w:eastAsia="方正小标宋简体" w:cs="方正小标宋简体"/>
          <w:b/>
          <w:sz w:val="44"/>
          <w:szCs w:val="44"/>
          <w:lang w:eastAsia="zh-CN"/>
        </w:rPr>
      </w:pPr>
    </w:p>
    <w:p>
      <w:pPr>
        <w:spacing w:line="1000" w:lineRule="exact"/>
        <w:jc w:val="center"/>
        <w:rPr>
          <w:b/>
          <w:sz w:val="44"/>
          <w:szCs w:val="44"/>
          <w:lang w:eastAsia="zh-CN"/>
        </w:rPr>
      </w:pPr>
    </w:p>
    <w:p>
      <w:pPr>
        <w:spacing w:line="1000" w:lineRule="exact"/>
        <w:jc w:val="center"/>
        <w:rPr>
          <w:b/>
          <w:sz w:val="44"/>
          <w:szCs w:val="44"/>
          <w:lang w:eastAsia="zh-CN"/>
        </w:rPr>
      </w:pPr>
    </w:p>
    <w:p>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pPr>
        <w:pStyle w:val="2"/>
      </w:pPr>
    </w:p>
    <w:p>
      <w:pPr>
        <w:pStyle w:val="17"/>
        <w:rPr>
          <w:rFonts w:ascii="Times New Roman" w:hAnsi="Times New Roman"/>
          <w:lang w:eastAsia="zh-CN"/>
        </w:rPr>
      </w:pPr>
    </w:p>
    <w:p>
      <w:pPr>
        <w:pStyle w:val="17"/>
        <w:rPr>
          <w:rFonts w:ascii="Times New Roman" w:hAnsi="Times New Roman"/>
          <w:lang w:eastAsia="zh-CN"/>
        </w:rPr>
      </w:pPr>
    </w:p>
    <w:p>
      <w:pPr>
        <w:pStyle w:val="17"/>
        <w:rPr>
          <w:rFonts w:ascii="Times New Roman" w:hAnsi="Times New Roman"/>
          <w:lang w:eastAsia="zh-CN"/>
        </w:rPr>
      </w:pPr>
    </w:p>
    <w:p>
      <w:pPr>
        <w:pStyle w:val="17"/>
        <w:rPr>
          <w:rFonts w:ascii="Times New Roman" w:hAnsi="Times New Roman"/>
          <w:lang w:eastAsia="zh-CN"/>
        </w:rPr>
      </w:pPr>
    </w:p>
    <w:p>
      <w:pPr>
        <w:pStyle w:val="17"/>
        <w:rPr>
          <w:rFonts w:ascii="Times New Roman" w:hAnsi="Times New Roman"/>
          <w:lang w:eastAsia="zh-CN"/>
        </w:rPr>
      </w:pPr>
    </w:p>
    <w:p>
      <w:pPr>
        <w:pStyle w:val="17"/>
        <w:rPr>
          <w:rFonts w:ascii="Times New Roman" w:hAnsi="Times New Roman"/>
          <w:b/>
          <w:bCs/>
          <w:sz w:val="32"/>
          <w:szCs w:val="32"/>
          <w:lang w:eastAsia="zh-CN"/>
        </w:rPr>
      </w:pPr>
    </w:p>
    <w:p>
      <w:pPr>
        <w:pStyle w:val="17"/>
        <w:rPr>
          <w:rFonts w:ascii="Times New Roman" w:hAnsi="Times New Roman"/>
          <w:b/>
          <w:bCs/>
          <w:sz w:val="32"/>
          <w:szCs w:val="32"/>
          <w:lang w:eastAsia="zh-CN"/>
        </w:rPr>
      </w:pPr>
    </w:p>
    <w:p>
      <w:pPr>
        <w:pStyle w:val="17"/>
        <w:rPr>
          <w:rFonts w:ascii="Times New Roman" w:hAnsi="Times New Roman"/>
          <w:b/>
          <w:bCs/>
          <w:sz w:val="32"/>
          <w:szCs w:val="32"/>
          <w:lang w:eastAsia="zh-CN"/>
        </w:rPr>
      </w:pPr>
    </w:p>
    <w:p>
      <w:pPr>
        <w:pStyle w:val="17"/>
        <w:rPr>
          <w:rFonts w:ascii="Times New Roman" w:hAnsi="Times New Roman"/>
          <w:b/>
          <w:bCs/>
          <w:sz w:val="32"/>
          <w:szCs w:val="36"/>
          <w:lang w:eastAsia="zh-CN"/>
        </w:rPr>
      </w:pPr>
    </w:p>
    <w:p>
      <w:pPr>
        <w:pStyle w:val="17"/>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17"/>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2020</w:t>
      </w:r>
      <w:r>
        <w:rPr>
          <w:rFonts w:ascii="Times New Roman" w:hAnsi="Times New Roman"/>
          <w:b/>
          <w:bCs/>
          <w:w w:val="95"/>
          <w:sz w:val="32"/>
          <w:lang w:eastAsia="zh-CN"/>
        </w:rPr>
        <w:t>年</w:t>
      </w:r>
      <w:r>
        <w:rPr>
          <w:rFonts w:hint="eastAsia" w:ascii="Times New Roman" w:hAnsi="Times New Roman"/>
          <w:b/>
          <w:bCs/>
          <w:w w:val="95"/>
          <w:sz w:val="32"/>
          <w:lang w:eastAsia="zh-CN"/>
        </w:rPr>
        <w:t>11</w:t>
      </w:r>
      <w:r>
        <w:rPr>
          <w:rFonts w:ascii="Times New Roman" w:hAnsi="Times New Roman"/>
          <w:b/>
          <w:bCs/>
          <w:w w:val="95"/>
          <w:sz w:val="32"/>
          <w:lang w:eastAsia="zh-CN"/>
        </w:rPr>
        <w:t>月</w:t>
      </w:r>
    </w:p>
    <w:p>
      <w:pPr>
        <w:rPr>
          <w:lang w:eastAsia="zh-CN"/>
        </w:rPr>
      </w:pPr>
    </w:p>
    <w:p>
      <w:pPr>
        <w:pStyle w:val="2"/>
      </w:pPr>
    </w:p>
    <w:p>
      <w:pPr>
        <w:spacing w:line="500" w:lineRule="exact"/>
        <w:rPr>
          <w:b/>
          <w:bCs/>
          <w:sz w:val="36"/>
          <w:szCs w:val="36"/>
          <w:lang w:eastAsia="zh-CN"/>
        </w:rPr>
      </w:pPr>
    </w:p>
    <w:p>
      <w:pPr>
        <w:spacing w:line="1000" w:lineRule="exact"/>
        <w:rPr>
          <w:b/>
          <w:i/>
          <w:iCs/>
          <w:color w:val="C00000"/>
          <w:sz w:val="44"/>
          <w:szCs w:val="44"/>
          <w:lang w:eastAsia="zh-CN"/>
        </w:rPr>
      </w:pP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2"/>
        <w:rPr>
          <w:color w:val="4E6127"/>
        </w:rPr>
      </w:pPr>
    </w:p>
    <w:p>
      <w:pPr>
        <w:pStyle w:val="47"/>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1、参选人应按规定，向比选人递交参选文件，</w:t>
      </w:r>
      <w:r>
        <w:rPr>
          <w:rFonts w:hint="eastAsia" w:cs="Times New Roman"/>
          <w:b/>
          <w:color w:val="C00000"/>
          <w:lang w:eastAsia="zh-CN"/>
        </w:rPr>
        <w:t>正本一份、副本两份</w:t>
      </w:r>
      <w:r>
        <w:rPr>
          <w:rFonts w:hint="eastAsia" w:cs="Times New Roman"/>
          <w:bCs w:val="0"/>
          <w:color w:val="C00000"/>
          <w:lang w:eastAsia="zh-CN"/>
        </w:rPr>
        <w:t>，当正本与副本有不一致时，以正本为准。</w:t>
      </w:r>
    </w:p>
    <w:p>
      <w:pPr>
        <w:pStyle w:val="47"/>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2、参选文件的正本和副本均需A4纸打印或用不褪色墨水书写，由参选人的法定代表人或其授权的代理人按规定</w:t>
      </w:r>
      <w:r>
        <w:rPr>
          <w:rFonts w:hint="eastAsia" w:cs="Times New Roman"/>
          <w:b/>
          <w:color w:val="C00000"/>
          <w:lang w:eastAsia="zh-CN"/>
        </w:rPr>
        <w:t>手签，不得用签名章代替</w:t>
      </w:r>
      <w:r>
        <w:rPr>
          <w:rFonts w:hint="eastAsia" w:cs="Times New Roman"/>
          <w:bCs w:val="0"/>
          <w:color w:val="C00000"/>
          <w:lang w:eastAsia="zh-CN"/>
        </w:rPr>
        <w:t>。</w:t>
      </w:r>
    </w:p>
    <w:p>
      <w:pPr>
        <w:pStyle w:val="47"/>
        <w:spacing w:beforeLines="0" w:afterLines="0" w:line="240" w:lineRule="auto"/>
        <w:rPr>
          <w:rFonts w:cs="Times New Roman"/>
          <w:bCs w:val="0"/>
          <w:color w:val="C00000"/>
          <w:lang w:eastAsia="zh-CN"/>
        </w:rPr>
      </w:pPr>
      <w:r>
        <w:rPr>
          <w:rFonts w:hint="eastAsia" w:cs="Times New Roman"/>
          <w:bCs w:val="0"/>
          <w:color w:val="C00000"/>
          <w:lang w:eastAsia="zh-CN"/>
        </w:rPr>
        <w:t>3、参选文件的任何一页都不应涂改，不应有行间插字或删除。如果出现上述情况，不论何种原因造成，均由参选文件签字人在改动处签字或盖法人章。</w:t>
      </w:r>
    </w:p>
    <w:p>
      <w:pPr>
        <w:pStyle w:val="47"/>
        <w:spacing w:beforeLines="0" w:afterLines="0" w:line="240" w:lineRule="auto"/>
        <w:rPr>
          <w:rFonts w:cs="Times New Roman"/>
          <w:b/>
          <w:color w:val="C00000"/>
          <w:lang w:eastAsia="zh-CN"/>
        </w:rPr>
      </w:pPr>
      <w:r>
        <w:rPr>
          <w:rFonts w:hint="eastAsia" w:cs="Times New Roman"/>
          <w:bCs w:val="0"/>
          <w:color w:val="C00000"/>
          <w:lang w:eastAsia="zh-CN"/>
        </w:rPr>
        <w:t>4、每包参选文件的正本与副本应分别装订成册，不得采用活页夹，</w:t>
      </w:r>
      <w:r>
        <w:rPr>
          <w:rFonts w:hint="eastAsia" w:cs="Times New Roman"/>
          <w:b/>
          <w:color w:val="C00000"/>
          <w:lang w:eastAsia="zh-CN"/>
        </w:rPr>
        <w:t>必须装订，否则为无效参选文件。参选文件应编制目录，并且逐页标注连续页码。</w:t>
      </w:r>
    </w:p>
    <w:p>
      <w:pPr>
        <w:pStyle w:val="47"/>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5、以下文件中</w:t>
      </w:r>
      <w:r>
        <w:rPr>
          <w:rFonts w:hint="eastAsia" w:cs="Times New Roman"/>
          <w:b/>
          <w:color w:val="00B050"/>
          <w:lang w:eastAsia="zh-CN"/>
        </w:rPr>
        <w:t>绿色</w:t>
      </w:r>
      <w:r>
        <w:rPr>
          <w:rFonts w:hint="eastAsia" w:cs="Times New Roman"/>
          <w:bCs w:val="0"/>
          <w:color w:val="C00000"/>
          <w:lang w:eastAsia="zh-CN"/>
        </w:rPr>
        <w:t>字体部分，请各参选单位根据实际情况填写后，修改为</w:t>
      </w:r>
      <w:r>
        <w:rPr>
          <w:rFonts w:hint="eastAsia" w:cs="Times New Roman"/>
          <w:b/>
          <w:color w:val="C00000"/>
          <w:lang w:eastAsia="zh-CN"/>
        </w:rPr>
        <w:t>黑色（不加粗）</w:t>
      </w:r>
      <w:r>
        <w:rPr>
          <w:rFonts w:hint="eastAsia" w:cs="Times New Roman"/>
          <w:bCs w:val="0"/>
          <w:color w:val="C00000"/>
          <w:lang w:eastAsia="zh-CN"/>
        </w:rPr>
        <w:t>字体打印。目录页码请根据实际情况编写。</w:t>
      </w:r>
    </w:p>
    <w:p>
      <w:pPr>
        <w:pStyle w:val="47"/>
        <w:spacing w:beforeLines="0" w:afterLines="0" w:line="240" w:lineRule="auto"/>
        <w:ind w:firstLine="621" w:firstLineChars="221"/>
        <w:rPr>
          <w:rFonts w:cs="Times New Roman"/>
          <w:b/>
          <w:color w:val="C00000"/>
          <w:lang w:eastAsia="zh-CN"/>
        </w:rPr>
      </w:pPr>
      <w:r>
        <w:rPr>
          <w:rFonts w:hint="eastAsia" w:cs="Times New Roman"/>
          <w:b/>
          <w:color w:val="C00000"/>
          <w:lang w:eastAsia="zh-CN"/>
        </w:rPr>
        <w:t>6、以下文件中红色字体部分，打印时请删除。</w:t>
      </w:r>
    </w:p>
    <w:p>
      <w:pPr>
        <w:spacing w:line="1000" w:lineRule="exact"/>
        <w:jc w:val="center"/>
        <w:rPr>
          <w:b/>
          <w:sz w:val="44"/>
          <w:szCs w:val="44"/>
          <w:lang w:eastAsia="zh-CN"/>
        </w:rPr>
      </w:pPr>
    </w:p>
    <w:bookmarkEnd w:id="9"/>
    <w:p>
      <w:pPr>
        <w:spacing w:before="11" w:line="360" w:lineRule="auto"/>
        <w:rPr>
          <w:b/>
          <w:bCs/>
          <w:sz w:val="24"/>
          <w:szCs w:val="24"/>
          <w:lang w:eastAsia="zh-CN"/>
        </w:rPr>
      </w:pPr>
    </w:p>
    <w:p>
      <w:pPr>
        <w:pStyle w:val="2"/>
      </w:pPr>
    </w:p>
    <w:p>
      <w:pPr>
        <w:pStyle w:val="2"/>
        <w:rPr>
          <w:sz w:val="24"/>
          <w:szCs w:val="24"/>
        </w:rPr>
      </w:pPr>
      <w:r>
        <w:rPr>
          <w:rFonts w:hint="eastAsia"/>
          <w:sz w:val="24"/>
          <w:szCs w:val="24"/>
        </w:rPr>
        <w:t>附件1、</w:t>
      </w:r>
    </w:p>
    <w:p>
      <w:pPr>
        <w:pStyle w:val="17"/>
        <w:jc w:val="center"/>
        <w:rPr>
          <w:rFonts w:ascii="Times New Roman" w:hAnsi="Times New Roman"/>
          <w:b/>
          <w:sz w:val="52"/>
          <w:szCs w:val="52"/>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1、参选单位企业概况（包含但不限于企业简介、营业执照、开户许可证、经营状况、资质证书、以往承揽类似业绩的合同等其他可以证明参选人具有良好业绩的相关材料，凡弄虚作假的，一经查实，比选人有权取消其中选资格）。</w:t>
      </w:r>
    </w:p>
    <w:p>
      <w:pPr>
        <w:pStyle w:val="2"/>
        <w:spacing w:line="360" w:lineRule="auto"/>
        <w:rPr>
          <w:sz w:val="24"/>
          <w:szCs w:val="24"/>
        </w:rPr>
      </w:pPr>
      <w:r>
        <w:rPr>
          <w:rFonts w:hint="eastAsia"/>
          <w:sz w:val="24"/>
          <w:szCs w:val="24"/>
        </w:rPr>
        <w:t xml:space="preserve">    </w:t>
      </w:r>
    </w:p>
    <w:p>
      <w:pPr>
        <w:spacing w:line="360" w:lineRule="auto"/>
        <w:rPr>
          <w:color w:val="000000"/>
          <w:sz w:val="24"/>
          <w:szCs w:val="24"/>
          <w:lang w:eastAsia="zh-CN"/>
        </w:rPr>
      </w:pPr>
    </w:p>
    <w:p>
      <w:pPr>
        <w:spacing w:line="520" w:lineRule="exact"/>
        <w:rPr>
          <w:i/>
          <w:color w:val="FF0000"/>
          <w:sz w:val="28"/>
          <w:szCs w:val="28"/>
          <w:lang w:eastAsia="zh-CN"/>
        </w:rPr>
      </w:pPr>
      <w:r>
        <w:rPr>
          <w:rFonts w:hint="eastAsia"/>
          <w:i/>
          <w:color w:val="FF0000"/>
          <w:sz w:val="28"/>
          <w:szCs w:val="28"/>
          <w:lang w:eastAsia="zh-CN"/>
        </w:rPr>
        <w:t>本部分内容由参选单位自行编制，不做格式要求。</w:t>
      </w: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sz w:val="24"/>
          <w:szCs w:val="24"/>
        </w:rPr>
      </w:pPr>
    </w:p>
    <w:p>
      <w:pPr>
        <w:pStyle w:val="2"/>
        <w:rPr>
          <w:sz w:val="24"/>
          <w:szCs w:val="24"/>
        </w:rPr>
      </w:pPr>
      <w:r>
        <w:rPr>
          <w:rFonts w:hint="eastAsia"/>
          <w:sz w:val="24"/>
          <w:szCs w:val="24"/>
        </w:rPr>
        <w:t>附件2、</w:t>
      </w: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参选书</w:t>
      </w:r>
    </w:p>
    <w:p>
      <w:pPr>
        <w:spacing w:line="500" w:lineRule="exact"/>
        <w:rPr>
          <w:sz w:val="24"/>
          <w:lang w:eastAsia="zh-CN"/>
        </w:rPr>
      </w:pP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（4）承诺函</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 xml:space="preserve">        职务：</w:t>
      </w:r>
    </w:p>
    <w:p>
      <w:pPr>
        <w:spacing w:line="500" w:lineRule="exact"/>
        <w:ind w:firstLine="480" w:firstLineChars="200"/>
        <w:rPr>
          <w:sz w:val="24"/>
          <w:lang w:eastAsia="zh-CN"/>
        </w:rPr>
      </w:pPr>
      <w:r>
        <w:rPr>
          <w:rFonts w:hint="eastAsia"/>
          <w:sz w:val="24"/>
          <w:lang w:eastAsia="zh-CN"/>
        </w:rPr>
        <w:t xml:space="preserve">    联系方式：</w:t>
      </w: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参  选  人：</w:t>
      </w:r>
      <w:r>
        <w:rPr>
          <w:rFonts w:hint="eastAsia" w:hAnsi="宋体"/>
          <w:color w:val="00B050"/>
          <w:kern w:val="2"/>
          <w:sz w:val="28"/>
          <w:szCs w:val="28"/>
        </w:rPr>
        <w:t>（单位名称）</w:t>
      </w:r>
    </w:p>
    <w:p>
      <w:pPr>
        <w:pStyle w:val="2"/>
        <w:ind w:firstLine="3240" w:firstLineChars="1350"/>
        <w:jc w:val="left"/>
        <w:rPr>
          <w:rFonts w:ascii="Times New Roman" w:hAnsi="Times New Roman"/>
          <w:kern w:val="2"/>
          <w:sz w:val="24"/>
          <w:szCs w:val="24"/>
        </w:rPr>
      </w:pPr>
      <w:r>
        <w:rPr>
          <w:rFonts w:hint="eastAsia" w:ascii="Times New Roman" w:hAnsi="Times New Roman"/>
          <w:kern w:val="2"/>
          <w:sz w:val="24"/>
          <w:szCs w:val="24"/>
        </w:rPr>
        <w:t>法定代表人：</w:t>
      </w:r>
    </w:p>
    <w:p>
      <w:pPr>
        <w:pStyle w:val="2"/>
        <w:jc w:val="center"/>
      </w:pPr>
    </w:p>
    <w:p>
      <w:pPr>
        <w:spacing w:line="500" w:lineRule="exact"/>
        <w:jc w:val="both"/>
        <w:rPr>
          <w:b/>
          <w:bCs/>
          <w:sz w:val="36"/>
          <w:szCs w:val="36"/>
          <w:lang w:eastAsia="zh-CN"/>
        </w:rPr>
      </w:pPr>
      <w:r>
        <w:rPr>
          <w:rFonts w:hint="eastAsia"/>
          <w:sz w:val="24"/>
          <w:szCs w:val="24"/>
          <w:lang w:eastAsia="zh-CN"/>
        </w:rPr>
        <w:t>附件3、</w:t>
      </w: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w:t>
      </w:r>
      <w:r>
        <w:rPr>
          <w:rFonts w:hint="eastAsia" w:asciiTheme="minorEastAsia" w:hAnsiTheme="minorEastAsia" w:eastAsiaTheme="minorEastAsia"/>
          <w:sz w:val="24"/>
          <w:szCs w:val="24"/>
          <w:u w:val="single"/>
          <w:lang w:eastAsia="zh-CN"/>
        </w:rPr>
        <w:t>PX厂区火炬气柜检修</w:t>
      </w:r>
      <w:r>
        <w:rPr>
          <w:rFonts w:hint="eastAsia"/>
          <w:sz w:val="24"/>
          <w:lang w:eastAsia="zh-CN"/>
        </w:rPr>
        <w:t>项目公开自主比选，以本公司名义参与报价、合同执行并处理与之有关的其他事务，相关责任及后果由本公司承担。</w:t>
      </w:r>
    </w:p>
    <w:p>
      <w:pPr>
        <w:spacing w:line="360" w:lineRule="auto"/>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2020年  月   日</w:t>
      </w:r>
      <w:r>
        <w:rPr>
          <w:rFonts w:hint="eastAsia"/>
          <w:sz w:val="24"/>
          <w:lang w:eastAsia="zh-CN"/>
        </w:rPr>
        <w:t>生效，本授权书有效期至此次报价，以及合同履行完毕时止。</w:t>
      </w:r>
    </w:p>
    <w:p>
      <w:pPr>
        <w:spacing w:line="360" w:lineRule="auto"/>
        <w:ind w:firstLine="480" w:firstLineChars="200"/>
        <w:rPr>
          <w:sz w:val="24"/>
          <w:szCs w:val="24"/>
          <w:lang w:eastAsia="zh-CN"/>
        </w:rPr>
      </w:pPr>
      <w:r>
        <w:rPr>
          <w:rFonts w:hint="eastAsia"/>
          <w:sz w:val="24"/>
          <w:szCs w:val="24"/>
          <w:lang w:eastAsia="zh-CN"/>
        </w:rPr>
        <w:t>代理人无转委托权，特此委托。</w:t>
      </w:r>
    </w:p>
    <w:p>
      <w:pPr>
        <w:spacing w:line="360" w:lineRule="auto"/>
        <w:ind w:firstLine="480" w:firstLineChars="200"/>
        <w:rPr>
          <w:color w:val="000000"/>
          <w:sz w:val="24"/>
          <w:szCs w:val="24"/>
          <w:lang w:eastAsia="zh-CN"/>
        </w:rPr>
      </w:pPr>
      <w:r>
        <w:rPr>
          <w:rFonts w:hint="eastAsia"/>
          <w:color w:val="000000"/>
          <w:sz w:val="24"/>
          <w:szCs w:val="24"/>
          <w:lang w:eastAsia="zh-CN"/>
        </w:rPr>
        <w:t>附：法定代表人身份证明</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jc w:val="both"/>
              <w:rPr>
                <w:color w:val="000000"/>
                <w:szCs w:val="21"/>
                <w:lang w:eastAsia="zh-CN"/>
              </w:rPr>
            </w:pPr>
          </w:p>
        </w:tc>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（反面）</w:t>
            </w:r>
          </w:p>
        </w:tc>
      </w:tr>
    </w:tbl>
    <w:p>
      <w:pPr>
        <w:spacing w:line="276" w:lineRule="auto"/>
        <w:ind w:firstLine="420" w:firstLineChars="200"/>
        <w:rPr>
          <w:color w:val="000000"/>
          <w:sz w:val="21"/>
          <w:szCs w:val="21"/>
        </w:rPr>
      </w:pPr>
    </w:p>
    <w:p>
      <w:pPr>
        <w:spacing w:line="360" w:lineRule="auto"/>
        <w:ind w:firstLine="480" w:firstLineChars="200"/>
        <w:rPr>
          <w:color w:val="000000"/>
          <w:sz w:val="24"/>
          <w:szCs w:val="24"/>
          <w:lang w:eastAsia="zh-CN"/>
        </w:rPr>
      </w:pPr>
      <w:r>
        <w:rPr>
          <w:rFonts w:hint="eastAsia"/>
          <w:color w:val="000000"/>
          <w:sz w:val="24"/>
          <w:szCs w:val="24"/>
          <w:lang w:eastAsia="zh-CN"/>
        </w:rPr>
        <w:t>代  理  人：</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FF0000"/>
          <w:sz w:val="24"/>
          <w:szCs w:val="24"/>
          <w:u w:val="single"/>
          <w:lang w:eastAsia="zh-CN"/>
        </w:rPr>
        <w:t>（签字）</w:t>
      </w:r>
      <w:r>
        <w:rPr>
          <w:rFonts w:hint="eastAsia"/>
          <w:color w:val="000000"/>
          <w:sz w:val="24"/>
          <w:szCs w:val="24"/>
          <w:lang w:eastAsia="zh-CN"/>
        </w:rPr>
        <w:t>性别：</w:t>
      </w:r>
      <w:r>
        <w:rPr>
          <w:color w:val="000000"/>
          <w:sz w:val="24"/>
          <w:szCs w:val="24"/>
          <w:u w:val="single"/>
          <w:lang w:eastAsia="zh-CN"/>
        </w:rPr>
        <w:t xml:space="preserve">      </w:t>
      </w:r>
      <w:r>
        <w:rPr>
          <w:rFonts w:hint="eastAsia"/>
          <w:color w:val="000000"/>
          <w:sz w:val="24"/>
          <w:szCs w:val="24"/>
          <w:lang w:eastAsia="zh-CN"/>
        </w:rPr>
        <w:t>年龄：</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身份证号码：</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color w:val="000000"/>
          <w:sz w:val="24"/>
          <w:szCs w:val="24"/>
          <w:lang w:eastAsia="zh-CN"/>
        </w:rPr>
        <w:t xml:space="preserve"> </w:t>
      </w:r>
      <w:r>
        <w:rPr>
          <w:rFonts w:hint="eastAsia"/>
          <w:color w:val="000000"/>
          <w:sz w:val="24"/>
          <w:szCs w:val="24"/>
          <w:lang w:eastAsia="zh-CN"/>
        </w:rPr>
        <w:t>职务：</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委托期限：</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日至</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代理人电话：</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000000"/>
          <w:sz w:val="24"/>
          <w:szCs w:val="24"/>
          <w:lang w:eastAsia="zh-CN"/>
        </w:rPr>
        <w:t xml:space="preserve">  邮箱：</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法定代表人：</w:t>
      </w:r>
      <w:r>
        <w:rPr>
          <w:color w:val="000000"/>
          <w:sz w:val="24"/>
          <w:szCs w:val="24"/>
          <w:u w:val="single"/>
          <w:lang w:eastAsia="zh-CN"/>
        </w:rPr>
        <w:t xml:space="preserve">                </w:t>
      </w:r>
      <w:r>
        <w:rPr>
          <w:rFonts w:hint="eastAsia"/>
          <w:color w:val="FF0000"/>
          <w:sz w:val="24"/>
          <w:szCs w:val="24"/>
          <w:u w:val="single"/>
          <w:lang w:eastAsia="zh-CN"/>
        </w:rPr>
        <w:t>签字）</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参</w:t>
      </w:r>
      <w:r>
        <w:rPr>
          <w:color w:val="000000"/>
          <w:sz w:val="24"/>
          <w:szCs w:val="24"/>
          <w:lang w:eastAsia="zh-CN"/>
        </w:rPr>
        <w:t xml:space="preserve">  </w:t>
      </w:r>
      <w:r>
        <w:rPr>
          <w:rFonts w:hint="eastAsia"/>
          <w:color w:val="000000"/>
          <w:sz w:val="24"/>
          <w:szCs w:val="24"/>
          <w:lang w:eastAsia="zh-CN"/>
        </w:rPr>
        <w:t>选</w:t>
      </w:r>
      <w:r>
        <w:rPr>
          <w:color w:val="000000"/>
          <w:sz w:val="24"/>
          <w:szCs w:val="24"/>
          <w:lang w:eastAsia="zh-CN"/>
        </w:rPr>
        <w:t xml:space="preserve">  </w:t>
      </w:r>
      <w:r>
        <w:rPr>
          <w:rFonts w:hint="eastAsia"/>
          <w:color w:val="000000"/>
          <w:sz w:val="24"/>
          <w:szCs w:val="24"/>
          <w:lang w:eastAsia="zh-CN"/>
        </w:rPr>
        <w:t>人：</w:t>
      </w:r>
      <w:r>
        <w:rPr>
          <w:color w:val="000000"/>
          <w:sz w:val="24"/>
          <w:szCs w:val="24"/>
          <w:u w:val="single"/>
          <w:lang w:eastAsia="zh-CN"/>
        </w:rPr>
        <w:t xml:space="preserve">                            </w:t>
      </w:r>
      <w:r>
        <w:rPr>
          <w:rFonts w:hint="eastAsia"/>
          <w:color w:val="000000"/>
          <w:sz w:val="24"/>
          <w:szCs w:val="24"/>
          <w:u w:val="single"/>
          <w:lang w:eastAsia="zh-CN"/>
        </w:rPr>
        <w:t>（盖单位章）</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r>
        <w:rPr>
          <w:color w:val="000000"/>
          <w:sz w:val="24"/>
          <w:szCs w:val="24"/>
          <w:lang w:eastAsia="zh-CN"/>
        </w:rPr>
        <w:t xml:space="preserve">                               </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附：代理人身份证明</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jc w:val="both"/>
              <w:rPr>
                <w:color w:val="000000"/>
                <w:szCs w:val="21"/>
                <w:lang w:eastAsia="zh-CN"/>
              </w:rPr>
            </w:pPr>
          </w:p>
        </w:tc>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（反面）</w:t>
            </w:r>
          </w:p>
        </w:tc>
      </w:tr>
    </w:tbl>
    <w:p>
      <w:pPr>
        <w:pStyle w:val="2"/>
        <w:rPr>
          <w:color w:val="0000FF"/>
          <w:kern w:val="2"/>
        </w:rPr>
      </w:pPr>
    </w:p>
    <w:p>
      <w:pPr>
        <w:pStyle w:val="2"/>
        <w:jc w:val="center"/>
        <w:rPr>
          <w:color w:val="0000FF"/>
          <w:kern w:val="2"/>
        </w:rPr>
      </w:pPr>
    </w:p>
    <w:p>
      <w:pPr>
        <w:spacing w:line="500" w:lineRule="exact"/>
        <w:jc w:val="both"/>
        <w:rPr>
          <w:sz w:val="24"/>
          <w:szCs w:val="24"/>
          <w:lang w:eastAsia="zh-CN"/>
        </w:rPr>
      </w:pPr>
      <w:r>
        <w:rPr>
          <w:rFonts w:hint="eastAsia"/>
          <w:sz w:val="24"/>
          <w:szCs w:val="24"/>
          <w:lang w:eastAsia="zh-CN"/>
        </w:rPr>
        <w:t>附件4、</w:t>
      </w:r>
    </w:p>
    <w:p>
      <w:pPr>
        <w:pStyle w:val="2"/>
      </w:pPr>
    </w:p>
    <w:p>
      <w:pPr>
        <w:pStyle w:val="2"/>
      </w:pPr>
    </w:p>
    <w:p>
      <w:pPr>
        <w:pStyle w:val="4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承诺函</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我公司对</w:t>
      </w:r>
      <w:r>
        <w:rPr>
          <w:rFonts w:hint="eastAsia" w:asciiTheme="minorEastAsia" w:hAnsiTheme="minorEastAsia" w:eastAsiaTheme="minorEastAsia"/>
          <w:sz w:val="24"/>
          <w:szCs w:val="24"/>
          <w:u w:val="single"/>
          <w:lang w:eastAsia="zh-CN"/>
        </w:rPr>
        <w:t>PX厂区火炬气柜检修</w:t>
      </w:r>
      <w:r>
        <w:rPr>
          <w:rFonts w:hint="eastAsia"/>
          <w:sz w:val="24"/>
          <w:lang w:eastAsia="zh-CN"/>
        </w:rPr>
        <w:t>项目招标文件中有关要求完全响应，完全满足供应商合格条件。如我公司能在本次中选，我公司郑重承诺如下：</w:t>
      </w:r>
    </w:p>
    <w:p>
      <w:pPr>
        <w:spacing w:line="500" w:lineRule="exact"/>
        <w:ind w:firstLine="480" w:firstLineChars="200"/>
        <w:rPr>
          <w:sz w:val="24"/>
          <w:lang w:eastAsia="zh-CN"/>
        </w:rPr>
      </w:pPr>
      <w:r>
        <w:rPr>
          <w:rFonts w:hint="eastAsia"/>
          <w:sz w:val="24"/>
          <w:lang w:eastAsia="zh-CN"/>
        </w:rPr>
        <w:t>1、我公司将按照用户需求至上原则，保证提供优质的服务。</w:t>
      </w:r>
    </w:p>
    <w:p>
      <w:pPr>
        <w:spacing w:line="500" w:lineRule="exact"/>
        <w:ind w:firstLine="480" w:firstLineChars="200"/>
        <w:rPr>
          <w:sz w:val="24"/>
          <w:lang w:eastAsia="zh-CN"/>
        </w:rPr>
      </w:pPr>
      <w:r>
        <w:rPr>
          <w:rFonts w:hint="eastAsia"/>
          <w:sz w:val="24"/>
          <w:lang w:eastAsia="zh-CN"/>
        </w:rPr>
        <w:t>2、我公司将严格按照比选文件、参选文件及合同的要求履行自身义务。</w:t>
      </w:r>
    </w:p>
    <w:p>
      <w:pPr>
        <w:pStyle w:val="2"/>
        <w:ind w:firstLine="601" w:firstLineChars="188"/>
        <w:rPr>
          <w:rFonts w:ascii="Times New Roman" w:hAnsi="Times New Roman" w:eastAsia="仿宋_GB2312"/>
          <w:kern w:val="2"/>
          <w:sz w:val="32"/>
          <w:szCs w:val="32"/>
        </w:rPr>
      </w:pPr>
    </w:p>
    <w:p>
      <w:pPr>
        <w:snapToGrid w:val="0"/>
        <w:spacing w:line="360" w:lineRule="auto"/>
        <w:rPr>
          <w:sz w:val="24"/>
          <w:szCs w:val="24"/>
          <w:lang w:eastAsia="zh-CN"/>
        </w:rPr>
      </w:pPr>
      <w:r>
        <w:rPr>
          <w:sz w:val="24"/>
          <w:szCs w:val="24"/>
          <w:lang w:eastAsia="zh-CN"/>
        </w:rPr>
        <w:t xml:space="preserve">               </w:t>
      </w:r>
    </w:p>
    <w:p>
      <w:pPr>
        <w:rPr>
          <w:color w:val="000000"/>
          <w:sz w:val="24"/>
          <w:szCs w:val="24"/>
          <w:lang w:eastAsia="zh-CN"/>
        </w:rPr>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pPr>
    </w:p>
    <w:p>
      <w:pPr>
        <w:pStyle w:val="2"/>
      </w:pPr>
    </w:p>
    <w:p>
      <w:pPr>
        <w:pStyle w:val="2"/>
      </w:pPr>
    </w:p>
    <w:p>
      <w:pPr>
        <w:pStyle w:val="2"/>
      </w:pPr>
    </w:p>
    <w:p>
      <w:pPr>
        <w:pStyle w:val="2"/>
      </w:pPr>
    </w:p>
    <w:p>
      <w:pPr>
        <w:pStyle w:val="2"/>
      </w:pPr>
    </w:p>
    <w:p>
      <w:pPr>
        <w:pStyle w:val="2"/>
        <w:rPr>
          <w:sz w:val="24"/>
          <w:szCs w:val="24"/>
        </w:rPr>
      </w:pPr>
      <w:r>
        <w:rPr>
          <w:rFonts w:hint="eastAsia"/>
          <w:sz w:val="24"/>
          <w:szCs w:val="24"/>
        </w:rPr>
        <w:t>附件5、</w:t>
      </w:r>
    </w:p>
    <w:p>
      <w:pPr>
        <w:pStyle w:val="2"/>
        <w:rPr>
          <w:sz w:val="24"/>
          <w:szCs w:val="24"/>
        </w:rPr>
      </w:pPr>
    </w:p>
    <w:p>
      <w:pPr>
        <w:pStyle w:val="2"/>
        <w:ind w:firstLine="1400" w:firstLineChars="500"/>
        <w:rPr>
          <w:sz w:val="24"/>
          <w:szCs w:val="24"/>
        </w:rPr>
      </w:pPr>
      <w:r>
        <w:rPr>
          <w:rFonts w:hint="eastAsia"/>
          <w:color w:val="000000"/>
          <w:sz w:val="28"/>
          <w:szCs w:val="28"/>
        </w:rPr>
        <w:t>检修施工方案书</w:t>
      </w:r>
    </w:p>
    <w:p>
      <w:pPr>
        <w:pStyle w:val="2"/>
        <w:rPr>
          <w:sz w:val="24"/>
          <w:szCs w:val="24"/>
        </w:rPr>
      </w:pPr>
    </w:p>
    <w:p>
      <w:pPr>
        <w:pStyle w:val="2"/>
        <w:rPr>
          <w:sz w:val="24"/>
          <w:szCs w:val="24"/>
        </w:rPr>
      </w:pPr>
    </w:p>
    <w:p>
      <w:pPr>
        <w:pStyle w:val="2"/>
        <w:rPr>
          <w:sz w:val="24"/>
          <w:szCs w:val="24"/>
        </w:rPr>
      </w:pPr>
      <w:r>
        <w:rPr>
          <w:rFonts w:hint="eastAsia"/>
          <w:sz w:val="24"/>
          <w:szCs w:val="24"/>
        </w:rPr>
        <w:t>附件6、</w:t>
      </w:r>
    </w:p>
    <w:p>
      <w:pPr>
        <w:pStyle w:val="47"/>
        <w:spacing w:beforeLines="0" w:afterLines="0" w:line="240" w:lineRule="auto"/>
        <w:ind w:firstLine="0" w:firstLineChars="0"/>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 xml:space="preserve">       参选报价单</w:t>
      </w:r>
    </w:p>
    <w:p>
      <w:pPr>
        <w:jc w:val="center"/>
        <w:rPr>
          <w:b/>
          <w:sz w:val="36"/>
          <w:szCs w:val="36"/>
          <w:lang w:eastAsia="zh-CN"/>
        </w:rPr>
      </w:pPr>
      <w:r>
        <w:rPr>
          <w:rFonts w:hint="eastAsia"/>
          <w:b/>
          <w:sz w:val="36"/>
          <w:szCs w:val="36"/>
          <w:lang w:eastAsia="zh-CN"/>
        </w:rPr>
        <w:t>报 价 单</w:t>
      </w:r>
    </w:p>
    <w:p>
      <w:pPr>
        <w:pStyle w:val="47"/>
        <w:spacing w:beforeLines="0" w:afterLines="0" w:line="240" w:lineRule="auto"/>
        <w:ind w:firstLine="354" w:firstLineChars="147"/>
        <w:rPr>
          <w:rFonts w:ascii="Times New Roman" w:hAnsi="Times New Roman" w:cs="Times New Roman"/>
          <w:b/>
          <w:color w:val="FF0000"/>
          <w:sz w:val="24"/>
          <w:szCs w:val="24"/>
          <w:lang w:eastAsia="zh-CN"/>
        </w:rPr>
      </w:pPr>
      <w:r>
        <w:rPr>
          <w:rFonts w:hint="eastAsia" w:ascii="Times New Roman" w:hAnsi="Times New Roman" w:cs="Times New Roman"/>
          <w:b/>
          <w:color w:val="FF0000"/>
          <w:sz w:val="24"/>
          <w:szCs w:val="24"/>
          <w:lang w:eastAsia="zh-CN"/>
        </w:rPr>
        <w:t>（注：本报价单和附表需单独盖章密封）</w:t>
      </w:r>
    </w:p>
    <w:p>
      <w:pPr>
        <w:pStyle w:val="47"/>
        <w:spacing w:beforeLines="0" w:afterLines="0"/>
        <w:ind w:firstLine="470" w:firstLineChars="196"/>
        <w:rPr>
          <w:rFonts w:ascii="Times New Roman" w:hAnsi="Times New Roman" w:cs="Times New Roman"/>
          <w:b/>
          <w:sz w:val="24"/>
          <w:szCs w:val="24"/>
          <w:lang w:eastAsia="zh-CN"/>
        </w:rPr>
      </w:pPr>
      <w:r>
        <w:rPr>
          <w:rFonts w:hint="eastAsia"/>
          <w:sz w:val="24"/>
          <w:szCs w:val="24"/>
          <w:lang w:eastAsia="zh-CN"/>
        </w:rPr>
        <w:t>参选单位：</w:t>
      </w:r>
      <w:r>
        <w:rPr>
          <w:sz w:val="24"/>
          <w:szCs w:val="24"/>
          <w:lang w:eastAsia="zh-CN"/>
        </w:rPr>
        <w:t xml:space="preserve"> ____________________</w:t>
      </w:r>
    </w:p>
    <w:p>
      <w:pPr>
        <w:spacing w:line="360" w:lineRule="auto"/>
        <w:ind w:left="1804" w:leftChars="220" w:hanging="1320" w:hangingChars="550"/>
        <w:rPr>
          <w:sz w:val="24"/>
          <w:szCs w:val="24"/>
          <w:u w:val="single"/>
          <w:lang w:eastAsia="zh-CN"/>
        </w:rPr>
      </w:pPr>
      <w:r>
        <w:rPr>
          <w:rFonts w:hint="eastAsia"/>
          <w:sz w:val="24"/>
          <w:szCs w:val="24"/>
          <w:lang w:eastAsia="zh-CN"/>
        </w:rPr>
        <w:t>项目名称：</w:t>
      </w:r>
      <w:r>
        <w:rPr>
          <w:rFonts w:hint="eastAsia"/>
          <w:sz w:val="24"/>
          <w:szCs w:val="24"/>
          <w:u w:val="single"/>
          <w:lang w:eastAsia="zh-CN"/>
        </w:rPr>
        <w:t xml:space="preserve">  </w:t>
      </w:r>
      <w:r>
        <w:rPr>
          <w:rFonts w:hint="eastAsia" w:asciiTheme="minorEastAsia" w:hAnsiTheme="minorEastAsia" w:eastAsiaTheme="minorEastAsia"/>
          <w:sz w:val="24"/>
          <w:szCs w:val="24"/>
          <w:u w:val="single"/>
          <w:lang w:eastAsia="zh-CN"/>
        </w:rPr>
        <w:t>PX厂区火炬气柜检修</w:t>
      </w:r>
      <w:r>
        <w:rPr>
          <w:rFonts w:hint="eastAsia" w:asciiTheme="majorEastAsia" w:hAnsiTheme="majorEastAsia" w:eastAsiaTheme="majorEastAsia"/>
          <w:sz w:val="24"/>
          <w:szCs w:val="24"/>
          <w:u w:val="single"/>
          <w:lang w:eastAsia="zh-CN"/>
        </w:rPr>
        <w:t xml:space="preserve">项目 </w:t>
      </w:r>
    </w:p>
    <w:p>
      <w:pPr>
        <w:spacing w:line="360" w:lineRule="auto"/>
        <w:ind w:firstLine="480" w:firstLineChars="200"/>
        <w:rPr>
          <w:sz w:val="24"/>
          <w:szCs w:val="24"/>
          <w:lang w:eastAsia="zh-CN"/>
        </w:rPr>
      </w:pPr>
      <w:r>
        <w:rPr>
          <w:rFonts w:hint="eastAsia"/>
          <w:sz w:val="24"/>
          <w:szCs w:val="24"/>
          <w:lang w:eastAsia="zh-CN"/>
        </w:rPr>
        <w:t>参选报价：</w:t>
      </w:r>
      <w:r>
        <w:rPr>
          <w:rFonts w:hint="eastAsia"/>
          <w:sz w:val="24"/>
          <w:szCs w:val="24"/>
          <w:u w:val="single"/>
          <w:lang w:eastAsia="zh-CN"/>
        </w:rPr>
        <w:t xml:space="preserve">            </w:t>
      </w:r>
      <w:r>
        <w:rPr>
          <w:rFonts w:hint="eastAsia"/>
          <w:sz w:val="24"/>
          <w:szCs w:val="24"/>
          <w:lang w:eastAsia="zh-CN"/>
        </w:rPr>
        <w:t>元 （具体见附表）</w:t>
      </w:r>
    </w:p>
    <w:p>
      <w:pPr>
        <w:pStyle w:val="2"/>
        <w:rPr>
          <w:sz w:val="24"/>
          <w:szCs w:val="24"/>
        </w:rPr>
      </w:pPr>
      <w:r>
        <w:rPr>
          <w:rFonts w:hint="eastAsia"/>
        </w:rPr>
        <w:t xml:space="preserve">       </w:t>
      </w:r>
      <w:r>
        <w:rPr>
          <w:rFonts w:hint="eastAsia"/>
          <w:sz w:val="24"/>
          <w:szCs w:val="24"/>
        </w:rPr>
        <w:t>注： 1、价格为含税价，税率：</w:t>
      </w:r>
      <w:r>
        <w:rPr>
          <w:rFonts w:hint="eastAsia"/>
          <w:sz w:val="24"/>
          <w:szCs w:val="24"/>
          <w:u w:val="single"/>
        </w:rPr>
        <w:t xml:space="preserve">    %  </w:t>
      </w:r>
      <w:r>
        <w:rPr>
          <w:rFonts w:hint="eastAsia"/>
          <w:sz w:val="24"/>
          <w:szCs w:val="24"/>
        </w:rPr>
        <w:t xml:space="preserve"> ；</w:t>
      </w:r>
    </w:p>
    <w:p>
      <w:pPr>
        <w:pStyle w:val="2"/>
        <w:spacing w:line="360" w:lineRule="auto"/>
        <w:rPr>
          <w:sz w:val="24"/>
          <w:szCs w:val="24"/>
        </w:rPr>
      </w:pPr>
      <w:r>
        <w:rPr>
          <w:rFonts w:hint="eastAsia"/>
          <w:sz w:val="24"/>
          <w:szCs w:val="24"/>
        </w:rPr>
        <w:t xml:space="preserve">               2、付款方式：</w:t>
      </w:r>
      <w:r>
        <w:rPr>
          <w:rFonts w:hint="eastAsia"/>
          <w:sz w:val="24"/>
          <w:szCs w:val="24"/>
          <w:u w:val="single"/>
        </w:rPr>
        <w:t xml:space="preserve">                 </w:t>
      </w:r>
      <w:r>
        <w:rPr>
          <w:rFonts w:hint="eastAsia"/>
          <w:sz w:val="24"/>
          <w:szCs w:val="24"/>
        </w:rPr>
        <w:t>；</w:t>
      </w:r>
    </w:p>
    <w:p>
      <w:pPr>
        <w:pStyle w:val="2"/>
        <w:spacing w:line="360" w:lineRule="auto"/>
        <w:rPr>
          <w:sz w:val="24"/>
          <w:szCs w:val="24"/>
          <w:u w:val="single"/>
        </w:rPr>
      </w:pPr>
      <w:r>
        <w:rPr>
          <w:rFonts w:hint="eastAsia"/>
          <w:sz w:val="24"/>
          <w:szCs w:val="24"/>
        </w:rPr>
        <w:t xml:space="preserve">               3、服务期限：</w:t>
      </w:r>
      <w:r>
        <w:rPr>
          <w:rFonts w:hint="eastAsia"/>
          <w:sz w:val="24"/>
          <w:szCs w:val="24"/>
          <w:u w:val="single"/>
        </w:rPr>
        <w:t xml:space="preserve">                 </w:t>
      </w:r>
    </w:p>
    <w:p>
      <w:pPr>
        <w:pStyle w:val="2"/>
        <w:spacing w:line="360" w:lineRule="auto"/>
        <w:ind w:firstLine="480" w:firstLineChars="200"/>
        <w:rPr>
          <w:sz w:val="24"/>
          <w:szCs w:val="24"/>
          <w:u w:val="single"/>
        </w:rPr>
      </w:pPr>
      <w:r>
        <w:rPr>
          <w:rFonts w:hint="eastAsia"/>
          <w:sz w:val="24"/>
          <w:szCs w:val="24"/>
        </w:rPr>
        <w:t>参选人：</w:t>
      </w:r>
      <w:r>
        <w:rPr>
          <w:rFonts w:hint="eastAsia"/>
          <w:sz w:val="24"/>
          <w:szCs w:val="24"/>
          <w:u w:val="single"/>
        </w:rPr>
        <w:t xml:space="preserve">      </w:t>
      </w:r>
      <w:r>
        <w:rPr>
          <w:rFonts w:hint="eastAsia"/>
          <w:color w:val="00B050"/>
          <w:sz w:val="24"/>
          <w:szCs w:val="24"/>
        </w:rPr>
        <w:t>（加盖参选单位章）</w:t>
      </w:r>
    </w:p>
    <w:p>
      <w:pPr>
        <w:spacing w:line="360" w:lineRule="auto"/>
        <w:ind w:firstLine="480" w:firstLineChars="20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pPr>
        <w:spacing w:line="360" w:lineRule="auto"/>
        <w:ind w:firstLine="480" w:firstLineChars="20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（签字）</w:t>
      </w:r>
    </w:p>
    <w:p>
      <w:pPr>
        <w:spacing w:line="360" w:lineRule="auto"/>
        <w:ind w:firstLine="480" w:firstLineChars="200"/>
        <w:rPr>
          <w:sz w:val="24"/>
          <w:szCs w:val="24"/>
          <w:u w:val="single"/>
          <w:lang w:eastAsia="zh-CN"/>
        </w:rPr>
      </w:pPr>
      <w:r>
        <w:rPr>
          <w:rFonts w:hint="eastAsia"/>
          <w:sz w:val="24"/>
          <w:szCs w:val="24"/>
          <w:lang w:eastAsia="zh-CN"/>
        </w:rPr>
        <w:t xml:space="preserve">编制时间： </w:t>
      </w:r>
      <w:r>
        <w:rPr>
          <w:rFonts w:hint="eastAsia"/>
          <w:sz w:val="24"/>
          <w:szCs w:val="24"/>
          <w:u w:val="single"/>
          <w:lang w:eastAsia="zh-CN"/>
        </w:rPr>
        <w:t xml:space="preserve">      年   月   日</w:t>
      </w:r>
    </w:p>
    <w:p>
      <w:pPr>
        <w:pStyle w:val="45"/>
        <w:widowControl/>
        <w:numPr>
          <w:ilvl w:val="0"/>
          <w:numId w:val="5"/>
        </w:numPr>
        <w:overflowPunct w:val="0"/>
        <w:adjustRightInd w:val="0"/>
        <w:spacing w:before="0" w:line="360" w:lineRule="auto"/>
        <w:textAlignment w:val="baseline"/>
        <w:rPr>
          <w:b/>
          <w:color w:val="000000"/>
          <w:sz w:val="24"/>
          <w:lang w:eastAsia="zh-CN"/>
        </w:rPr>
      </w:pPr>
      <w:r>
        <w:rPr>
          <w:rFonts w:hint="eastAsia"/>
          <w:b/>
          <w:color w:val="000000"/>
          <w:sz w:val="24"/>
          <w:lang w:eastAsia="zh-CN"/>
        </w:rPr>
        <w:t>附表：</w:t>
      </w:r>
    </w:p>
    <w:tbl>
      <w:tblPr>
        <w:tblStyle w:val="29"/>
        <w:tblW w:w="9072" w:type="dxa"/>
        <w:tblCellSpacing w:w="0" w:type="dxa"/>
        <w:tblInd w:w="157"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410"/>
        <w:gridCol w:w="1559"/>
        <w:gridCol w:w="709"/>
        <w:gridCol w:w="1276"/>
        <w:gridCol w:w="1134"/>
        <w:gridCol w:w="198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241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检修内容</w:t>
            </w:r>
          </w:p>
        </w:tc>
        <w:tc>
          <w:tcPr>
            <w:tcW w:w="1559"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验收标准</w:t>
            </w:r>
          </w:p>
        </w:tc>
        <w:tc>
          <w:tcPr>
            <w:tcW w:w="709"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数量</w:t>
            </w:r>
          </w:p>
        </w:tc>
        <w:tc>
          <w:tcPr>
            <w:tcW w:w="1276" w:type="dxa"/>
            <w:tcBorders>
              <w:top w:val="outset" w:color="auto" w:sz="6" w:space="0"/>
              <w:left w:val="outset" w:color="auto" w:sz="6" w:space="0"/>
              <w:bottom w:val="outset" w:color="auto" w:sz="6" w:space="0"/>
              <w:right w:val="outset" w:color="auto" w:sz="6" w:space="0"/>
            </w:tcBorders>
            <w:vAlign w:val="center"/>
          </w:tcPr>
          <w:p>
            <w:pPr>
              <w:spacing w:before="100" w:beforeAutospacing="1" w:after="100" w:afterAutospacing="1"/>
              <w:ind w:right="-295" w:rightChars="-134"/>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单价（元）</w:t>
            </w:r>
          </w:p>
        </w:tc>
        <w:tc>
          <w:tcPr>
            <w:tcW w:w="1134" w:type="dxa"/>
            <w:tcBorders>
              <w:top w:val="outset" w:color="auto" w:sz="6" w:space="0"/>
              <w:left w:val="outset" w:color="auto" w:sz="6" w:space="0"/>
              <w:bottom w:val="outset" w:color="auto" w:sz="6" w:space="0"/>
              <w:right w:val="outset" w:color="auto" w:sz="6" w:space="0"/>
            </w:tcBorders>
            <w:vAlign w:val="center"/>
          </w:tcPr>
          <w:p>
            <w:pPr>
              <w:spacing w:before="100" w:beforeAutospacing="1" w:after="100" w:afterAutospacing="1"/>
              <w:ind w:right="-295" w:rightChars="-134"/>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合计（元）</w:t>
            </w:r>
          </w:p>
        </w:tc>
        <w:tc>
          <w:tcPr>
            <w:tcW w:w="1984" w:type="dxa"/>
            <w:tcBorders>
              <w:top w:val="outset" w:color="auto" w:sz="6" w:space="0"/>
              <w:left w:val="outset" w:color="auto" w:sz="6" w:space="0"/>
              <w:bottom w:val="outset" w:color="auto" w:sz="6" w:space="0"/>
              <w:right w:val="outset" w:color="auto" w:sz="6" w:space="0"/>
            </w:tcBorders>
            <w:vAlign w:val="center"/>
          </w:tcPr>
          <w:p>
            <w:pPr>
              <w:spacing w:before="100" w:beforeAutospacing="1" w:after="100" w:afterAutospacing="1"/>
              <w:ind w:right="-295" w:rightChars="-134"/>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56" w:hRule="atLeast"/>
          <w:tblCellSpacing w:w="0" w:type="dxa"/>
        </w:trPr>
        <w:tc>
          <w:tcPr>
            <w:tcW w:w="2410" w:type="dxa"/>
            <w:tcBorders>
              <w:top w:val="outset" w:color="auto" w:sz="6" w:space="0"/>
              <w:left w:val="outset" w:color="auto" w:sz="6" w:space="0"/>
              <w:right w:val="outset" w:color="auto" w:sz="6" w:space="0"/>
            </w:tcBorders>
            <w:vAlign w:val="center"/>
          </w:tcPr>
          <w:p>
            <w:pPr>
              <w:widowControl/>
              <w:spacing w:before="100" w:beforeAutospacing="1" w:after="100" w:afterAutospacing="1"/>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橡胶模折皱、鼓包等消除、修整、修补漏洞</w:t>
            </w:r>
          </w:p>
        </w:tc>
        <w:tc>
          <w:tcPr>
            <w:tcW w:w="1559" w:type="dxa"/>
            <w:tcBorders>
              <w:top w:val="outset" w:color="auto" w:sz="6" w:space="0"/>
              <w:left w:val="outset" w:color="auto" w:sz="6" w:space="0"/>
              <w:right w:val="outset" w:color="auto" w:sz="6" w:space="0"/>
            </w:tcBorders>
            <w:vAlign w:val="center"/>
          </w:tcPr>
          <w:p>
            <w:pPr>
              <w:shd w:val="clear" w:color="auto" w:fill="FFFFFF"/>
              <w:spacing w:line="240" w:lineRule="atLeast"/>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CECS267：2009</w:t>
            </w:r>
          </w:p>
        </w:tc>
        <w:tc>
          <w:tcPr>
            <w:tcW w:w="709" w:type="dxa"/>
            <w:tcBorders>
              <w:top w:val="outset" w:color="auto" w:sz="6" w:space="0"/>
              <w:left w:val="outset" w:color="auto" w:sz="6" w:space="0"/>
              <w:right w:val="outset" w:color="auto" w:sz="6" w:space="0"/>
            </w:tcBorders>
            <w:vAlign w:val="center"/>
          </w:tcPr>
          <w:p>
            <w:pPr>
              <w:widowControl/>
              <w:spacing w:before="100" w:beforeAutospacing="1" w:after="100" w:afterAutospacing="1" w:line="240" w:lineRule="atLeast"/>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1套</w:t>
            </w:r>
          </w:p>
        </w:tc>
        <w:tc>
          <w:tcPr>
            <w:tcW w:w="1276"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rPr>
            </w:pPr>
          </w:p>
        </w:tc>
        <w:tc>
          <w:tcPr>
            <w:tcW w:w="113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rPr>
            </w:pPr>
          </w:p>
        </w:tc>
        <w:tc>
          <w:tcPr>
            <w:tcW w:w="198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含橡胶膜修补包，所有材料乙供（除橡胶膜外）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85" w:hRule="atLeast"/>
          <w:tblCellSpacing w:w="0" w:type="dxa"/>
        </w:trPr>
        <w:tc>
          <w:tcPr>
            <w:tcW w:w="2410" w:type="dxa"/>
            <w:tcBorders>
              <w:top w:val="outset" w:color="auto" w:sz="6" w:space="0"/>
              <w:left w:val="outset" w:color="auto" w:sz="6" w:space="0"/>
              <w:right w:val="outset" w:color="auto" w:sz="6" w:space="0"/>
            </w:tcBorders>
            <w:vAlign w:val="center"/>
          </w:tcPr>
          <w:p>
            <w:pPr>
              <w:widowControl/>
              <w:spacing w:before="100" w:beforeAutospacing="1" w:after="100" w:afterAutospacing="1"/>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调平钢丝绳全部更换φ</w:t>
            </w:r>
            <w:r>
              <w:rPr>
                <w:rFonts w:asciiTheme="majorEastAsia" w:hAnsiTheme="majorEastAsia" w:eastAsiaTheme="majorEastAsia"/>
                <w:color w:val="000000"/>
                <w:sz w:val="21"/>
                <w:szCs w:val="21"/>
                <w:lang w:eastAsia="zh-CN"/>
              </w:rPr>
              <w:t>20钢丝绳8条，520米，松紧度调校、涂抹黄油</w:t>
            </w:r>
          </w:p>
        </w:tc>
        <w:tc>
          <w:tcPr>
            <w:tcW w:w="1559" w:type="dxa"/>
            <w:tcBorders>
              <w:top w:val="outset" w:color="auto" w:sz="6" w:space="0"/>
              <w:left w:val="outset" w:color="auto" w:sz="6" w:space="0"/>
              <w:right w:val="outset" w:color="auto" w:sz="6" w:space="0"/>
            </w:tcBorders>
            <w:vAlign w:val="center"/>
          </w:tcPr>
          <w:p>
            <w:pPr>
              <w:shd w:val="clear" w:color="auto" w:fill="FFFFFF"/>
              <w:spacing w:line="240" w:lineRule="atLeast"/>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CECS267：2009</w:t>
            </w:r>
          </w:p>
        </w:tc>
        <w:tc>
          <w:tcPr>
            <w:tcW w:w="709" w:type="dxa"/>
            <w:tcBorders>
              <w:top w:val="outset" w:color="auto" w:sz="6" w:space="0"/>
              <w:left w:val="outset" w:color="auto" w:sz="6" w:space="0"/>
              <w:right w:val="outset" w:color="auto" w:sz="6" w:space="0"/>
            </w:tcBorders>
            <w:vAlign w:val="center"/>
          </w:tcPr>
          <w:p>
            <w:pPr>
              <w:widowControl/>
              <w:spacing w:before="100" w:beforeAutospacing="1" w:after="100" w:afterAutospacing="1" w:line="240" w:lineRule="atLeast"/>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8条</w:t>
            </w:r>
          </w:p>
        </w:tc>
        <w:tc>
          <w:tcPr>
            <w:tcW w:w="1276"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lang w:eastAsia="zh-CN"/>
              </w:rPr>
            </w:pPr>
          </w:p>
        </w:tc>
        <w:tc>
          <w:tcPr>
            <w:tcW w:w="113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lang w:eastAsia="zh-CN"/>
              </w:rPr>
            </w:pPr>
          </w:p>
        </w:tc>
        <w:tc>
          <w:tcPr>
            <w:tcW w:w="198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工具、设备自带，黄油等自带，所有材料乙供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89" w:hRule="atLeast"/>
          <w:tblCellSpacing w:w="0" w:type="dxa"/>
        </w:trPr>
        <w:tc>
          <w:tcPr>
            <w:tcW w:w="2410" w:type="dxa"/>
            <w:tcBorders>
              <w:top w:val="outset" w:color="auto" w:sz="6" w:space="0"/>
              <w:left w:val="outset" w:color="auto" w:sz="6" w:space="0"/>
              <w:right w:val="outset" w:color="auto" w:sz="6" w:space="0"/>
            </w:tcBorders>
            <w:vAlign w:val="center"/>
          </w:tcPr>
          <w:p>
            <w:pPr>
              <w:widowControl/>
              <w:spacing w:before="100" w:beforeAutospacing="1" w:after="100" w:afterAutospacing="1"/>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活塞间隙调整</w:t>
            </w:r>
          </w:p>
        </w:tc>
        <w:tc>
          <w:tcPr>
            <w:tcW w:w="1559" w:type="dxa"/>
            <w:tcBorders>
              <w:top w:val="outset" w:color="auto" w:sz="6" w:space="0"/>
              <w:left w:val="outset" w:color="auto" w:sz="6" w:space="0"/>
              <w:right w:val="outset" w:color="auto" w:sz="6" w:space="0"/>
            </w:tcBorders>
            <w:vAlign w:val="center"/>
          </w:tcPr>
          <w:p>
            <w:pPr>
              <w:shd w:val="clear" w:color="auto" w:fill="FFFFFF"/>
              <w:spacing w:line="240" w:lineRule="atLeast"/>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CECS267：2009</w:t>
            </w:r>
          </w:p>
        </w:tc>
        <w:tc>
          <w:tcPr>
            <w:tcW w:w="709" w:type="dxa"/>
            <w:tcBorders>
              <w:top w:val="outset" w:color="auto" w:sz="6" w:space="0"/>
              <w:left w:val="outset" w:color="auto" w:sz="6" w:space="0"/>
              <w:right w:val="outset" w:color="auto" w:sz="6" w:space="0"/>
            </w:tcBorders>
            <w:vAlign w:val="center"/>
          </w:tcPr>
          <w:p>
            <w:pPr>
              <w:widowControl/>
              <w:spacing w:before="100" w:beforeAutospacing="1" w:after="100" w:afterAutospacing="1" w:line="240" w:lineRule="atLeast"/>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1套</w:t>
            </w:r>
          </w:p>
        </w:tc>
        <w:tc>
          <w:tcPr>
            <w:tcW w:w="1276"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lang w:eastAsia="zh-CN"/>
              </w:rPr>
            </w:pPr>
          </w:p>
        </w:tc>
        <w:tc>
          <w:tcPr>
            <w:tcW w:w="113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lang w:eastAsia="zh-CN"/>
              </w:rPr>
            </w:pPr>
          </w:p>
        </w:tc>
        <w:tc>
          <w:tcPr>
            <w:tcW w:w="198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工具、设备自带、所有材料乙供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683" w:hRule="atLeast"/>
          <w:tblCellSpacing w:w="0" w:type="dxa"/>
        </w:trPr>
        <w:tc>
          <w:tcPr>
            <w:tcW w:w="2410" w:type="dxa"/>
            <w:tcBorders>
              <w:top w:val="outset" w:color="auto" w:sz="6" w:space="0"/>
              <w:left w:val="outset" w:color="auto" w:sz="6" w:space="0"/>
              <w:right w:val="outset" w:color="auto" w:sz="6" w:space="0"/>
            </w:tcBorders>
            <w:vAlign w:val="center"/>
          </w:tcPr>
          <w:p>
            <w:pPr>
              <w:widowControl/>
              <w:spacing w:before="100" w:beforeAutospacing="1" w:after="100" w:afterAutospacing="1"/>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T围栏间隙调整</w:t>
            </w:r>
          </w:p>
        </w:tc>
        <w:tc>
          <w:tcPr>
            <w:tcW w:w="1559" w:type="dxa"/>
            <w:tcBorders>
              <w:top w:val="outset" w:color="auto" w:sz="6" w:space="0"/>
              <w:left w:val="outset" w:color="auto" w:sz="6" w:space="0"/>
              <w:right w:val="outset" w:color="auto" w:sz="6" w:space="0"/>
            </w:tcBorders>
            <w:vAlign w:val="center"/>
          </w:tcPr>
          <w:p>
            <w:pPr>
              <w:shd w:val="clear" w:color="auto" w:fill="FFFFFF"/>
              <w:spacing w:line="240" w:lineRule="atLeast"/>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CECS267：2009</w:t>
            </w:r>
          </w:p>
        </w:tc>
        <w:tc>
          <w:tcPr>
            <w:tcW w:w="709" w:type="dxa"/>
            <w:tcBorders>
              <w:top w:val="outset" w:color="auto" w:sz="6" w:space="0"/>
              <w:left w:val="outset" w:color="auto" w:sz="6" w:space="0"/>
              <w:right w:val="outset" w:color="auto" w:sz="6" w:space="0"/>
            </w:tcBorders>
            <w:vAlign w:val="center"/>
          </w:tcPr>
          <w:p>
            <w:pPr>
              <w:widowControl/>
              <w:spacing w:before="100" w:beforeAutospacing="1" w:after="100" w:afterAutospacing="1" w:line="240" w:lineRule="atLeast"/>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1套</w:t>
            </w:r>
          </w:p>
        </w:tc>
        <w:tc>
          <w:tcPr>
            <w:tcW w:w="1276"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lang w:eastAsia="zh-CN"/>
              </w:rPr>
            </w:pPr>
          </w:p>
        </w:tc>
        <w:tc>
          <w:tcPr>
            <w:tcW w:w="113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lang w:eastAsia="zh-CN"/>
              </w:rPr>
            </w:pPr>
          </w:p>
        </w:tc>
        <w:tc>
          <w:tcPr>
            <w:tcW w:w="198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工具、设备自带、所有材料乙供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24" w:hRule="atLeast"/>
          <w:tblCellSpacing w:w="0" w:type="dxa"/>
        </w:trPr>
        <w:tc>
          <w:tcPr>
            <w:tcW w:w="2410" w:type="dxa"/>
            <w:tcBorders>
              <w:top w:val="outset" w:color="auto" w:sz="6" w:space="0"/>
              <w:left w:val="outset" w:color="auto" w:sz="6" w:space="0"/>
              <w:right w:val="outset" w:color="auto" w:sz="6" w:space="0"/>
            </w:tcBorders>
            <w:vAlign w:val="center"/>
          </w:tcPr>
          <w:p>
            <w:pPr>
              <w:widowControl/>
              <w:spacing w:before="100" w:beforeAutospacing="1" w:after="100" w:afterAutospacing="1"/>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放散阀密封垫片全部更换，放散根部蝶阀开关不动，下线检修，不能检修则更换，手动、自动启闭放散系统调试</w:t>
            </w:r>
          </w:p>
        </w:tc>
        <w:tc>
          <w:tcPr>
            <w:tcW w:w="1559" w:type="dxa"/>
            <w:tcBorders>
              <w:top w:val="outset" w:color="auto" w:sz="6" w:space="0"/>
              <w:left w:val="outset" w:color="auto" w:sz="6" w:space="0"/>
              <w:right w:val="outset" w:color="auto" w:sz="6" w:space="0"/>
            </w:tcBorders>
            <w:vAlign w:val="center"/>
          </w:tcPr>
          <w:p>
            <w:pPr>
              <w:shd w:val="clear" w:color="auto" w:fill="FFFFFF"/>
              <w:spacing w:line="240" w:lineRule="atLeast"/>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CECS267：2009</w:t>
            </w:r>
          </w:p>
        </w:tc>
        <w:tc>
          <w:tcPr>
            <w:tcW w:w="709" w:type="dxa"/>
            <w:tcBorders>
              <w:top w:val="outset" w:color="auto" w:sz="6" w:space="0"/>
              <w:left w:val="outset" w:color="auto" w:sz="6" w:space="0"/>
              <w:right w:val="outset" w:color="auto" w:sz="6" w:space="0"/>
            </w:tcBorders>
            <w:vAlign w:val="center"/>
          </w:tcPr>
          <w:p>
            <w:pPr>
              <w:widowControl/>
              <w:spacing w:before="100" w:beforeAutospacing="1" w:after="100" w:afterAutospacing="1" w:line="240" w:lineRule="atLeast"/>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4套</w:t>
            </w:r>
          </w:p>
        </w:tc>
        <w:tc>
          <w:tcPr>
            <w:tcW w:w="1276"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lang w:eastAsia="zh-CN"/>
              </w:rPr>
            </w:pPr>
          </w:p>
        </w:tc>
        <w:tc>
          <w:tcPr>
            <w:tcW w:w="113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lang w:eastAsia="zh-CN"/>
              </w:rPr>
            </w:pPr>
          </w:p>
        </w:tc>
        <w:tc>
          <w:tcPr>
            <w:tcW w:w="198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工具、设备自带、所有材料乙供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839" w:hRule="atLeast"/>
          <w:tblCellSpacing w:w="0" w:type="dxa"/>
        </w:trPr>
        <w:tc>
          <w:tcPr>
            <w:tcW w:w="2410" w:type="dxa"/>
            <w:tcBorders>
              <w:top w:val="outset" w:color="auto" w:sz="6" w:space="0"/>
              <w:left w:val="outset" w:color="auto" w:sz="6" w:space="0"/>
              <w:right w:val="outset" w:color="auto" w:sz="6" w:space="0"/>
            </w:tcBorders>
            <w:vAlign w:val="center"/>
          </w:tcPr>
          <w:p>
            <w:pPr>
              <w:widowControl/>
              <w:spacing w:before="100" w:beforeAutospacing="1" w:after="100" w:afterAutospacing="1"/>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102个气柜通风口钢丝网及固定框严重锈蚀开裂，全部拆除钢丝网及固定框</w:t>
            </w:r>
          </w:p>
        </w:tc>
        <w:tc>
          <w:tcPr>
            <w:tcW w:w="1559" w:type="dxa"/>
            <w:tcBorders>
              <w:top w:val="outset" w:color="auto" w:sz="6" w:space="0"/>
              <w:left w:val="outset" w:color="auto" w:sz="6" w:space="0"/>
              <w:right w:val="outset" w:color="auto" w:sz="6" w:space="0"/>
            </w:tcBorders>
            <w:vAlign w:val="center"/>
          </w:tcPr>
          <w:p>
            <w:pPr>
              <w:shd w:val="clear" w:color="auto" w:fill="FFFFFF"/>
              <w:spacing w:line="240" w:lineRule="atLeast"/>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CECS267：2009</w:t>
            </w:r>
          </w:p>
        </w:tc>
        <w:tc>
          <w:tcPr>
            <w:tcW w:w="709" w:type="dxa"/>
            <w:tcBorders>
              <w:top w:val="outset" w:color="auto" w:sz="6" w:space="0"/>
              <w:left w:val="outset" w:color="auto" w:sz="6" w:space="0"/>
              <w:right w:val="outset" w:color="auto" w:sz="6" w:space="0"/>
            </w:tcBorders>
            <w:vAlign w:val="center"/>
          </w:tcPr>
          <w:p>
            <w:pPr>
              <w:widowControl/>
              <w:spacing w:before="100" w:beforeAutospacing="1" w:after="100" w:afterAutospacing="1" w:line="240" w:lineRule="atLeast"/>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102套</w:t>
            </w:r>
          </w:p>
        </w:tc>
        <w:tc>
          <w:tcPr>
            <w:tcW w:w="1276"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lang w:eastAsia="zh-CN"/>
              </w:rPr>
            </w:pPr>
          </w:p>
        </w:tc>
        <w:tc>
          <w:tcPr>
            <w:tcW w:w="113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lang w:eastAsia="zh-CN"/>
              </w:rPr>
            </w:pPr>
          </w:p>
        </w:tc>
        <w:tc>
          <w:tcPr>
            <w:tcW w:w="198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工具、设备自带，所有材料乙供，含悬空高处作业费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0" w:hRule="atLeast"/>
          <w:tblCellSpacing w:w="0" w:type="dxa"/>
        </w:trPr>
        <w:tc>
          <w:tcPr>
            <w:tcW w:w="2410" w:type="dxa"/>
            <w:tcBorders>
              <w:top w:val="outset" w:color="auto" w:sz="6" w:space="0"/>
              <w:left w:val="outset" w:color="auto" w:sz="6" w:space="0"/>
              <w:right w:val="outset" w:color="auto" w:sz="6" w:space="0"/>
            </w:tcBorders>
            <w:vAlign w:val="center"/>
          </w:tcPr>
          <w:p>
            <w:pPr>
              <w:widowControl/>
              <w:spacing w:before="100" w:beforeAutospacing="1" w:after="100" w:afterAutospacing="1"/>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罐容指示装置已损坏缺失，修复</w:t>
            </w:r>
          </w:p>
        </w:tc>
        <w:tc>
          <w:tcPr>
            <w:tcW w:w="1559" w:type="dxa"/>
            <w:tcBorders>
              <w:top w:val="outset" w:color="auto" w:sz="6" w:space="0"/>
              <w:left w:val="outset" w:color="auto" w:sz="6" w:space="0"/>
              <w:right w:val="outset" w:color="auto" w:sz="6" w:space="0"/>
            </w:tcBorders>
            <w:vAlign w:val="center"/>
          </w:tcPr>
          <w:p>
            <w:pPr>
              <w:shd w:val="clear" w:color="auto" w:fill="FFFFFF"/>
              <w:spacing w:line="240" w:lineRule="atLeast"/>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CECS267：2009</w:t>
            </w:r>
          </w:p>
        </w:tc>
        <w:tc>
          <w:tcPr>
            <w:tcW w:w="709" w:type="dxa"/>
            <w:tcBorders>
              <w:top w:val="outset" w:color="auto" w:sz="6" w:space="0"/>
              <w:left w:val="outset" w:color="auto" w:sz="6" w:space="0"/>
              <w:right w:val="outset" w:color="auto" w:sz="6" w:space="0"/>
            </w:tcBorders>
            <w:vAlign w:val="center"/>
          </w:tcPr>
          <w:p>
            <w:pPr>
              <w:widowControl/>
              <w:spacing w:before="100" w:beforeAutospacing="1" w:after="100" w:afterAutospacing="1" w:line="240" w:lineRule="atLeast"/>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1套</w:t>
            </w:r>
          </w:p>
        </w:tc>
        <w:tc>
          <w:tcPr>
            <w:tcW w:w="1276"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lang w:eastAsia="zh-CN"/>
              </w:rPr>
            </w:pPr>
          </w:p>
        </w:tc>
        <w:tc>
          <w:tcPr>
            <w:tcW w:w="113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lang w:eastAsia="zh-CN"/>
              </w:rPr>
            </w:pPr>
          </w:p>
        </w:tc>
        <w:tc>
          <w:tcPr>
            <w:tcW w:w="198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工具、设备自带，所有材料乙供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81" w:hRule="atLeast"/>
          <w:tblCellSpacing w:w="0" w:type="dxa"/>
        </w:trPr>
        <w:tc>
          <w:tcPr>
            <w:tcW w:w="2410" w:type="dxa"/>
            <w:tcBorders>
              <w:top w:val="outset" w:color="auto" w:sz="6" w:space="0"/>
              <w:left w:val="outset" w:color="auto" w:sz="6" w:space="0"/>
              <w:right w:val="outset" w:color="auto" w:sz="6" w:space="0"/>
            </w:tcBorders>
            <w:vAlign w:val="center"/>
          </w:tcPr>
          <w:p>
            <w:pPr>
              <w:widowControl/>
              <w:spacing w:before="100" w:beforeAutospacing="1" w:after="100" w:afterAutospacing="1"/>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活塞顶</w:t>
            </w:r>
            <w:r>
              <w:rPr>
                <w:rFonts w:asciiTheme="majorEastAsia" w:hAnsiTheme="majorEastAsia" w:eastAsiaTheme="majorEastAsia"/>
                <w:color w:val="000000"/>
                <w:sz w:val="21"/>
                <w:szCs w:val="21"/>
                <w:lang w:eastAsia="zh-CN"/>
              </w:rPr>
              <w:t>2个人孔和临时支撑121个垫片全部更换</w:t>
            </w:r>
          </w:p>
        </w:tc>
        <w:tc>
          <w:tcPr>
            <w:tcW w:w="1559" w:type="dxa"/>
            <w:tcBorders>
              <w:top w:val="outset" w:color="auto" w:sz="6" w:space="0"/>
              <w:left w:val="outset" w:color="auto" w:sz="6" w:space="0"/>
              <w:right w:val="outset" w:color="auto" w:sz="6" w:space="0"/>
            </w:tcBorders>
            <w:vAlign w:val="center"/>
          </w:tcPr>
          <w:p>
            <w:pPr>
              <w:shd w:val="clear" w:color="auto" w:fill="FFFFFF"/>
              <w:spacing w:line="240" w:lineRule="atLeast"/>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CECS267：2009</w:t>
            </w:r>
          </w:p>
        </w:tc>
        <w:tc>
          <w:tcPr>
            <w:tcW w:w="709" w:type="dxa"/>
            <w:tcBorders>
              <w:top w:val="outset" w:color="auto" w:sz="6" w:space="0"/>
              <w:left w:val="outset" w:color="auto" w:sz="6" w:space="0"/>
              <w:right w:val="outset" w:color="auto" w:sz="6" w:space="0"/>
            </w:tcBorders>
            <w:vAlign w:val="center"/>
          </w:tcPr>
          <w:p>
            <w:pPr>
              <w:widowControl/>
              <w:spacing w:before="100" w:beforeAutospacing="1" w:after="100" w:afterAutospacing="1" w:line="240" w:lineRule="atLeast"/>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123套</w:t>
            </w:r>
          </w:p>
        </w:tc>
        <w:tc>
          <w:tcPr>
            <w:tcW w:w="1276"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lang w:eastAsia="zh-CN"/>
              </w:rPr>
            </w:pPr>
          </w:p>
        </w:tc>
        <w:tc>
          <w:tcPr>
            <w:tcW w:w="113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lang w:eastAsia="zh-CN"/>
              </w:rPr>
            </w:pPr>
          </w:p>
        </w:tc>
        <w:tc>
          <w:tcPr>
            <w:tcW w:w="198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含材料费，所有材料乙供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tblCellSpacing w:w="0" w:type="dxa"/>
        </w:trPr>
        <w:tc>
          <w:tcPr>
            <w:tcW w:w="2410" w:type="dxa"/>
            <w:tcBorders>
              <w:top w:val="outset" w:color="auto" w:sz="6" w:space="0"/>
              <w:left w:val="outset" w:color="auto" w:sz="6" w:space="0"/>
              <w:right w:val="outset" w:color="auto" w:sz="6" w:space="0"/>
            </w:tcBorders>
            <w:vAlign w:val="center"/>
          </w:tcPr>
          <w:p>
            <w:pPr>
              <w:widowControl/>
              <w:spacing w:before="100" w:beforeAutospacing="1" w:after="100" w:afterAutospacing="1"/>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整体气密性试验</w:t>
            </w:r>
            <w:r>
              <w:rPr>
                <w:rFonts w:asciiTheme="majorEastAsia" w:hAnsiTheme="majorEastAsia" w:eastAsiaTheme="majorEastAsia"/>
                <w:color w:val="000000"/>
                <w:sz w:val="21"/>
                <w:szCs w:val="21"/>
                <w:lang w:eastAsia="zh-CN"/>
              </w:rPr>
              <w:t>7昼夜泄漏率小于2％、活塞升降试验到18米</w:t>
            </w:r>
          </w:p>
        </w:tc>
        <w:tc>
          <w:tcPr>
            <w:tcW w:w="1559" w:type="dxa"/>
            <w:tcBorders>
              <w:top w:val="outset" w:color="auto" w:sz="6" w:space="0"/>
              <w:left w:val="outset" w:color="auto" w:sz="6" w:space="0"/>
              <w:right w:val="outset" w:color="auto" w:sz="6" w:space="0"/>
            </w:tcBorders>
            <w:vAlign w:val="center"/>
          </w:tcPr>
          <w:p>
            <w:pPr>
              <w:shd w:val="clear" w:color="auto" w:fill="FFFFFF"/>
              <w:spacing w:line="240" w:lineRule="atLeast"/>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CECS267：2009</w:t>
            </w:r>
          </w:p>
        </w:tc>
        <w:tc>
          <w:tcPr>
            <w:tcW w:w="709" w:type="dxa"/>
            <w:tcBorders>
              <w:top w:val="outset" w:color="auto" w:sz="6" w:space="0"/>
              <w:left w:val="outset" w:color="auto" w:sz="6" w:space="0"/>
              <w:right w:val="outset" w:color="auto" w:sz="6" w:space="0"/>
            </w:tcBorders>
            <w:vAlign w:val="center"/>
          </w:tcPr>
          <w:p>
            <w:pPr>
              <w:widowControl/>
              <w:spacing w:before="100" w:beforeAutospacing="1" w:after="100" w:afterAutospacing="1" w:line="240" w:lineRule="atLeast"/>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1次</w:t>
            </w:r>
          </w:p>
        </w:tc>
        <w:tc>
          <w:tcPr>
            <w:tcW w:w="1276"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lang w:eastAsia="zh-CN"/>
              </w:rPr>
            </w:pPr>
          </w:p>
        </w:tc>
        <w:tc>
          <w:tcPr>
            <w:tcW w:w="113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jc w:val="center"/>
              <w:rPr>
                <w:rFonts w:asciiTheme="majorEastAsia" w:hAnsiTheme="majorEastAsia" w:eastAsiaTheme="majorEastAsia"/>
                <w:color w:val="000000"/>
                <w:sz w:val="21"/>
                <w:szCs w:val="21"/>
                <w:lang w:eastAsia="zh-CN"/>
              </w:rPr>
            </w:pPr>
          </w:p>
        </w:tc>
        <w:tc>
          <w:tcPr>
            <w:tcW w:w="1984" w:type="dxa"/>
            <w:tcBorders>
              <w:top w:val="outset" w:color="auto" w:sz="6" w:space="0"/>
              <w:left w:val="outset" w:color="auto" w:sz="6" w:space="0"/>
              <w:right w:val="outset" w:color="auto" w:sz="6" w:space="0"/>
            </w:tcBorders>
            <w:vAlign w:val="center"/>
          </w:tcPr>
          <w:p>
            <w:pPr>
              <w:spacing w:before="100" w:beforeAutospacing="1" w:after="100" w:afterAutospacing="1" w:line="240" w:lineRule="atLeas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含工具设备，所有材料乙供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9" w:hRule="atLeast"/>
          <w:tblCellSpacing w:w="0" w:type="dxa"/>
        </w:trPr>
        <w:tc>
          <w:tcPr>
            <w:tcW w:w="9072" w:type="dxa"/>
            <w:gridSpan w:val="6"/>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both"/>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总计（含税）：人民币        元整（含</w:t>
            </w:r>
            <w:r>
              <w:rPr>
                <w:rFonts w:hint="eastAsia" w:asciiTheme="majorEastAsia" w:hAnsiTheme="majorEastAsia" w:eastAsiaTheme="majorEastAsia"/>
                <w:sz w:val="21"/>
                <w:szCs w:val="21"/>
                <w:u w:val="single"/>
                <w:lang w:eastAsia="zh-CN"/>
              </w:rPr>
              <w:t xml:space="preserve">    </w:t>
            </w:r>
            <w:r>
              <w:rPr>
                <w:rFonts w:hint="eastAsia" w:asciiTheme="majorEastAsia" w:hAnsiTheme="majorEastAsia" w:eastAsiaTheme="majorEastAsia"/>
                <w:sz w:val="21"/>
                <w:szCs w:val="21"/>
                <w:lang w:eastAsia="zh-CN"/>
              </w:rPr>
              <w:t>%增值税）</w:t>
            </w:r>
          </w:p>
        </w:tc>
      </w:tr>
    </w:tbl>
    <w:p>
      <w:pPr>
        <w:pStyle w:val="45"/>
        <w:widowControl/>
        <w:overflowPunct w:val="0"/>
        <w:adjustRightInd w:val="0"/>
        <w:spacing w:before="0" w:line="360" w:lineRule="auto"/>
        <w:ind w:left="720" w:firstLine="0"/>
        <w:textAlignment w:val="baseline"/>
        <w:rPr>
          <w:lang w:eastAsia="zh-CN"/>
        </w:rPr>
      </w:pPr>
    </w:p>
    <w:sectPr>
      <w:footerReference r:id="rId6"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rPr>
        <w:sz w:val="20"/>
      </w:rPr>
    </w:pPr>
    <w:r>
      <w:pict>
        <v:shape id="_x0000_s3074" o:spid="_x0000_s3074" o:spt="202" type="#_x0000_t202" style="position:absolute;left:0pt;margin-left:305.95pt;margin-top:803.4pt;height:12pt;width:38pt;mso-position-horizontal-relative:page;mso-position-vertical-relative:page;z-index:-251658240;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014187"/>
      <w:docPartObj>
        <w:docPartGallery w:val="AutoText"/>
      </w:docPartObj>
    </w:sdtPr>
    <w:sdtContent>
      <w:p>
        <w:pPr>
          <w:pStyle w:val="21"/>
          <w:jc w:val="center"/>
        </w:pPr>
        <w:r>
          <w:fldChar w:fldCharType="begin"/>
        </w:r>
        <w:r>
          <w:instrText xml:space="preserve"> PAGE   \* MERGEFORMAT </w:instrText>
        </w:r>
        <w:r>
          <w:fldChar w:fldCharType="separate"/>
        </w:r>
        <w:r>
          <w:rPr>
            <w:lang w:val="zh-CN"/>
          </w:rPr>
          <w:t>12</w:t>
        </w:r>
        <w:r>
          <w:rPr>
            <w:lang w:val="zh-CN"/>
          </w:rPr>
          <w:fldChar w:fldCharType="end"/>
        </w:r>
      </w:p>
    </w:sdtContent>
  </w:sdt>
  <w:p>
    <w:pPr>
      <w:pStyle w:val="14"/>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75680"/>
      <w:docPartObj>
        <w:docPartGallery w:val="AutoText"/>
      </w:docPartObj>
    </w:sdtPr>
    <w:sdtContent>
      <w:p>
        <w:pPr>
          <w:pStyle w:val="21"/>
          <w:jc w:val="center"/>
        </w:pPr>
        <w:r>
          <w:fldChar w:fldCharType="begin"/>
        </w:r>
        <w:r>
          <w:instrText xml:space="preserve"> PAGE   \* MERGEFORMAT </w:instrText>
        </w:r>
        <w:r>
          <w:fldChar w:fldCharType="separate"/>
        </w:r>
        <w:r>
          <w:rPr>
            <w:lang w:val="zh-CN"/>
          </w:rPr>
          <w:t>20</w:t>
        </w:r>
        <w:r>
          <w:rPr>
            <w:lang w:val="zh-CN"/>
          </w:rPr>
          <w:fldChar w:fldCharType="end"/>
        </w:r>
      </w:p>
    </w:sdtContent>
  </w:sdt>
  <w:p>
    <w:pPr>
      <w:pStyle w:val="14"/>
      <w:spacing w:line="14" w:lineRule="auto"/>
      <w:rPr>
        <w:sz w:val="1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52249"/>
    <w:multiLevelType w:val="multilevel"/>
    <w:tmpl w:val="0CC52249"/>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1">
    <w:nsid w:val="0E603979"/>
    <w:multiLevelType w:val="multilevel"/>
    <w:tmpl w:val="0E603979"/>
    <w:lvl w:ilvl="0" w:tentative="0">
      <w:start w:val="1"/>
      <w:numFmt w:val="decimal"/>
      <w:lvlText w:val="%1、"/>
      <w:lvlJc w:val="left"/>
      <w:pPr>
        <w:ind w:left="-37" w:hanging="360"/>
      </w:pPr>
      <w:rPr>
        <w:rFonts w:hint="default" w:ascii="宋体" w:hAnsi="宋体" w:eastAsia="宋体"/>
        <w:b w:val="0"/>
      </w:rPr>
    </w:lvl>
    <w:lvl w:ilvl="1" w:tentative="0">
      <w:start w:val="1"/>
      <w:numFmt w:val="lowerLetter"/>
      <w:lvlText w:val="%2)"/>
      <w:lvlJc w:val="left"/>
      <w:pPr>
        <w:ind w:left="443" w:hanging="420"/>
      </w:pPr>
    </w:lvl>
    <w:lvl w:ilvl="2" w:tentative="0">
      <w:start w:val="1"/>
      <w:numFmt w:val="lowerRoman"/>
      <w:lvlText w:val="%3."/>
      <w:lvlJc w:val="right"/>
      <w:pPr>
        <w:ind w:left="863" w:hanging="420"/>
      </w:pPr>
    </w:lvl>
    <w:lvl w:ilvl="3" w:tentative="0">
      <w:start w:val="1"/>
      <w:numFmt w:val="decimal"/>
      <w:lvlText w:val="%4."/>
      <w:lvlJc w:val="left"/>
      <w:pPr>
        <w:ind w:left="1283" w:hanging="420"/>
      </w:pPr>
    </w:lvl>
    <w:lvl w:ilvl="4" w:tentative="0">
      <w:start w:val="1"/>
      <w:numFmt w:val="lowerLetter"/>
      <w:lvlText w:val="%5)"/>
      <w:lvlJc w:val="left"/>
      <w:pPr>
        <w:ind w:left="1703" w:hanging="420"/>
      </w:pPr>
    </w:lvl>
    <w:lvl w:ilvl="5" w:tentative="0">
      <w:start w:val="1"/>
      <w:numFmt w:val="lowerRoman"/>
      <w:lvlText w:val="%6."/>
      <w:lvlJc w:val="right"/>
      <w:pPr>
        <w:ind w:left="2123" w:hanging="420"/>
      </w:pPr>
    </w:lvl>
    <w:lvl w:ilvl="6" w:tentative="0">
      <w:start w:val="1"/>
      <w:numFmt w:val="decimal"/>
      <w:lvlText w:val="%7."/>
      <w:lvlJc w:val="left"/>
      <w:pPr>
        <w:ind w:left="2543" w:hanging="420"/>
      </w:pPr>
    </w:lvl>
    <w:lvl w:ilvl="7" w:tentative="0">
      <w:start w:val="1"/>
      <w:numFmt w:val="lowerLetter"/>
      <w:lvlText w:val="%8)"/>
      <w:lvlJc w:val="left"/>
      <w:pPr>
        <w:ind w:left="2963" w:hanging="420"/>
      </w:pPr>
    </w:lvl>
    <w:lvl w:ilvl="8" w:tentative="0">
      <w:start w:val="1"/>
      <w:numFmt w:val="lowerRoman"/>
      <w:lvlText w:val="%9."/>
      <w:lvlJc w:val="right"/>
      <w:pPr>
        <w:ind w:left="3383" w:hanging="420"/>
      </w:pPr>
    </w:lvl>
  </w:abstractNum>
  <w:abstractNum w:abstractNumId="2">
    <w:nsid w:val="14860CE5"/>
    <w:multiLevelType w:val="multilevel"/>
    <w:tmpl w:val="14860CE5"/>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3">
    <w:nsid w:val="193822BF"/>
    <w:multiLevelType w:val="multilevel"/>
    <w:tmpl w:val="193822BF"/>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4">
    <w:nsid w:val="1B8620A2"/>
    <w:multiLevelType w:val="multilevel"/>
    <w:tmpl w:val="1B8620A2"/>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AF9539C"/>
    <w:multiLevelType w:val="multilevel"/>
    <w:tmpl w:val="2AF9539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0350D40"/>
    <w:multiLevelType w:val="multilevel"/>
    <w:tmpl w:val="60350D40"/>
    <w:lvl w:ilvl="0" w:tentative="0">
      <w:start w:val="1"/>
      <w:numFmt w:val="japaneseCounting"/>
      <w:lvlText w:val="%1、"/>
      <w:lvlJc w:val="left"/>
      <w:pPr>
        <w:ind w:left="832" w:hanging="420"/>
      </w:pPr>
      <w:rPr>
        <w:rFonts w:hint="default"/>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num w:numId="1">
    <w:abstractNumId w:val="6"/>
  </w:num>
  <w:num w:numId="2">
    <w:abstractNumId w:val="0"/>
  </w:num>
  <w:num w:numId="3">
    <w:abstractNumId w:val="3"/>
  </w:num>
  <w:num w:numId="4">
    <w:abstractNumId w:val="2"/>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3"/>
    </o:shapelayout>
  </w:hdrShapeDefaults>
  <w:compat>
    <w:ulTrailSpace/>
    <w:useFELayout/>
    <w:compatSetting w:name="compatibilityMode" w:uri="http://schemas.microsoft.com/office/word" w:val="12"/>
  </w:compat>
  <w:rsids>
    <w:rsidRoot w:val="00967702"/>
    <w:rsid w:val="0000223B"/>
    <w:rsid w:val="00005B9E"/>
    <w:rsid w:val="00007D43"/>
    <w:rsid w:val="0001014A"/>
    <w:rsid w:val="0001333C"/>
    <w:rsid w:val="0001534B"/>
    <w:rsid w:val="00017E0E"/>
    <w:rsid w:val="000202CA"/>
    <w:rsid w:val="00020B9A"/>
    <w:rsid w:val="00020CC3"/>
    <w:rsid w:val="00021B5D"/>
    <w:rsid w:val="00023EC0"/>
    <w:rsid w:val="00025944"/>
    <w:rsid w:val="00026E62"/>
    <w:rsid w:val="00030A03"/>
    <w:rsid w:val="00031725"/>
    <w:rsid w:val="000323A3"/>
    <w:rsid w:val="00041330"/>
    <w:rsid w:val="00053167"/>
    <w:rsid w:val="000539A9"/>
    <w:rsid w:val="000566C1"/>
    <w:rsid w:val="000574D8"/>
    <w:rsid w:val="00057B80"/>
    <w:rsid w:val="00061920"/>
    <w:rsid w:val="00065211"/>
    <w:rsid w:val="0007163D"/>
    <w:rsid w:val="00074021"/>
    <w:rsid w:val="00077B9D"/>
    <w:rsid w:val="00082CB7"/>
    <w:rsid w:val="00083424"/>
    <w:rsid w:val="00083E6F"/>
    <w:rsid w:val="00092A16"/>
    <w:rsid w:val="00094E76"/>
    <w:rsid w:val="000964EC"/>
    <w:rsid w:val="000978A0"/>
    <w:rsid w:val="000A1AAC"/>
    <w:rsid w:val="000A3EC0"/>
    <w:rsid w:val="000A7610"/>
    <w:rsid w:val="000A790C"/>
    <w:rsid w:val="000B32D4"/>
    <w:rsid w:val="000B453A"/>
    <w:rsid w:val="000C072B"/>
    <w:rsid w:val="000C1165"/>
    <w:rsid w:val="000C300F"/>
    <w:rsid w:val="000C394F"/>
    <w:rsid w:val="000C5F12"/>
    <w:rsid w:val="000C64A8"/>
    <w:rsid w:val="000D11B0"/>
    <w:rsid w:val="000E01DA"/>
    <w:rsid w:val="000E3D99"/>
    <w:rsid w:val="000E6345"/>
    <w:rsid w:val="000E76E8"/>
    <w:rsid w:val="000F1F09"/>
    <w:rsid w:val="000F58B5"/>
    <w:rsid w:val="00100B1C"/>
    <w:rsid w:val="00102DE0"/>
    <w:rsid w:val="001030CD"/>
    <w:rsid w:val="00103CBD"/>
    <w:rsid w:val="001116F7"/>
    <w:rsid w:val="001150E8"/>
    <w:rsid w:val="0012227C"/>
    <w:rsid w:val="00125F3E"/>
    <w:rsid w:val="00126497"/>
    <w:rsid w:val="00126DE3"/>
    <w:rsid w:val="00127930"/>
    <w:rsid w:val="00127A27"/>
    <w:rsid w:val="00127CFD"/>
    <w:rsid w:val="00130566"/>
    <w:rsid w:val="0013405E"/>
    <w:rsid w:val="00134B8B"/>
    <w:rsid w:val="0014092B"/>
    <w:rsid w:val="00141561"/>
    <w:rsid w:val="00144D18"/>
    <w:rsid w:val="00144E45"/>
    <w:rsid w:val="001466CA"/>
    <w:rsid w:val="0014715F"/>
    <w:rsid w:val="00147DEA"/>
    <w:rsid w:val="001516B5"/>
    <w:rsid w:val="00155D5F"/>
    <w:rsid w:val="00160F2B"/>
    <w:rsid w:val="00162385"/>
    <w:rsid w:val="0016313A"/>
    <w:rsid w:val="00164AD8"/>
    <w:rsid w:val="001714D2"/>
    <w:rsid w:val="00173025"/>
    <w:rsid w:val="00174354"/>
    <w:rsid w:val="00174EC0"/>
    <w:rsid w:val="00177533"/>
    <w:rsid w:val="00180783"/>
    <w:rsid w:val="0018226E"/>
    <w:rsid w:val="0018241B"/>
    <w:rsid w:val="00187E02"/>
    <w:rsid w:val="00192B7D"/>
    <w:rsid w:val="00193817"/>
    <w:rsid w:val="00195099"/>
    <w:rsid w:val="001A36B1"/>
    <w:rsid w:val="001A49C9"/>
    <w:rsid w:val="001A7C6F"/>
    <w:rsid w:val="001B4666"/>
    <w:rsid w:val="001B5F95"/>
    <w:rsid w:val="001B677C"/>
    <w:rsid w:val="001B698B"/>
    <w:rsid w:val="001C430C"/>
    <w:rsid w:val="001D129E"/>
    <w:rsid w:val="001D16B9"/>
    <w:rsid w:val="001D2040"/>
    <w:rsid w:val="001D7B51"/>
    <w:rsid w:val="001E058A"/>
    <w:rsid w:val="001E7BAD"/>
    <w:rsid w:val="001F29F9"/>
    <w:rsid w:val="001F6DCE"/>
    <w:rsid w:val="00205007"/>
    <w:rsid w:val="00205139"/>
    <w:rsid w:val="00206E34"/>
    <w:rsid w:val="0021338D"/>
    <w:rsid w:val="0021431D"/>
    <w:rsid w:val="00222516"/>
    <w:rsid w:val="00226C0B"/>
    <w:rsid w:val="0022716A"/>
    <w:rsid w:val="00227556"/>
    <w:rsid w:val="0023436A"/>
    <w:rsid w:val="00235A02"/>
    <w:rsid w:val="00237C89"/>
    <w:rsid w:val="00240610"/>
    <w:rsid w:val="00240817"/>
    <w:rsid w:val="002432A4"/>
    <w:rsid w:val="00243784"/>
    <w:rsid w:val="0025090F"/>
    <w:rsid w:val="00255354"/>
    <w:rsid w:val="00255631"/>
    <w:rsid w:val="00260E35"/>
    <w:rsid w:val="00261F6C"/>
    <w:rsid w:val="0028289E"/>
    <w:rsid w:val="00283E18"/>
    <w:rsid w:val="0028469F"/>
    <w:rsid w:val="0028558B"/>
    <w:rsid w:val="00285A20"/>
    <w:rsid w:val="00295585"/>
    <w:rsid w:val="002A0C8B"/>
    <w:rsid w:val="002B075A"/>
    <w:rsid w:val="002B07A9"/>
    <w:rsid w:val="002B0A06"/>
    <w:rsid w:val="002B49F0"/>
    <w:rsid w:val="002C18CA"/>
    <w:rsid w:val="002C2748"/>
    <w:rsid w:val="002D1DAE"/>
    <w:rsid w:val="002D2646"/>
    <w:rsid w:val="002D7819"/>
    <w:rsid w:val="002E0359"/>
    <w:rsid w:val="002E1E41"/>
    <w:rsid w:val="002E210C"/>
    <w:rsid w:val="002E35CC"/>
    <w:rsid w:val="002E6ED4"/>
    <w:rsid w:val="002F0FE0"/>
    <w:rsid w:val="002F17B5"/>
    <w:rsid w:val="003003A1"/>
    <w:rsid w:val="003006BA"/>
    <w:rsid w:val="003045A7"/>
    <w:rsid w:val="003218EF"/>
    <w:rsid w:val="00322549"/>
    <w:rsid w:val="00323A48"/>
    <w:rsid w:val="00333E2A"/>
    <w:rsid w:val="003352AA"/>
    <w:rsid w:val="0034037A"/>
    <w:rsid w:val="00342D1B"/>
    <w:rsid w:val="00353DDB"/>
    <w:rsid w:val="00353FD4"/>
    <w:rsid w:val="00361ABB"/>
    <w:rsid w:val="00365AFE"/>
    <w:rsid w:val="00367B55"/>
    <w:rsid w:val="00370C38"/>
    <w:rsid w:val="00371CA0"/>
    <w:rsid w:val="00372FA5"/>
    <w:rsid w:val="00376F9A"/>
    <w:rsid w:val="0038590D"/>
    <w:rsid w:val="00390950"/>
    <w:rsid w:val="003914FA"/>
    <w:rsid w:val="00392AAD"/>
    <w:rsid w:val="003A1FDF"/>
    <w:rsid w:val="003A256E"/>
    <w:rsid w:val="003A327F"/>
    <w:rsid w:val="003A57FC"/>
    <w:rsid w:val="003B2BCD"/>
    <w:rsid w:val="003B2D77"/>
    <w:rsid w:val="003B3BF2"/>
    <w:rsid w:val="003B4363"/>
    <w:rsid w:val="003B57B9"/>
    <w:rsid w:val="003B6081"/>
    <w:rsid w:val="003D2806"/>
    <w:rsid w:val="003D77B7"/>
    <w:rsid w:val="003F1446"/>
    <w:rsid w:val="003F1FAC"/>
    <w:rsid w:val="003F7C2E"/>
    <w:rsid w:val="0040273C"/>
    <w:rsid w:val="00403AFA"/>
    <w:rsid w:val="0040417A"/>
    <w:rsid w:val="0040778F"/>
    <w:rsid w:val="00423584"/>
    <w:rsid w:val="0043796A"/>
    <w:rsid w:val="0044287E"/>
    <w:rsid w:val="004455DF"/>
    <w:rsid w:val="00446F80"/>
    <w:rsid w:val="004508A4"/>
    <w:rsid w:val="00453EA6"/>
    <w:rsid w:val="0045672D"/>
    <w:rsid w:val="004611B5"/>
    <w:rsid w:val="00461200"/>
    <w:rsid w:val="00464030"/>
    <w:rsid w:val="00470A44"/>
    <w:rsid w:val="00471E39"/>
    <w:rsid w:val="0047282D"/>
    <w:rsid w:val="00474FAE"/>
    <w:rsid w:val="004763D4"/>
    <w:rsid w:val="00477E26"/>
    <w:rsid w:val="0048261B"/>
    <w:rsid w:val="00482B42"/>
    <w:rsid w:val="004835AF"/>
    <w:rsid w:val="004875CA"/>
    <w:rsid w:val="004919EE"/>
    <w:rsid w:val="0049286C"/>
    <w:rsid w:val="00497CEA"/>
    <w:rsid w:val="004A14CA"/>
    <w:rsid w:val="004A2A3A"/>
    <w:rsid w:val="004A4779"/>
    <w:rsid w:val="004A68E8"/>
    <w:rsid w:val="004A6E67"/>
    <w:rsid w:val="004B4A9E"/>
    <w:rsid w:val="004B7603"/>
    <w:rsid w:val="004C1159"/>
    <w:rsid w:val="004C20FD"/>
    <w:rsid w:val="004C3761"/>
    <w:rsid w:val="004C4941"/>
    <w:rsid w:val="004D1023"/>
    <w:rsid w:val="004D16FD"/>
    <w:rsid w:val="004D2C58"/>
    <w:rsid w:val="004D7D03"/>
    <w:rsid w:val="004E0E75"/>
    <w:rsid w:val="004F5E72"/>
    <w:rsid w:val="0050268E"/>
    <w:rsid w:val="00502ADE"/>
    <w:rsid w:val="00503354"/>
    <w:rsid w:val="00510E9C"/>
    <w:rsid w:val="00513B86"/>
    <w:rsid w:val="00524492"/>
    <w:rsid w:val="005257EA"/>
    <w:rsid w:val="00533859"/>
    <w:rsid w:val="0053396C"/>
    <w:rsid w:val="00533D5B"/>
    <w:rsid w:val="00540F71"/>
    <w:rsid w:val="0054734D"/>
    <w:rsid w:val="00551549"/>
    <w:rsid w:val="00552E4D"/>
    <w:rsid w:val="00553ED7"/>
    <w:rsid w:val="00555319"/>
    <w:rsid w:val="005577D4"/>
    <w:rsid w:val="00564B7F"/>
    <w:rsid w:val="00567846"/>
    <w:rsid w:val="005722E9"/>
    <w:rsid w:val="005829E2"/>
    <w:rsid w:val="0058459A"/>
    <w:rsid w:val="00593270"/>
    <w:rsid w:val="00593EAB"/>
    <w:rsid w:val="00595392"/>
    <w:rsid w:val="00595F8F"/>
    <w:rsid w:val="005A267F"/>
    <w:rsid w:val="005A3FC9"/>
    <w:rsid w:val="005A4B0B"/>
    <w:rsid w:val="005A7BB0"/>
    <w:rsid w:val="005B104C"/>
    <w:rsid w:val="005B35AA"/>
    <w:rsid w:val="005B4BA0"/>
    <w:rsid w:val="005B5E44"/>
    <w:rsid w:val="005B66C2"/>
    <w:rsid w:val="005B77AC"/>
    <w:rsid w:val="005C02BC"/>
    <w:rsid w:val="005C4060"/>
    <w:rsid w:val="005C43E3"/>
    <w:rsid w:val="005C49AB"/>
    <w:rsid w:val="005C5BF1"/>
    <w:rsid w:val="005C6606"/>
    <w:rsid w:val="005D12E3"/>
    <w:rsid w:val="005D19AE"/>
    <w:rsid w:val="005D4648"/>
    <w:rsid w:val="005D6EE8"/>
    <w:rsid w:val="005D7E6C"/>
    <w:rsid w:val="005E0672"/>
    <w:rsid w:val="005E626D"/>
    <w:rsid w:val="005E7CDE"/>
    <w:rsid w:val="005F1947"/>
    <w:rsid w:val="005F2E5C"/>
    <w:rsid w:val="005F5FA0"/>
    <w:rsid w:val="005F63E8"/>
    <w:rsid w:val="00601441"/>
    <w:rsid w:val="0060334B"/>
    <w:rsid w:val="00605BBD"/>
    <w:rsid w:val="006103A6"/>
    <w:rsid w:val="00610D2B"/>
    <w:rsid w:val="00611B03"/>
    <w:rsid w:val="006127B7"/>
    <w:rsid w:val="00612F3E"/>
    <w:rsid w:val="00614725"/>
    <w:rsid w:val="006178BB"/>
    <w:rsid w:val="00623250"/>
    <w:rsid w:val="006243F4"/>
    <w:rsid w:val="00624785"/>
    <w:rsid w:val="006259C8"/>
    <w:rsid w:val="00627058"/>
    <w:rsid w:val="00627167"/>
    <w:rsid w:val="0063408F"/>
    <w:rsid w:val="00636ABF"/>
    <w:rsid w:val="00637987"/>
    <w:rsid w:val="00637A05"/>
    <w:rsid w:val="006414EB"/>
    <w:rsid w:val="00641EFE"/>
    <w:rsid w:val="0064240F"/>
    <w:rsid w:val="006442C1"/>
    <w:rsid w:val="00645F1C"/>
    <w:rsid w:val="006460EC"/>
    <w:rsid w:val="00646D64"/>
    <w:rsid w:val="006560D2"/>
    <w:rsid w:val="006565A2"/>
    <w:rsid w:val="006607C3"/>
    <w:rsid w:val="00667E90"/>
    <w:rsid w:val="006711D5"/>
    <w:rsid w:val="00671E1A"/>
    <w:rsid w:val="006739A9"/>
    <w:rsid w:val="006747D6"/>
    <w:rsid w:val="00674AB4"/>
    <w:rsid w:val="00680835"/>
    <w:rsid w:val="00681CCD"/>
    <w:rsid w:val="00683267"/>
    <w:rsid w:val="006837AD"/>
    <w:rsid w:val="00686952"/>
    <w:rsid w:val="00687836"/>
    <w:rsid w:val="00692262"/>
    <w:rsid w:val="00692F73"/>
    <w:rsid w:val="00693209"/>
    <w:rsid w:val="0069733E"/>
    <w:rsid w:val="006973C8"/>
    <w:rsid w:val="006A430A"/>
    <w:rsid w:val="006A5640"/>
    <w:rsid w:val="006A61A9"/>
    <w:rsid w:val="006A74F2"/>
    <w:rsid w:val="006B160A"/>
    <w:rsid w:val="006C17C9"/>
    <w:rsid w:val="006C3906"/>
    <w:rsid w:val="006C5136"/>
    <w:rsid w:val="006C5F2E"/>
    <w:rsid w:val="006C66F6"/>
    <w:rsid w:val="006D0C10"/>
    <w:rsid w:val="006E31FC"/>
    <w:rsid w:val="006E572C"/>
    <w:rsid w:val="006E62DE"/>
    <w:rsid w:val="006F7BC8"/>
    <w:rsid w:val="00700228"/>
    <w:rsid w:val="00701934"/>
    <w:rsid w:val="00703FAF"/>
    <w:rsid w:val="007138C5"/>
    <w:rsid w:val="0071533E"/>
    <w:rsid w:val="007154AB"/>
    <w:rsid w:val="00716D5A"/>
    <w:rsid w:val="00722500"/>
    <w:rsid w:val="007230F3"/>
    <w:rsid w:val="00725D91"/>
    <w:rsid w:val="007279C2"/>
    <w:rsid w:val="00731A98"/>
    <w:rsid w:val="00736F01"/>
    <w:rsid w:val="00740A47"/>
    <w:rsid w:val="007425A4"/>
    <w:rsid w:val="00742673"/>
    <w:rsid w:val="007470A4"/>
    <w:rsid w:val="00751740"/>
    <w:rsid w:val="00752CBC"/>
    <w:rsid w:val="00753426"/>
    <w:rsid w:val="00753B12"/>
    <w:rsid w:val="00754486"/>
    <w:rsid w:val="007563C8"/>
    <w:rsid w:val="007626D4"/>
    <w:rsid w:val="007627D8"/>
    <w:rsid w:val="007646B1"/>
    <w:rsid w:val="00764844"/>
    <w:rsid w:val="0076787A"/>
    <w:rsid w:val="0077094C"/>
    <w:rsid w:val="007760C7"/>
    <w:rsid w:val="00786185"/>
    <w:rsid w:val="007868C2"/>
    <w:rsid w:val="00786E3C"/>
    <w:rsid w:val="0078787D"/>
    <w:rsid w:val="0079541F"/>
    <w:rsid w:val="007A0629"/>
    <w:rsid w:val="007A3950"/>
    <w:rsid w:val="007A7888"/>
    <w:rsid w:val="007B6C5D"/>
    <w:rsid w:val="007C402C"/>
    <w:rsid w:val="007C43CE"/>
    <w:rsid w:val="007C5BFE"/>
    <w:rsid w:val="007D1BC9"/>
    <w:rsid w:val="007D4407"/>
    <w:rsid w:val="007D7C61"/>
    <w:rsid w:val="007E72C8"/>
    <w:rsid w:val="007F139C"/>
    <w:rsid w:val="007F37A6"/>
    <w:rsid w:val="007F5584"/>
    <w:rsid w:val="0080002D"/>
    <w:rsid w:val="00800D6E"/>
    <w:rsid w:val="00801C81"/>
    <w:rsid w:val="00805348"/>
    <w:rsid w:val="0080561F"/>
    <w:rsid w:val="008059A6"/>
    <w:rsid w:val="00807905"/>
    <w:rsid w:val="0081139D"/>
    <w:rsid w:val="008148FE"/>
    <w:rsid w:val="00815E73"/>
    <w:rsid w:val="00817559"/>
    <w:rsid w:val="00820E36"/>
    <w:rsid w:val="00831E2E"/>
    <w:rsid w:val="0083228F"/>
    <w:rsid w:val="00836D8C"/>
    <w:rsid w:val="00837C7C"/>
    <w:rsid w:val="0084094D"/>
    <w:rsid w:val="008427A4"/>
    <w:rsid w:val="00842866"/>
    <w:rsid w:val="00844CFA"/>
    <w:rsid w:val="008465E3"/>
    <w:rsid w:val="00850FEC"/>
    <w:rsid w:val="00853DDB"/>
    <w:rsid w:val="008736F1"/>
    <w:rsid w:val="008769E8"/>
    <w:rsid w:val="00884265"/>
    <w:rsid w:val="00884873"/>
    <w:rsid w:val="00886356"/>
    <w:rsid w:val="00886AD4"/>
    <w:rsid w:val="00892302"/>
    <w:rsid w:val="00896532"/>
    <w:rsid w:val="00897CED"/>
    <w:rsid w:val="008A06E6"/>
    <w:rsid w:val="008A4205"/>
    <w:rsid w:val="008A5545"/>
    <w:rsid w:val="008B177E"/>
    <w:rsid w:val="008C06B2"/>
    <w:rsid w:val="008C0A12"/>
    <w:rsid w:val="008C21B5"/>
    <w:rsid w:val="008C488E"/>
    <w:rsid w:val="008D05C7"/>
    <w:rsid w:val="008D4C06"/>
    <w:rsid w:val="008D7465"/>
    <w:rsid w:val="008E1DB0"/>
    <w:rsid w:val="008F1C5D"/>
    <w:rsid w:val="008F47A3"/>
    <w:rsid w:val="008F6566"/>
    <w:rsid w:val="008F6946"/>
    <w:rsid w:val="008F7732"/>
    <w:rsid w:val="00901C7B"/>
    <w:rsid w:val="00902CEE"/>
    <w:rsid w:val="0090301E"/>
    <w:rsid w:val="00903F42"/>
    <w:rsid w:val="00906C06"/>
    <w:rsid w:val="009223A0"/>
    <w:rsid w:val="00922B67"/>
    <w:rsid w:val="00922FE7"/>
    <w:rsid w:val="00925AEC"/>
    <w:rsid w:val="009312CA"/>
    <w:rsid w:val="00932E5D"/>
    <w:rsid w:val="00936AB5"/>
    <w:rsid w:val="00937ED6"/>
    <w:rsid w:val="009413DC"/>
    <w:rsid w:val="00943426"/>
    <w:rsid w:val="009475E9"/>
    <w:rsid w:val="0094760B"/>
    <w:rsid w:val="00953778"/>
    <w:rsid w:val="00957DAD"/>
    <w:rsid w:val="00967702"/>
    <w:rsid w:val="00973032"/>
    <w:rsid w:val="00980519"/>
    <w:rsid w:val="00981423"/>
    <w:rsid w:val="00983422"/>
    <w:rsid w:val="0098443A"/>
    <w:rsid w:val="00986A43"/>
    <w:rsid w:val="00995671"/>
    <w:rsid w:val="009A06E6"/>
    <w:rsid w:val="009A0766"/>
    <w:rsid w:val="009A106C"/>
    <w:rsid w:val="009A7E31"/>
    <w:rsid w:val="009B30BD"/>
    <w:rsid w:val="009B3333"/>
    <w:rsid w:val="009B34E7"/>
    <w:rsid w:val="009C38B3"/>
    <w:rsid w:val="009C3BE2"/>
    <w:rsid w:val="009C76EB"/>
    <w:rsid w:val="009D1BFC"/>
    <w:rsid w:val="009D510E"/>
    <w:rsid w:val="009D6569"/>
    <w:rsid w:val="009F1737"/>
    <w:rsid w:val="009F186E"/>
    <w:rsid w:val="009F1CFE"/>
    <w:rsid w:val="009F41CE"/>
    <w:rsid w:val="00A00F4B"/>
    <w:rsid w:val="00A12DF4"/>
    <w:rsid w:val="00A16EDC"/>
    <w:rsid w:val="00A22B2E"/>
    <w:rsid w:val="00A25797"/>
    <w:rsid w:val="00A257E0"/>
    <w:rsid w:val="00A26BD6"/>
    <w:rsid w:val="00A3094A"/>
    <w:rsid w:val="00A33864"/>
    <w:rsid w:val="00A374CB"/>
    <w:rsid w:val="00A37B66"/>
    <w:rsid w:val="00A46FAC"/>
    <w:rsid w:val="00A4785D"/>
    <w:rsid w:val="00A50792"/>
    <w:rsid w:val="00A516F6"/>
    <w:rsid w:val="00A52D72"/>
    <w:rsid w:val="00A536A6"/>
    <w:rsid w:val="00A54181"/>
    <w:rsid w:val="00A545E8"/>
    <w:rsid w:val="00A54A9D"/>
    <w:rsid w:val="00A5663E"/>
    <w:rsid w:val="00A638CC"/>
    <w:rsid w:val="00A66C05"/>
    <w:rsid w:val="00A67DD9"/>
    <w:rsid w:val="00A72D69"/>
    <w:rsid w:val="00A7709F"/>
    <w:rsid w:val="00A77229"/>
    <w:rsid w:val="00A81C9C"/>
    <w:rsid w:val="00A84167"/>
    <w:rsid w:val="00A86721"/>
    <w:rsid w:val="00A867E8"/>
    <w:rsid w:val="00A9710D"/>
    <w:rsid w:val="00A976BF"/>
    <w:rsid w:val="00A97D0E"/>
    <w:rsid w:val="00AA062F"/>
    <w:rsid w:val="00AA6D81"/>
    <w:rsid w:val="00AB798A"/>
    <w:rsid w:val="00AC019C"/>
    <w:rsid w:val="00AC29D1"/>
    <w:rsid w:val="00AE0225"/>
    <w:rsid w:val="00AE058E"/>
    <w:rsid w:val="00AE14F2"/>
    <w:rsid w:val="00AE2BAD"/>
    <w:rsid w:val="00AE2C37"/>
    <w:rsid w:val="00AE4B95"/>
    <w:rsid w:val="00AE4FD5"/>
    <w:rsid w:val="00AE5ABC"/>
    <w:rsid w:val="00AE5AF2"/>
    <w:rsid w:val="00AE67BB"/>
    <w:rsid w:val="00AF2AD1"/>
    <w:rsid w:val="00AF4539"/>
    <w:rsid w:val="00B002FC"/>
    <w:rsid w:val="00B01BD2"/>
    <w:rsid w:val="00B01CF2"/>
    <w:rsid w:val="00B0216E"/>
    <w:rsid w:val="00B02339"/>
    <w:rsid w:val="00B065F7"/>
    <w:rsid w:val="00B152CD"/>
    <w:rsid w:val="00B15FF6"/>
    <w:rsid w:val="00B20863"/>
    <w:rsid w:val="00B26192"/>
    <w:rsid w:val="00B27085"/>
    <w:rsid w:val="00B307F2"/>
    <w:rsid w:val="00B330EC"/>
    <w:rsid w:val="00B37788"/>
    <w:rsid w:val="00B40A6E"/>
    <w:rsid w:val="00B4479C"/>
    <w:rsid w:val="00B44FC3"/>
    <w:rsid w:val="00B45868"/>
    <w:rsid w:val="00B46A02"/>
    <w:rsid w:val="00B56E54"/>
    <w:rsid w:val="00B57CBA"/>
    <w:rsid w:val="00B7018D"/>
    <w:rsid w:val="00B705AE"/>
    <w:rsid w:val="00B7332C"/>
    <w:rsid w:val="00B73A92"/>
    <w:rsid w:val="00B73EF4"/>
    <w:rsid w:val="00B75565"/>
    <w:rsid w:val="00B757C5"/>
    <w:rsid w:val="00B75EC9"/>
    <w:rsid w:val="00B81409"/>
    <w:rsid w:val="00B841C5"/>
    <w:rsid w:val="00B85CAA"/>
    <w:rsid w:val="00B85CDD"/>
    <w:rsid w:val="00B905D2"/>
    <w:rsid w:val="00B92675"/>
    <w:rsid w:val="00B93FAE"/>
    <w:rsid w:val="00B966DA"/>
    <w:rsid w:val="00BA0122"/>
    <w:rsid w:val="00BA29FE"/>
    <w:rsid w:val="00BA2A75"/>
    <w:rsid w:val="00BA31F1"/>
    <w:rsid w:val="00BA5558"/>
    <w:rsid w:val="00BB01F8"/>
    <w:rsid w:val="00BB1EFB"/>
    <w:rsid w:val="00BB5C37"/>
    <w:rsid w:val="00BC0D36"/>
    <w:rsid w:val="00BC0FE8"/>
    <w:rsid w:val="00BC45B8"/>
    <w:rsid w:val="00BC7345"/>
    <w:rsid w:val="00BD15B7"/>
    <w:rsid w:val="00BD3682"/>
    <w:rsid w:val="00BD562D"/>
    <w:rsid w:val="00BD6FA3"/>
    <w:rsid w:val="00BD79B1"/>
    <w:rsid w:val="00BE1744"/>
    <w:rsid w:val="00BE3E4E"/>
    <w:rsid w:val="00BF301A"/>
    <w:rsid w:val="00BF41E6"/>
    <w:rsid w:val="00BF42DC"/>
    <w:rsid w:val="00BF5ECE"/>
    <w:rsid w:val="00BF68B8"/>
    <w:rsid w:val="00BF71CB"/>
    <w:rsid w:val="00C00D13"/>
    <w:rsid w:val="00C01248"/>
    <w:rsid w:val="00C0167E"/>
    <w:rsid w:val="00C03A00"/>
    <w:rsid w:val="00C05A91"/>
    <w:rsid w:val="00C06CCB"/>
    <w:rsid w:val="00C10120"/>
    <w:rsid w:val="00C11050"/>
    <w:rsid w:val="00C12F5E"/>
    <w:rsid w:val="00C13E7D"/>
    <w:rsid w:val="00C14D43"/>
    <w:rsid w:val="00C16F95"/>
    <w:rsid w:val="00C236A4"/>
    <w:rsid w:val="00C237DC"/>
    <w:rsid w:val="00C2718C"/>
    <w:rsid w:val="00C3117F"/>
    <w:rsid w:val="00C31793"/>
    <w:rsid w:val="00C3555D"/>
    <w:rsid w:val="00C37CA6"/>
    <w:rsid w:val="00C42299"/>
    <w:rsid w:val="00C4529B"/>
    <w:rsid w:val="00C5640F"/>
    <w:rsid w:val="00C60594"/>
    <w:rsid w:val="00C61DB8"/>
    <w:rsid w:val="00C73BF4"/>
    <w:rsid w:val="00C74C62"/>
    <w:rsid w:val="00C81B27"/>
    <w:rsid w:val="00C845B7"/>
    <w:rsid w:val="00C8684E"/>
    <w:rsid w:val="00C900D2"/>
    <w:rsid w:val="00C929E9"/>
    <w:rsid w:val="00C97478"/>
    <w:rsid w:val="00CA1DD5"/>
    <w:rsid w:val="00CA2C40"/>
    <w:rsid w:val="00CA5CF2"/>
    <w:rsid w:val="00CB13B4"/>
    <w:rsid w:val="00CB2215"/>
    <w:rsid w:val="00CB2E01"/>
    <w:rsid w:val="00CB41BE"/>
    <w:rsid w:val="00CE1050"/>
    <w:rsid w:val="00CE26A2"/>
    <w:rsid w:val="00CE30D9"/>
    <w:rsid w:val="00CE495C"/>
    <w:rsid w:val="00CF2260"/>
    <w:rsid w:val="00CF22A0"/>
    <w:rsid w:val="00CF414E"/>
    <w:rsid w:val="00CF6340"/>
    <w:rsid w:val="00D070CB"/>
    <w:rsid w:val="00D13CD0"/>
    <w:rsid w:val="00D15F34"/>
    <w:rsid w:val="00D17E3D"/>
    <w:rsid w:val="00D227E9"/>
    <w:rsid w:val="00D22CD2"/>
    <w:rsid w:val="00D239A4"/>
    <w:rsid w:val="00D252B3"/>
    <w:rsid w:val="00D40F30"/>
    <w:rsid w:val="00D43086"/>
    <w:rsid w:val="00D461AC"/>
    <w:rsid w:val="00D56426"/>
    <w:rsid w:val="00D56CA5"/>
    <w:rsid w:val="00D735D2"/>
    <w:rsid w:val="00D7448B"/>
    <w:rsid w:val="00D749CB"/>
    <w:rsid w:val="00D74CF8"/>
    <w:rsid w:val="00D809BD"/>
    <w:rsid w:val="00D80BF3"/>
    <w:rsid w:val="00D8165C"/>
    <w:rsid w:val="00D81A23"/>
    <w:rsid w:val="00D84374"/>
    <w:rsid w:val="00D844C1"/>
    <w:rsid w:val="00D856F2"/>
    <w:rsid w:val="00D947D8"/>
    <w:rsid w:val="00D95908"/>
    <w:rsid w:val="00D97E3F"/>
    <w:rsid w:val="00DA72F8"/>
    <w:rsid w:val="00DA7DE4"/>
    <w:rsid w:val="00DB33D7"/>
    <w:rsid w:val="00DB4A46"/>
    <w:rsid w:val="00DB6325"/>
    <w:rsid w:val="00DC3284"/>
    <w:rsid w:val="00DC3D8A"/>
    <w:rsid w:val="00DC4D44"/>
    <w:rsid w:val="00DC5A96"/>
    <w:rsid w:val="00DC61B1"/>
    <w:rsid w:val="00DD2E64"/>
    <w:rsid w:val="00DD56C2"/>
    <w:rsid w:val="00DD7B9C"/>
    <w:rsid w:val="00DE1405"/>
    <w:rsid w:val="00DE1C6C"/>
    <w:rsid w:val="00DE3EFC"/>
    <w:rsid w:val="00DE5602"/>
    <w:rsid w:val="00DE5C71"/>
    <w:rsid w:val="00DE6B27"/>
    <w:rsid w:val="00DE7F98"/>
    <w:rsid w:val="00DF1C4F"/>
    <w:rsid w:val="00E02A34"/>
    <w:rsid w:val="00E05270"/>
    <w:rsid w:val="00E056F8"/>
    <w:rsid w:val="00E10FA5"/>
    <w:rsid w:val="00E228C6"/>
    <w:rsid w:val="00E2472F"/>
    <w:rsid w:val="00E272E1"/>
    <w:rsid w:val="00E33712"/>
    <w:rsid w:val="00E33D57"/>
    <w:rsid w:val="00E41BB2"/>
    <w:rsid w:val="00E44AC8"/>
    <w:rsid w:val="00E52E37"/>
    <w:rsid w:val="00E54388"/>
    <w:rsid w:val="00E55EDF"/>
    <w:rsid w:val="00E56F9B"/>
    <w:rsid w:val="00E605DB"/>
    <w:rsid w:val="00E62C2E"/>
    <w:rsid w:val="00E6389E"/>
    <w:rsid w:val="00E72FE6"/>
    <w:rsid w:val="00E733FB"/>
    <w:rsid w:val="00E75FE5"/>
    <w:rsid w:val="00E80125"/>
    <w:rsid w:val="00E83940"/>
    <w:rsid w:val="00E84E3A"/>
    <w:rsid w:val="00E95ACA"/>
    <w:rsid w:val="00EA5FC7"/>
    <w:rsid w:val="00EB04FA"/>
    <w:rsid w:val="00EB2E58"/>
    <w:rsid w:val="00EB672A"/>
    <w:rsid w:val="00EC6214"/>
    <w:rsid w:val="00ED0D7F"/>
    <w:rsid w:val="00ED0EB7"/>
    <w:rsid w:val="00ED4054"/>
    <w:rsid w:val="00ED63E2"/>
    <w:rsid w:val="00ED6A31"/>
    <w:rsid w:val="00ED7768"/>
    <w:rsid w:val="00EE0686"/>
    <w:rsid w:val="00EE2B7C"/>
    <w:rsid w:val="00EE39DD"/>
    <w:rsid w:val="00EE735B"/>
    <w:rsid w:val="00EF0F5B"/>
    <w:rsid w:val="00EF5DFE"/>
    <w:rsid w:val="00F03A3C"/>
    <w:rsid w:val="00F060A9"/>
    <w:rsid w:val="00F06CFC"/>
    <w:rsid w:val="00F14430"/>
    <w:rsid w:val="00F1620A"/>
    <w:rsid w:val="00F168E1"/>
    <w:rsid w:val="00F22F56"/>
    <w:rsid w:val="00F242D6"/>
    <w:rsid w:val="00F25655"/>
    <w:rsid w:val="00F30027"/>
    <w:rsid w:val="00F309F3"/>
    <w:rsid w:val="00F3123B"/>
    <w:rsid w:val="00F355D1"/>
    <w:rsid w:val="00F415AE"/>
    <w:rsid w:val="00F42B7B"/>
    <w:rsid w:val="00F443A8"/>
    <w:rsid w:val="00F56134"/>
    <w:rsid w:val="00F60757"/>
    <w:rsid w:val="00F62379"/>
    <w:rsid w:val="00F6274B"/>
    <w:rsid w:val="00F64067"/>
    <w:rsid w:val="00F6409E"/>
    <w:rsid w:val="00F66E5B"/>
    <w:rsid w:val="00F71C72"/>
    <w:rsid w:val="00F7405E"/>
    <w:rsid w:val="00F766F8"/>
    <w:rsid w:val="00F80742"/>
    <w:rsid w:val="00F81AA8"/>
    <w:rsid w:val="00F81DC8"/>
    <w:rsid w:val="00F86A99"/>
    <w:rsid w:val="00F86B1A"/>
    <w:rsid w:val="00F90412"/>
    <w:rsid w:val="00F904FF"/>
    <w:rsid w:val="00F97E24"/>
    <w:rsid w:val="00FA00FA"/>
    <w:rsid w:val="00FA187E"/>
    <w:rsid w:val="00FA3B06"/>
    <w:rsid w:val="00FA5E9F"/>
    <w:rsid w:val="00FA7EF2"/>
    <w:rsid w:val="00FB093C"/>
    <w:rsid w:val="00FB2BDE"/>
    <w:rsid w:val="00FB3167"/>
    <w:rsid w:val="00FB4B2B"/>
    <w:rsid w:val="00FB517A"/>
    <w:rsid w:val="00FB52E3"/>
    <w:rsid w:val="00FB5B0F"/>
    <w:rsid w:val="00FC0F19"/>
    <w:rsid w:val="00FC2CF1"/>
    <w:rsid w:val="00FC4D4F"/>
    <w:rsid w:val="00FD1A6E"/>
    <w:rsid w:val="00FD2FD3"/>
    <w:rsid w:val="00FD31B4"/>
    <w:rsid w:val="00FD53E1"/>
    <w:rsid w:val="00FD5BEF"/>
    <w:rsid w:val="00FE0EA3"/>
    <w:rsid w:val="00FE3B64"/>
    <w:rsid w:val="00FE775B"/>
    <w:rsid w:val="00FF2258"/>
    <w:rsid w:val="00FF618B"/>
    <w:rsid w:val="00FF7A44"/>
    <w:rsid w:val="0367315B"/>
    <w:rsid w:val="061139E5"/>
    <w:rsid w:val="06F50B00"/>
    <w:rsid w:val="076E1278"/>
    <w:rsid w:val="08D1141D"/>
    <w:rsid w:val="0B296DE2"/>
    <w:rsid w:val="10294AA3"/>
    <w:rsid w:val="10E40CA0"/>
    <w:rsid w:val="136130D9"/>
    <w:rsid w:val="18DD4F7E"/>
    <w:rsid w:val="195B58A2"/>
    <w:rsid w:val="1CBD69ED"/>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99"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36"/>
    <w:qFormat/>
    <w:uiPriority w:val="0"/>
    <w:pPr>
      <w:ind w:left="538"/>
      <w:outlineLvl w:val="0"/>
    </w:pPr>
    <w:rPr>
      <w:b/>
      <w:bCs/>
      <w:sz w:val="28"/>
      <w:szCs w:val="28"/>
    </w:rPr>
  </w:style>
  <w:style w:type="paragraph" w:styleId="4">
    <w:name w:val="heading 2"/>
    <w:basedOn w:val="1"/>
    <w:next w:val="1"/>
    <w:link w:val="37"/>
    <w:qFormat/>
    <w:uiPriority w:val="0"/>
    <w:pPr>
      <w:ind w:left="629"/>
      <w:outlineLvl w:val="1"/>
    </w:pPr>
    <w:rPr>
      <w:b/>
      <w:bCs/>
      <w:sz w:val="24"/>
      <w:szCs w:val="24"/>
    </w:rPr>
  </w:style>
  <w:style w:type="paragraph" w:styleId="5">
    <w:name w:val="heading 3"/>
    <w:basedOn w:val="1"/>
    <w:next w:val="1"/>
    <w:link w:val="38"/>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39"/>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79"/>
    <w:semiHidden/>
    <w:unhideWhenUsed/>
    <w:qFormat/>
    <w:uiPriority w:val="0"/>
    <w:pPr>
      <w:keepNext/>
      <w:keepLines/>
      <w:spacing w:before="280" w:after="290" w:line="376" w:lineRule="auto"/>
      <w:outlineLvl w:val="4"/>
    </w:pPr>
    <w:rPr>
      <w:b/>
      <w:bCs/>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8">
    <w:name w:val="toc 7"/>
    <w:basedOn w:val="1"/>
    <w:next w:val="1"/>
    <w:uiPriority w:val="0"/>
    <w:pPr>
      <w:ind w:left="2520" w:leftChars="1200"/>
    </w:pPr>
  </w:style>
  <w:style w:type="paragraph" w:styleId="9">
    <w:name w:val="Normal Indent"/>
    <w:basedOn w:val="1"/>
    <w:next w:val="10"/>
    <w:link w:val="78"/>
    <w:qFormat/>
    <w:uiPriority w:val="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styleId="10">
    <w:name w:val="header"/>
    <w:basedOn w:val="1"/>
    <w:link w:val="4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1">
    <w:name w:val="Document Map"/>
    <w:basedOn w:val="1"/>
    <w:link w:val="64"/>
    <w:uiPriority w:val="0"/>
    <w:pPr>
      <w:shd w:val="clear" w:color="auto" w:fill="000080"/>
      <w:autoSpaceDE/>
      <w:autoSpaceDN/>
      <w:jc w:val="both"/>
    </w:pPr>
    <w:rPr>
      <w:rFonts w:ascii="Times New Roman" w:hAnsi="Times New Roman" w:cs="Times New Roman"/>
      <w:kern w:val="2"/>
      <w:sz w:val="21"/>
      <w:szCs w:val="24"/>
      <w:lang w:eastAsia="zh-CN"/>
    </w:rPr>
  </w:style>
  <w:style w:type="paragraph" w:styleId="12">
    <w:name w:val="annotation text"/>
    <w:basedOn w:val="1"/>
    <w:link w:val="56"/>
    <w:uiPriority w:val="0"/>
    <w:pPr>
      <w:autoSpaceDE/>
      <w:autoSpaceDN/>
      <w:jc w:val="both"/>
    </w:pPr>
    <w:rPr>
      <w:rFonts w:ascii="Times New Roman" w:hAnsi="Times New Roman" w:cs="Times New Roman"/>
      <w:kern w:val="2"/>
      <w:sz w:val="21"/>
      <w:szCs w:val="20"/>
      <w:lang w:eastAsia="zh-CN"/>
    </w:rPr>
  </w:style>
  <w:style w:type="paragraph" w:styleId="13">
    <w:name w:val="Closing"/>
    <w:basedOn w:val="1"/>
    <w:link w:val="59"/>
    <w:uiPriority w:val="99"/>
    <w:pPr>
      <w:autoSpaceDE/>
      <w:autoSpaceDN/>
      <w:ind w:left="100" w:leftChars="2100"/>
      <w:jc w:val="both"/>
    </w:pPr>
    <w:rPr>
      <w:rFonts w:ascii="Times New Roman" w:hAnsi="Times New Roman" w:cs="Times New Roman"/>
      <w:b/>
      <w:kern w:val="2"/>
      <w:sz w:val="21"/>
      <w:szCs w:val="20"/>
      <w:lang w:eastAsia="zh-CN"/>
    </w:rPr>
  </w:style>
  <w:style w:type="paragraph" w:styleId="14">
    <w:name w:val="Body Text"/>
    <w:basedOn w:val="1"/>
    <w:link w:val="40"/>
    <w:qFormat/>
    <w:uiPriority w:val="1"/>
    <w:rPr>
      <w:sz w:val="24"/>
      <w:szCs w:val="24"/>
    </w:rPr>
  </w:style>
  <w:style w:type="paragraph" w:styleId="15">
    <w:name w:val="Body Text Indent"/>
    <w:basedOn w:val="1"/>
    <w:link w:val="60"/>
    <w:uiPriority w:val="0"/>
    <w:pPr>
      <w:spacing w:after="120"/>
      <w:ind w:left="420" w:leftChars="200"/>
    </w:pPr>
  </w:style>
  <w:style w:type="paragraph" w:styleId="16">
    <w:name w:val="toc 3"/>
    <w:basedOn w:val="1"/>
    <w:next w:val="1"/>
    <w:uiPriority w:val="39"/>
    <w:pPr>
      <w:ind w:left="840" w:leftChars="400"/>
    </w:pPr>
  </w:style>
  <w:style w:type="paragraph" w:styleId="17">
    <w:name w:val="Plain Text"/>
    <w:basedOn w:val="1"/>
    <w:link w:val="41"/>
    <w:qFormat/>
    <w:uiPriority w:val="0"/>
    <w:rPr>
      <w:rFonts w:hAnsi="Courier New" w:cs="Courier New"/>
      <w:szCs w:val="21"/>
    </w:rPr>
  </w:style>
  <w:style w:type="paragraph" w:styleId="18">
    <w:name w:val="Date"/>
    <w:basedOn w:val="1"/>
    <w:next w:val="1"/>
    <w:link w:val="48"/>
    <w:unhideWhenUsed/>
    <w:qFormat/>
    <w:uiPriority w:val="0"/>
    <w:pPr>
      <w:autoSpaceDE/>
      <w:autoSpaceDN/>
      <w:ind w:left="100" w:leftChars="2500"/>
      <w:jc w:val="both"/>
    </w:pPr>
    <w:rPr>
      <w:rFonts w:asciiTheme="minorHAnsi" w:hAnsiTheme="minorHAnsi" w:eastAsiaTheme="minorEastAsia" w:cstheme="minorBidi"/>
      <w:kern w:val="2"/>
      <w:sz w:val="21"/>
      <w:lang w:eastAsia="zh-CN"/>
    </w:rPr>
  </w:style>
  <w:style w:type="paragraph" w:styleId="19">
    <w:name w:val="Body Text Indent 2"/>
    <w:basedOn w:val="1"/>
    <w:link w:val="58"/>
    <w:uiPriority w:val="0"/>
    <w:pPr>
      <w:spacing w:after="120" w:line="480" w:lineRule="auto"/>
      <w:ind w:left="420" w:leftChars="200"/>
    </w:pPr>
  </w:style>
  <w:style w:type="paragraph" w:styleId="20">
    <w:name w:val="Balloon Text"/>
    <w:basedOn w:val="1"/>
    <w:link w:val="52"/>
    <w:uiPriority w:val="0"/>
    <w:rPr>
      <w:sz w:val="18"/>
      <w:szCs w:val="18"/>
    </w:rPr>
  </w:style>
  <w:style w:type="paragraph" w:styleId="21">
    <w:name w:val="footer"/>
    <w:basedOn w:val="1"/>
    <w:link w:val="42"/>
    <w:qFormat/>
    <w:uiPriority w:val="99"/>
    <w:pPr>
      <w:tabs>
        <w:tab w:val="center" w:pos="4153"/>
        <w:tab w:val="right" w:pos="8306"/>
      </w:tabs>
      <w:snapToGrid w:val="0"/>
    </w:pPr>
    <w:rPr>
      <w:sz w:val="18"/>
      <w:szCs w:val="18"/>
    </w:rPr>
  </w:style>
  <w:style w:type="paragraph" w:styleId="22">
    <w:name w:val="toc 1"/>
    <w:basedOn w:val="1"/>
    <w:next w:val="1"/>
    <w:uiPriority w:val="39"/>
    <w:pPr>
      <w:autoSpaceDE/>
      <w:autoSpaceDN/>
      <w:spacing w:before="120" w:after="120"/>
    </w:pPr>
    <w:rPr>
      <w:rFonts w:ascii="Times New Roman" w:hAnsi="Times New Roman" w:cs="Times New Roman"/>
      <w:b/>
      <w:caps/>
      <w:kern w:val="2"/>
      <w:sz w:val="20"/>
      <w:szCs w:val="20"/>
      <w:lang w:eastAsia="zh-CN"/>
    </w:rPr>
  </w:style>
  <w:style w:type="paragraph" w:styleId="23">
    <w:name w:val="List"/>
    <w:basedOn w:val="1"/>
    <w:uiPriority w:val="0"/>
    <w:pPr>
      <w:widowControl/>
      <w:autoSpaceDE/>
      <w:autoSpaceDN/>
      <w:ind w:left="420" w:hanging="420"/>
    </w:pPr>
    <w:rPr>
      <w:rFonts w:hAnsi="Times New Roman" w:cs="Times New Roman"/>
      <w:szCs w:val="20"/>
      <w:lang w:eastAsia="zh-CN"/>
    </w:rPr>
  </w:style>
  <w:style w:type="paragraph" w:styleId="24">
    <w:name w:val="Body Text Indent 3"/>
    <w:basedOn w:val="1"/>
    <w:link w:val="72"/>
    <w:uiPriority w:val="0"/>
    <w:pPr>
      <w:tabs>
        <w:tab w:val="left" w:pos="360"/>
      </w:tabs>
      <w:autoSpaceDE/>
      <w:autoSpaceDN/>
      <w:adjustRightInd w:val="0"/>
      <w:snapToGrid w:val="0"/>
      <w:spacing w:line="360" w:lineRule="auto"/>
      <w:ind w:firstLine="480" w:firstLineChars="200"/>
      <w:jc w:val="both"/>
    </w:pPr>
    <w:rPr>
      <w:rFonts w:hint="eastAsia" w:cs="Times New Roman"/>
      <w:kern w:val="2"/>
      <w:sz w:val="24"/>
      <w:szCs w:val="24"/>
      <w:lang w:eastAsia="zh-CN"/>
    </w:rPr>
  </w:style>
  <w:style w:type="paragraph" w:styleId="25">
    <w:name w:val="toc 2"/>
    <w:basedOn w:val="1"/>
    <w:next w:val="1"/>
    <w:uiPriority w:val="39"/>
    <w:pPr>
      <w:tabs>
        <w:tab w:val="left" w:pos="780"/>
        <w:tab w:val="right" w:leader="hyphen" w:pos="8279"/>
        <w:tab w:val="right" w:leader="dot" w:pos="8820"/>
        <w:tab w:val="right" w:leader="dot" w:pos="8949"/>
        <w:tab w:val="right" w:leader="dot" w:pos="9089"/>
      </w:tabs>
      <w:autoSpaceDE/>
      <w:autoSpaceDN/>
      <w:adjustRightInd w:val="0"/>
      <w:spacing w:line="360" w:lineRule="auto"/>
      <w:ind w:firstLine="540" w:firstLineChars="225"/>
      <w:jc w:val="both"/>
      <w:textAlignment w:val="baseline"/>
    </w:pPr>
    <w:rPr>
      <w:rFonts w:ascii="Times New Roman" w:hAnsi="Times New Roman" w:cs="Times New Roman"/>
      <w:smallCaps/>
      <w:sz w:val="24"/>
      <w:szCs w:val="20"/>
      <w:lang w:eastAsia="zh-CN"/>
    </w:rPr>
  </w:style>
  <w:style w:type="paragraph" w:styleId="26">
    <w:name w:val="Normal (Web)"/>
    <w:basedOn w:val="1"/>
    <w:unhideWhenUsed/>
    <w:uiPriority w:val="99"/>
    <w:pPr>
      <w:widowControl/>
      <w:autoSpaceDE/>
      <w:autoSpaceDN/>
      <w:spacing w:before="100" w:beforeAutospacing="1" w:after="100" w:afterAutospacing="1"/>
    </w:pPr>
    <w:rPr>
      <w:sz w:val="24"/>
      <w:szCs w:val="24"/>
      <w:lang w:eastAsia="zh-CN"/>
    </w:rPr>
  </w:style>
  <w:style w:type="paragraph" w:styleId="27">
    <w:name w:val="index 1"/>
    <w:basedOn w:val="1"/>
    <w:next w:val="1"/>
    <w:uiPriority w:val="0"/>
    <w:pPr>
      <w:autoSpaceDE/>
      <w:autoSpaceDN/>
      <w:spacing w:line="400" w:lineRule="atLeast"/>
      <w:jc w:val="both"/>
    </w:pPr>
    <w:rPr>
      <w:rFonts w:hint="eastAsia" w:cs="Times New Roman"/>
      <w:kern w:val="2"/>
      <w:sz w:val="24"/>
      <w:szCs w:val="24"/>
      <w:lang w:eastAsia="zh-CN"/>
    </w:rPr>
  </w:style>
  <w:style w:type="paragraph" w:styleId="28">
    <w:name w:val="annotation subject"/>
    <w:basedOn w:val="12"/>
    <w:next w:val="12"/>
    <w:link w:val="61"/>
    <w:qFormat/>
    <w:uiPriority w:val="0"/>
    <w:pPr>
      <w:adjustRightInd w:val="0"/>
      <w:spacing w:line="360" w:lineRule="atLeast"/>
      <w:jc w:val="left"/>
      <w:textAlignment w:val="baseline"/>
    </w:pPr>
    <w:rPr>
      <w:b/>
      <w:bCs/>
      <w:kern w:val="0"/>
      <w:sz w:val="20"/>
    </w:rPr>
  </w:style>
  <w:style w:type="table" w:styleId="30">
    <w:name w:val="Table Grid"/>
    <w:basedOn w:val="2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qFormat/>
    <w:uiPriority w:val="22"/>
    <w:rPr>
      <w:b/>
      <w:bCs/>
    </w:rPr>
  </w:style>
  <w:style w:type="character" w:styleId="33">
    <w:name w:val="page number"/>
    <w:basedOn w:val="31"/>
    <w:uiPriority w:val="0"/>
  </w:style>
  <w:style w:type="character" w:styleId="34">
    <w:name w:val="FollowedHyperlink"/>
    <w:basedOn w:val="31"/>
    <w:uiPriority w:val="0"/>
    <w:rPr>
      <w:color w:val="800080"/>
      <w:u w:val="single"/>
    </w:rPr>
  </w:style>
  <w:style w:type="character" w:styleId="35">
    <w:name w:val="Hyperlink"/>
    <w:basedOn w:val="31"/>
    <w:uiPriority w:val="99"/>
    <w:rPr>
      <w:color w:val="0000FF"/>
      <w:u w:val="single"/>
    </w:rPr>
  </w:style>
  <w:style w:type="character" w:customStyle="1" w:styleId="36">
    <w:name w:val="标题 1 Char"/>
    <w:link w:val="3"/>
    <w:qFormat/>
    <w:uiPriority w:val="0"/>
    <w:rPr>
      <w:rFonts w:ascii="宋体" w:hAnsi="宋体" w:cs="宋体"/>
      <w:b/>
      <w:bCs/>
      <w:sz w:val="28"/>
      <w:szCs w:val="28"/>
      <w:lang w:eastAsia="en-US"/>
    </w:rPr>
  </w:style>
  <w:style w:type="character" w:customStyle="1" w:styleId="37">
    <w:name w:val="标题 2 Char"/>
    <w:basedOn w:val="31"/>
    <w:link w:val="4"/>
    <w:qFormat/>
    <w:uiPriority w:val="0"/>
    <w:rPr>
      <w:rFonts w:ascii="宋体" w:hAnsi="宋体" w:cs="宋体"/>
      <w:b/>
      <w:bCs/>
      <w:sz w:val="24"/>
      <w:szCs w:val="24"/>
      <w:lang w:eastAsia="en-US"/>
    </w:rPr>
  </w:style>
  <w:style w:type="character" w:customStyle="1" w:styleId="38">
    <w:name w:val="标题 3 Char"/>
    <w:basedOn w:val="31"/>
    <w:link w:val="5"/>
    <w:qFormat/>
    <w:uiPriority w:val="0"/>
    <w:rPr>
      <w:rFonts w:ascii="宋体" w:hAnsi="宋体" w:cs="宋体"/>
      <w:b/>
      <w:bCs/>
      <w:sz w:val="32"/>
      <w:szCs w:val="32"/>
      <w:lang w:eastAsia="en-US"/>
    </w:rPr>
  </w:style>
  <w:style w:type="character" w:customStyle="1" w:styleId="39">
    <w:name w:val="标题 4 Char"/>
    <w:basedOn w:val="31"/>
    <w:link w:val="6"/>
    <w:semiHidden/>
    <w:qFormat/>
    <w:uiPriority w:val="0"/>
    <w:rPr>
      <w:rFonts w:asciiTheme="majorHAnsi" w:hAnsiTheme="majorHAnsi" w:eastAsiaTheme="majorEastAsia" w:cstheme="majorBidi"/>
      <w:b/>
      <w:bCs/>
      <w:sz w:val="28"/>
      <w:szCs w:val="28"/>
      <w:lang w:eastAsia="en-US"/>
    </w:rPr>
  </w:style>
  <w:style w:type="character" w:customStyle="1" w:styleId="40">
    <w:name w:val="正文文本 Char"/>
    <w:basedOn w:val="31"/>
    <w:link w:val="14"/>
    <w:qFormat/>
    <w:uiPriority w:val="0"/>
    <w:rPr>
      <w:rFonts w:ascii="宋体" w:hAnsi="宋体" w:cs="宋体"/>
      <w:sz w:val="24"/>
      <w:szCs w:val="24"/>
      <w:lang w:eastAsia="en-US"/>
    </w:rPr>
  </w:style>
  <w:style w:type="character" w:customStyle="1" w:styleId="41">
    <w:name w:val="纯文本 Char1"/>
    <w:link w:val="17"/>
    <w:qFormat/>
    <w:uiPriority w:val="0"/>
    <w:rPr>
      <w:rFonts w:ascii="宋体" w:hAnsi="Courier New" w:cs="Courier New"/>
      <w:sz w:val="22"/>
      <w:szCs w:val="21"/>
      <w:lang w:eastAsia="en-US"/>
    </w:rPr>
  </w:style>
  <w:style w:type="character" w:customStyle="1" w:styleId="42">
    <w:name w:val="页脚 Char"/>
    <w:basedOn w:val="31"/>
    <w:link w:val="21"/>
    <w:qFormat/>
    <w:uiPriority w:val="99"/>
    <w:rPr>
      <w:rFonts w:ascii="宋体" w:hAnsi="宋体" w:cs="宋体"/>
      <w:sz w:val="18"/>
      <w:szCs w:val="18"/>
      <w:lang w:eastAsia="en-US"/>
    </w:rPr>
  </w:style>
  <w:style w:type="character" w:customStyle="1" w:styleId="43">
    <w:name w:val="页眉 Char"/>
    <w:basedOn w:val="31"/>
    <w:link w:val="10"/>
    <w:qFormat/>
    <w:uiPriority w:val="0"/>
    <w:rPr>
      <w:rFonts w:ascii="宋体" w:hAnsi="宋体" w:cs="宋体"/>
      <w:sz w:val="18"/>
      <w:szCs w:val="22"/>
      <w:lang w:eastAsia="en-US"/>
    </w:rPr>
  </w:style>
  <w:style w:type="table" w:customStyle="1" w:styleId="44">
    <w:name w:val="Table Normal"/>
    <w:semiHidden/>
    <w:unhideWhenUsed/>
    <w:qFormat/>
    <w:uiPriority w:val="2"/>
    <w:tblPr>
      <w:tblCellMar>
        <w:top w:w="0" w:type="dxa"/>
        <w:left w:w="0" w:type="dxa"/>
        <w:bottom w:w="0" w:type="dxa"/>
        <w:right w:w="0" w:type="dxa"/>
      </w:tblCellMar>
    </w:tblPr>
  </w:style>
  <w:style w:type="paragraph" w:styleId="45">
    <w:name w:val="List Paragraph"/>
    <w:basedOn w:val="1"/>
    <w:qFormat/>
    <w:uiPriority w:val="34"/>
    <w:pPr>
      <w:spacing w:before="206"/>
      <w:ind w:left="959" w:hanging="361"/>
    </w:pPr>
  </w:style>
  <w:style w:type="paragraph" w:customStyle="1" w:styleId="46">
    <w:name w:val="Table Paragraph"/>
    <w:basedOn w:val="1"/>
    <w:qFormat/>
    <w:uiPriority w:val="1"/>
  </w:style>
  <w:style w:type="paragraph" w:customStyle="1" w:styleId="47">
    <w:name w:val="文档正文"/>
    <w:basedOn w:val="1"/>
    <w:qFormat/>
    <w:uiPriority w:val="0"/>
    <w:pPr>
      <w:spacing w:beforeLines="50" w:afterLines="50" w:line="360" w:lineRule="auto"/>
      <w:ind w:firstLine="560" w:firstLineChars="200"/>
    </w:pPr>
    <w:rPr>
      <w:rFonts w:cs="Arial"/>
      <w:bCs/>
      <w:sz w:val="28"/>
      <w:szCs w:val="28"/>
    </w:rPr>
  </w:style>
  <w:style w:type="character" w:customStyle="1" w:styleId="48">
    <w:name w:val="日期 Char"/>
    <w:basedOn w:val="31"/>
    <w:link w:val="18"/>
    <w:qFormat/>
    <w:uiPriority w:val="0"/>
    <w:rPr>
      <w:rFonts w:asciiTheme="minorHAnsi" w:hAnsiTheme="minorHAnsi" w:eastAsiaTheme="minorEastAsia" w:cstheme="minorBidi"/>
      <w:kern w:val="2"/>
      <w:sz w:val="21"/>
      <w:szCs w:val="22"/>
    </w:rPr>
  </w:style>
  <w:style w:type="paragraph" w:customStyle="1" w:styleId="49">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50">
    <w:name w:val="列出段落2"/>
    <w:basedOn w:val="1"/>
    <w:qFormat/>
    <w:uiPriority w:val="0"/>
    <w:pPr>
      <w:widowControl/>
      <w:autoSpaceDE/>
      <w:autoSpaceDN/>
      <w:ind w:firstLine="420" w:firstLineChars="200"/>
    </w:pPr>
    <w:rPr>
      <w:rFonts w:ascii="Times New Roman" w:hAnsi="Times New Roman" w:cs="Times New Roman"/>
      <w:sz w:val="20"/>
      <w:szCs w:val="20"/>
      <w:lang w:eastAsia="zh-CN"/>
    </w:rPr>
  </w:style>
  <w:style w:type="character" w:customStyle="1" w:styleId="51">
    <w:name w:val="xdrichtextbox2"/>
    <w:basedOn w:val="31"/>
    <w:uiPriority w:val="0"/>
    <w:rPr>
      <w:color w:val="0000FF"/>
      <w:sz w:val="18"/>
      <w:szCs w:val="18"/>
      <w:u w:val="none"/>
      <w:bdr w:val="single" w:color="DCDCDC" w:sz="8" w:space="0"/>
      <w:shd w:val="clear" w:color="auto" w:fill="FFFFFF"/>
    </w:rPr>
  </w:style>
  <w:style w:type="character" w:customStyle="1" w:styleId="52">
    <w:name w:val="批注框文本 Char"/>
    <w:basedOn w:val="31"/>
    <w:link w:val="20"/>
    <w:uiPriority w:val="0"/>
    <w:rPr>
      <w:rFonts w:ascii="宋体" w:hAnsi="宋体" w:cs="宋体"/>
      <w:sz w:val="18"/>
      <w:szCs w:val="18"/>
      <w:lang w:eastAsia="en-US"/>
    </w:rPr>
  </w:style>
  <w:style w:type="paragraph" w:customStyle="1" w:styleId="53">
    <w:name w:val="正文文本 21"/>
    <w:basedOn w:val="1"/>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character" w:customStyle="1" w:styleId="54">
    <w:name w:val="apple-converted-space"/>
    <w:basedOn w:val="31"/>
    <w:qFormat/>
    <w:uiPriority w:val="0"/>
  </w:style>
  <w:style w:type="paragraph" w:customStyle="1" w:styleId="55">
    <w:name w:val="* 左对齐的段落"/>
    <w:uiPriority w:val="99"/>
    <w:pPr>
      <w:widowControl w:val="0"/>
      <w:autoSpaceDE w:val="0"/>
      <w:autoSpaceDN w:val="0"/>
      <w:adjustRightInd w:val="0"/>
      <w:spacing w:line="240" w:lineRule="atLeast"/>
    </w:pPr>
    <w:rPr>
      <w:rFonts w:ascii="宋体" w:hAnsi="Calibri" w:eastAsia="宋体" w:cs="宋体"/>
      <w:sz w:val="24"/>
      <w:szCs w:val="24"/>
      <w:lang w:val="en-US" w:eastAsia="zh-CN" w:bidi="ar-SA"/>
    </w:rPr>
  </w:style>
  <w:style w:type="character" w:customStyle="1" w:styleId="56">
    <w:name w:val="批注文字 Char"/>
    <w:basedOn w:val="31"/>
    <w:link w:val="12"/>
    <w:uiPriority w:val="0"/>
    <w:rPr>
      <w:kern w:val="2"/>
      <w:sz w:val="21"/>
    </w:rPr>
  </w:style>
  <w:style w:type="paragraph" w:customStyle="1" w:styleId="57">
    <w:name w:val="正文格式"/>
    <w:basedOn w:val="1"/>
    <w:uiPriority w:val="0"/>
    <w:pPr>
      <w:topLinePunct/>
      <w:autoSpaceDE/>
      <w:autoSpaceDN/>
      <w:spacing w:beforeLines="50" w:afterLines="50"/>
      <w:ind w:firstLine="420" w:firstLineChars="200"/>
      <w:jc w:val="both"/>
    </w:pPr>
    <w:rPr>
      <w:rFonts w:cs="Times New Roman"/>
      <w:bCs/>
      <w:kern w:val="2"/>
      <w:sz w:val="21"/>
      <w:szCs w:val="21"/>
      <w:lang w:eastAsia="zh-CN"/>
    </w:rPr>
  </w:style>
  <w:style w:type="character" w:customStyle="1" w:styleId="58">
    <w:name w:val="正文文本缩进 2 Char"/>
    <w:basedOn w:val="31"/>
    <w:link w:val="19"/>
    <w:uiPriority w:val="0"/>
    <w:rPr>
      <w:rFonts w:ascii="宋体" w:hAnsi="宋体" w:cs="宋体"/>
      <w:sz w:val="22"/>
      <w:szCs w:val="22"/>
      <w:lang w:eastAsia="en-US"/>
    </w:rPr>
  </w:style>
  <w:style w:type="character" w:customStyle="1" w:styleId="59">
    <w:name w:val="结束语 Char"/>
    <w:basedOn w:val="31"/>
    <w:link w:val="13"/>
    <w:qFormat/>
    <w:uiPriority w:val="99"/>
    <w:rPr>
      <w:b/>
      <w:kern w:val="2"/>
      <w:sz w:val="21"/>
    </w:rPr>
  </w:style>
  <w:style w:type="character" w:customStyle="1" w:styleId="60">
    <w:name w:val="正文文本缩进 Char"/>
    <w:basedOn w:val="31"/>
    <w:link w:val="15"/>
    <w:uiPriority w:val="0"/>
    <w:rPr>
      <w:rFonts w:ascii="宋体" w:hAnsi="宋体" w:cs="宋体"/>
      <w:sz w:val="22"/>
      <w:szCs w:val="22"/>
      <w:lang w:eastAsia="en-US"/>
    </w:rPr>
  </w:style>
  <w:style w:type="character" w:customStyle="1" w:styleId="61">
    <w:name w:val="批注主题 Char"/>
    <w:basedOn w:val="56"/>
    <w:link w:val="28"/>
    <w:qFormat/>
    <w:uiPriority w:val="0"/>
    <w:rPr>
      <w:b/>
      <w:bCs/>
    </w:rPr>
  </w:style>
  <w:style w:type="character" w:customStyle="1" w:styleId="62">
    <w:name w:val="Book Title"/>
    <w:basedOn w:val="31"/>
    <w:qFormat/>
    <w:uiPriority w:val="33"/>
    <w:rPr>
      <w:b/>
      <w:bCs/>
      <w:smallCaps/>
      <w:spacing w:val="5"/>
    </w:rPr>
  </w:style>
  <w:style w:type="paragraph" w:customStyle="1" w:styleId="63">
    <w:name w:val="xl26"/>
    <w:basedOn w:val="1"/>
    <w:uiPriority w:val="0"/>
    <w:pPr>
      <w:widowControl/>
      <w:pBdr>
        <w:bottom w:val="single" w:color="auto" w:sz="4" w:space="0"/>
        <w:right w:val="single" w:color="auto" w:sz="4" w:space="0"/>
      </w:pBdr>
      <w:autoSpaceDE/>
      <w:autoSpaceDN/>
      <w:spacing w:before="100" w:beforeAutospacing="1" w:after="100" w:afterAutospacing="1"/>
      <w:jc w:val="center"/>
    </w:pPr>
    <w:rPr>
      <w:rFonts w:ascii="Times New Roman" w:hAnsi="Times New Roman" w:eastAsia="Arial Unicode MS" w:cs="Times New Roman"/>
      <w:sz w:val="21"/>
      <w:szCs w:val="21"/>
      <w:lang w:eastAsia="zh-CN"/>
    </w:rPr>
  </w:style>
  <w:style w:type="character" w:customStyle="1" w:styleId="64">
    <w:name w:val="文档结构图 Char"/>
    <w:basedOn w:val="31"/>
    <w:link w:val="11"/>
    <w:uiPriority w:val="0"/>
    <w:rPr>
      <w:kern w:val="2"/>
      <w:sz w:val="21"/>
      <w:szCs w:val="24"/>
      <w:shd w:val="clear" w:color="auto" w:fill="000080"/>
    </w:rPr>
  </w:style>
  <w:style w:type="paragraph" w:customStyle="1" w:styleId="65">
    <w:name w:val="样式 标题 2 + 宋体 五号 行距: 单倍行距"/>
    <w:basedOn w:val="4"/>
    <w:uiPriority w:val="0"/>
    <w:pPr>
      <w:keepNext/>
      <w:keepLines/>
      <w:tabs>
        <w:tab w:val="left" w:pos="1320"/>
      </w:tabs>
      <w:autoSpaceDE/>
      <w:autoSpaceDN/>
      <w:adjustRightInd w:val="0"/>
      <w:spacing w:before="260" w:after="260"/>
      <w:ind w:left="118" w:hanging="420"/>
      <w:textAlignment w:val="baseline"/>
    </w:pPr>
    <w:rPr>
      <w:rFonts w:cs="Times New Roman"/>
      <w:bCs w:val="0"/>
      <w:sz w:val="21"/>
      <w:szCs w:val="20"/>
      <w:lang w:eastAsia="zh-CN"/>
    </w:rPr>
  </w:style>
  <w:style w:type="paragraph" w:customStyle="1" w:styleId="66">
    <w:name w:val="Char Char Char Char"/>
    <w:basedOn w:val="1"/>
    <w:uiPriority w:val="0"/>
    <w:pPr>
      <w:autoSpaceDE/>
      <w:autoSpaceDN/>
      <w:jc w:val="both"/>
    </w:pPr>
    <w:rPr>
      <w:rFonts w:ascii="Times New Roman" w:hAnsi="Times New Roman" w:eastAsia="Times New Roman" w:cs="Times New Roman"/>
      <w:sz w:val="20"/>
      <w:szCs w:val="20"/>
      <w:lang w:eastAsia="zh-CN"/>
    </w:rPr>
  </w:style>
  <w:style w:type="paragraph" w:customStyle="1" w:styleId="67">
    <w:name w:val="TOC Heading"/>
    <w:basedOn w:val="3"/>
    <w:next w:val="1"/>
    <w:qFormat/>
    <w:uiPriority w:val="39"/>
    <w:pPr>
      <w:keepNext/>
      <w:keepLines/>
      <w:autoSpaceDE/>
      <w:autoSpaceDN/>
      <w:spacing w:before="340" w:after="330" w:line="578" w:lineRule="auto"/>
      <w:ind w:left="0"/>
      <w:jc w:val="both"/>
      <w:outlineLvl w:val="9"/>
    </w:pPr>
    <w:rPr>
      <w:rFonts w:ascii="Times New Roman" w:hAnsi="Times New Roman" w:cs="Times New Roman"/>
      <w:kern w:val="44"/>
      <w:sz w:val="44"/>
      <w:szCs w:val="44"/>
      <w:lang w:eastAsia="zh-CN"/>
    </w:rPr>
  </w:style>
  <w:style w:type="paragraph" w:customStyle="1" w:styleId="68">
    <w:name w:val="Char Char Char"/>
    <w:basedOn w:val="1"/>
    <w:uiPriority w:val="0"/>
    <w:pPr>
      <w:autoSpaceDE/>
      <w:autoSpaceDN/>
      <w:jc w:val="both"/>
    </w:pPr>
    <w:rPr>
      <w:rFonts w:ascii="Tahoma" w:hAnsi="Tahoma" w:cs="Times New Roman"/>
      <w:kern w:val="2"/>
      <w:sz w:val="24"/>
      <w:szCs w:val="20"/>
      <w:lang w:eastAsia="zh-CN"/>
    </w:rPr>
  </w:style>
  <w:style w:type="paragraph" w:customStyle="1" w:styleId="69">
    <w:name w:val="样式2"/>
    <w:basedOn w:val="1"/>
    <w:uiPriority w:val="0"/>
    <w:pPr>
      <w:autoSpaceDE/>
      <w:autoSpaceDN/>
      <w:spacing w:line="360" w:lineRule="auto"/>
      <w:jc w:val="both"/>
    </w:pPr>
    <w:rPr>
      <w:rFonts w:ascii="Times New Roman" w:hAnsi="Times New Roman" w:cs="Times New Roman"/>
      <w:sz w:val="28"/>
      <w:szCs w:val="20"/>
      <w:lang w:eastAsia="zh-CN"/>
    </w:rPr>
  </w:style>
  <w:style w:type="paragraph" w:customStyle="1" w:styleId="70">
    <w:name w:val="默认段落字体 Para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71">
    <w:name w:val="段落样式"/>
    <w:basedOn w:val="1"/>
    <w:uiPriority w:val="0"/>
    <w:pPr>
      <w:keepNext/>
      <w:suppressLineNumbers/>
      <w:suppressAutoHyphens/>
      <w:topLinePunct/>
      <w:autoSpaceDE/>
      <w:autoSpaceDN/>
      <w:adjustRightInd w:val="0"/>
      <w:snapToGrid w:val="0"/>
      <w:spacing w:line="500" w:lineRule="exact"/>
      <w:ind w:firstLine="510"/>
      <w:jc w:val="both"/>
      <w:textAlignment w:val="baseline"/>
    </w:pPr>
    <w:rPr>
      <w:rFonts w:ascii="Times New Roman" w:hAnsi="Times New Roman" w:cs="Times New Roman"/>
      <w:snapToGrid w:val="0"/>
      <w:sz w:val="28"/>
      <w:szCs w:val="28"/>
      <w:lang w:eastAsia="zh-CN"/>
    </w:rPr>
  </w:style>
  <w:style w:type="character" w:customStyle="1" w:styleId="72">
    <w:name w:val="正文文本缩进 3 Char"/>
    <w:basedOn w:val="31"/>
    <w:link w:val="24"/>
    <w:uiPriority w:val="0"/>
    <w:rPr>
      <w:rFonts w:ascii="宋体" w:hAnsi="宋体"/>
      <w:kern w:val="2"/>
      <w:sz w:val="24"/>
      <w:szCs w:val="24"/>
    </w:rPr>
  </w:style>
  <w:style w:type="paragraph" w:customStyle="1" w:styleId="73">
    <w:name w:val="Char"/>
    <w:basedOn w:val="1"/>
    <w:uiPriority w:val="0"/>
    <w:pPr>
      <w:autoSpaceDE/>
      <w:autoSpaceDN/>
      <w:jc w:val="both"/>
    </w:pPr>
    <w:rPr>
      <w:rFonts w:ascii="Times New Roman" w:hAnsi="Times New Roman" w:cs="Times New Roman"/>
      <w:kern w:val="2"/>
      <w:sz w:val="21"/>
      <w:szCs w:val="24"/>
      <w:lang w:eastAsia="zh-CN"/>
    </w:rPr>
  </w:style>
  <w:style w:type="character" w:customStyle="1" w:styleId="74">
    <w:name w:val="font21"/>
    <w:uiPriority w:val="0"/>
    <w:rPr>
      <w:rFonts w:hint="eastAsia" w:ascii="宋体" w:hAnsi="宋体" w:eastAsia="宋体" w:cs="宋体"/>
      <w:color w:val="000000"/>
      <w:sz w:val="20"/>
      <w:szCs w:val="20"/>
      <w:u w:val="none"/>
    </w:rPr>
  </w:style>
  <w:style w:type="character" w:customStyle="1" w:styleId="75">
    <w:name w:val="font01"/>
    <w:basedOn w:val="31"/>
    <w:uiPriority w:val="0"/>
    <w:rPr>
      <w:rFonts w:hint="eastAsia" w:ascii="宋体" w:hAnsi="宋体" w:eastAsia="宋体" w:cs="宋体"/>
      <w:color w:val="000000"/>
      <w:sz w:val="24"/>
      <w:szCs w:val="24"/>
      <w:u w:val="single"/>
    </w:rPr>
  </w:style>
  <w:style w:type="character" w:customStyle="1" w:styleId="76">
    <w:name w:val="普通文字 Char2"/>
    <w:basedOn w:val="31"/>
    <w:uiPriority w:val="99"/>
    <w:rPr>
      <w:rFonts w:ascii="宋体" w:hAnsi="Courier New" w:cs="Courier New"/>
      <w:sz w:val="22"/>
      <w:szCs w:val="21"/>
      <w:lang w:eastAsia="en-US"/>
    </w:rPr>
  </w:style>
  <w:style w:type="character" w:customStyle="1" w:styleId="77">
    <w:name w:val="正文文本 Char1"/>
    <w:basedOn w:val="31"/>
    <w:uiPriority w:val="1"/>
    <w:rPr>
      <w:rFonts w:ascii="宋体" w:hAnsi="宋体" w:cs="宋体"/>
      <w:sz w:val="24"/>
      <w:szCs w:val="24"/>
      <w:lang w:eastAsia="en-US"/>
    </w:rPr>
  </w:style>
  <w:style w:type="character" w:customStyle="1" w:styleId="78">
    <w:name w:val="正文缩进 Char"/>
    <w:link w:val="9"/>
    <w:qFormat/>
    <w:uiPriority w:val="0"/>
    <w:rPr>
      <w:kern w:val="2"/>
      <w:sz w:val="21"/>
    </w:rPr>
  </w:style>
  <w:style w:type="character" w:customStyle="1" w:styleId="79">
    <w:name w:val="标题 5 Char"/>
    <w:basedOn w:val="31"/>
    <w:link w:val="7"/>
    <w:uiPriority w:val="0"/>
    <w:rPr>
      <w:rFonts w:ascii="宋体" w:hAnsi="宋体" w:cs="宋体"/>
      <w:b/>
      <w:bCs/>
      <w:sz w:val="28"/>
      <w:szCs w:val="28"/>
      <w:lang w:eastAsia="en-US"/>
    </w:rPr>
  </w:style>
  <w:style w:type="character" w:customStyle="1" w:styleId="80">
    <w:name w:val="NormalCharacter"/>
    <w:semiHidden/>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4B5882-19D4-4F2F-888A-8D4CF53853B7}">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29</Pages>
  <Words>2669</Words>
  <Characters>15215</Characters>
  <Lines>126</Lines>
  <Paragraphs>35</Paragraphs>
  <TotalTime>59</TotalTime>
  <ScaleCrop>false</ScaleCrop>
  <LinksUpToDate>false</LinksUpToDate>
  <CharactersWithSpaces>17849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2020-11-26T08:28:00Z</dcterms:created>
  <dc:creator>CGC</dc:creator>
  <cp:lastModifiedBy>潘骏</cp:lastModifiedBy>
  <dcterms:modified xsi:type="dcterms:W3CDTF">2020-12-21T08:03:08Z</dcterms:modified>
  <dc:title>公开招标文件（货物服务类）</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2052-11.1.0.10228</vt:lpwstr>
  </property>
</Properties>
</file>