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Times New Roman"/>
          <w:sz w:val="20"/>
          <w:lang w:eastAsia="zh-CN"/>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黑体" w:hAnsi="黑体" w:eastAsia="黑体"/>
          <w:b/>
          <w:sz w:val="36"/>
          <w:szCs w:val="36"/>
          <w:u w:val="single"/>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PX厂区吸附塔高精度阀结构缺陷分析、设计</w:t>
      </w:r>
    </w:p>
    <w:p>
      <w:pPr>
        <w:spacing w:before="38"/>
        <w:ind w:left="172"/>
        <w:jc w:val="center"/>
        <w:rPr>
          <w:rFonts w:ascii="微软雅黑" w:eastAsia="微软雅黑"/>
          <w:b/>
          <w:sz w:val="36"/>
          <w:szCs w:val="36"/>
          <w:lang w:eastAsia="zh-CN"/>
        </w:rPr>
      </w:pPr>
      <w:r>
        <w:rPr>
          <w:rFonts w:hint="eastAsia" w:ascii="黑体" w:hAnsi="黑体" w:eastAsia="黑体"/>
          <w:b/>
          <w:sz w:val="36"/>
          <w:szCs w:val="36"/>
          <w:u w:val="single"/>
          <w:lang w:eastAsia="zh-CN"/>
        </w:rPr>
        <w:t>与改造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4"/>
        <w:rPr>
          <w:rFonts w:ascii="微软雅黑"/>
          <w:b/>
          <w:sz w:val="68"/>
          <w:lang w:eastAsia="zh-CN"/>
        </w:rPr>
      </w:pPr>
    </w:p>
    <w:p>
      <w:pPr>
        <w:pStyle w:val="14"/>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FHC-PTCG20201119002 </w:t>
      </w:r>
      <w:r>
        <w:rPr>
          <w:rFonts w:hint="eastAsia"/>
          <w:sz w:val="28"/>
          <w:szCs w:val="28"/>
        </w:rPr>
        <w:t>）</w:t>
      </w:r>
    </w:p>
    <w:p>
      <w:pPr>
        <w:pStyle w:val="14"/>
        <w:rPr>
          <w:rFonts w:ascii="微软雅黑"/>
          <w:b/>
          <w:sz w:val="94"/>
          <w:lang w:eastAsia="zh-CN"/>
        </w:rPr>
      </w:pPr>
    </w:p>
    <w:p>
      <w:pPr>
        <w:pStyle w:val="14"/>
        <w:rPr>
          <w:rFonts w:ascii="微软雅黑"/>
          <w:b/>
          <w:sz w:val="94"/>
          <w:lang w:eastAsia="zh-CN"/>
        </w:rPr>
      </w:pPr>
    </w:p>
    <w:p>
      <w:pPr>
        <w:pStyle w:val="14"/>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二〇二〇年十二月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4"/>
        <w:rPr>
          <w:rFonts w:ascii="黑体"/>
          <w:sz w:val="20"/>
          <w:lang w:eastAsia="zh-CN"/>
        </w:rPr>
      </w:pPr>
    </w:p>
    <w:p>
      <w:pPr>
        <w:pStyle w:val="14"/>
        <w:rPr>
          <w:rFonts w:ascii="黑体"/>
          <w:sz w:val="20"/>
          <w:lang w:eastAsia="zh-CN"/>
        </w:rPr>
      </w:pPr>
    </w:p>
    <w:p>
      <w:pPr>
        <w:pStyle w:val="14"/>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4"/>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4"/>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color w:val="000000"/>
          <w:sz w:val="28"/>
          <w:szCs w:val="28"/>
          <w:lang w:eastAsia="zh-CN"/>
        </w:rPr>
      </w:pP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jc w:val="center"/>
        <w:rPr>
          <w:b/>
          <w:bCs/>
          <w:sz w:val="32"/>
          <w:lang w:eastAsia="zh-CN"/>
        </w:rPr>
      </w:pPr>
      <w:r>
        <w:rPr>
          <w:rFonts w:hint="eastAsia"/>
          <w:b/>
          <w:bCs/>
          <w:sz w:val="32"/>
          <w:lang w:eastAsia="zh-CN"/>
        </w:rPr>
        <w:t>第一章比选公告</w:t>
      </w:r>
    </w:p>
    <w:p>
      <w:pPr>
        <w:spacing w:before="38" w:line="400" w:lineRule="atLeast"/>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asciiTheme="majorEastAsia" w:hAnsiTheme="majorEastAsia" w:eastAsiaTheme="majorEastAsia"/>
          <w:sz w:val="24"/>
          <w:szCs w:val="24"/>
          <w:u w:val="single"/>
          <w:lang w:eastAsia="zh-CN"/>
        </w:rPr>
        <w:t>PX厂区吸附塔高精度阀结构缺陷分析、设计与改造</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FHC-PTCG20201119002</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45"/>
        <w:numPr>
          <w:ilvl w:val="0"/>
          <w:numId w:val="1"/>
        </w:numPr>
        <w:autoSpaceDE/>
        <w:autoSpaceDN/>
        <w:spacing w:before="0" w:line="400" w:lineRule="atLeast"/>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5"/>
        <w:numPr>
          <w:ilvl w:val="0"/>
          <w:numId w:val="2"/>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asciiTheme="majorEastAsia" w:hAnsiTheme="majorEastAsia" w:eastAsiaTheme="majorEastAsia"/>
          <w:sz w:val="24"/>
          <w:szCs w:val="24"/>
          <w:lang w:eastAsia="zh-CN"/>
        </w:rPr>
        <w:t>PX厂区吸附塔高精度阀结构缺陷分析、设计与改造</w:t>
      </w:r>
      <w:r>
        <w:rPr>
          <w:rFonts w:hint="eastAsia" w:asciiTheme="majorEastAsia" w:hAnsiTheme="majorEastAsia" w:eastAsiaTheme="majorEastAsia"/>
          <w:bCs/>
          <w:sz w:val="24"/>
          <w:szCs w:val="24"/>
          <w:lang w:eastAsia="zh-CN"/>
        </w:rPr>
        <w:t>项目</w:t>
      </w:r>
    </w:p>
    <w:p>
      <w:pPr>
        <w:pStyle w:val="45"/>
        <w:numPr>
          <w:ilvl w:val="0"/>
          <w:numId w:val="2"/>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比选项目简要说明：共计五台高精度阀，需</w:t>
      </w:r>
      <w:r>
        <w:rPr>
          <w:rFonts w:hint="eastAsia" w:asciiTheme="majorEastAsia" w:hAnsiTheme="majorEastAsia" w:eastAsiaTheme="majorEastAsia"/>
          <w:sz w:val="24"/>
          <w:szCs w:val="24"/>
          <w:lang w:eastAsia="zh-CN"/>
        </w:rPr>
        <w:t xml:space="preserve">对阀门进行材料取样分析、阀门内件执行机构进行缺陷分析，重新设计改造。 </w:t>
      </w:r>
    </w:p>
    <w:p>
      <w:pPr>
        <w:pStyle w:val="45"/>
        <w:numPr>
          <w:ilvl w:val="0"/>
          <w:numId w:val="2"/>
        </w:numPr>
        <w:autoSpaceDE/>
        <w:autoSpaceDN/>
        <w:spacing w:before="0" w:line="400" w:lineRule="atLeast"/>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95万元</w:t>
      </w:r>
    </w:p>
    <w:p>
      <w:pPr>
        <w:pStyle w:val="45"/>
        <w:numPr>
          <w:ilvl w:val="0"/>
          <w:numId w:val="1"/>
        </w:numPr>
        <w:autoSpaceDE/>
        <w:autoSpaceDN/>
        <w:spacing w:before="0" w:line="400" w:lineRule="atLeast"/>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5"/>
        <w:widowControl/>
        <w:autoSpaceDE/>
        <w:autoSpaceDN/>
        <w:spacing w:before="0" w:line="400" w:lineRule="atLeast"/>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参选人须具备有效的企业法人营业执照，具有在中华人民共和国注册的法人资格；</w:t>
      </w:r>
    </w:p>
    <w:p>
      <w:pPr>
        <w:pStyle w:val="45"/>
        <w:widowControl/>
        <w:autoSpaceDE/>
        <w:autoSpaceDN/>
        <w:spacing w:before="0" w:line="400" w:lineRule="atLeast"/>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参选人须具备石化装置或相当领域控制阀设计/改造的经验，提供相应的业绩证明；</w:t>
      </w:r>
    </w:p>
    <w:p>
      <w:pPr>
        <w:pStyle w:val="45"/>
        <w:widowControl/>
        <w:autoSpaceDE/>
        <w:autoSpaceDN/>
        <w:spacing w:before="0" w:line="400" w:lineRule="atLeast"/>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pStyle w:val="45"/>
        <w:widowControl/>
        <w:autoSpaceDE/>
        <w:autoSpaceDN/>
        <w:spacing w:before="0" w:line="400" w:lineRule="atLeast"/>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400" w:lineRule="atLeast"/>
        <w:ind w:left="832"/>
        <w:rPr>
          <w:rFonts w:asciiTheme="majorEastAsia" w:hAnsiTheme="majorEastAsia" w:eastAsiaTheme="majorEastAsia"/>
          <w:sz w:val="24"/>
          <w:szCs w:val="24"/>
        </w:rPr>
      </w:pPr>
      <w:r>
        <w:rPr>
          <w:rFonts w:hint="eastAsia" w:asciiTheme="majorEastAsia" w:hAnsiTheme="majorEastAsia" w:eastAsiaTheme="majorEastAsia"/>
          <w:sz w:val="24"/>
          <w:szCs w:val="24"/>
        </w:rPr>
        <w:t>5. 本项目不接受联合体参选。</w:t>
      </w:r>
    </w:p>
    <w:p>
      <w:pPr>
        <w:pStyle w:val="45"/>
        <w:numPr>
          <w:ilvl w:val="0"/>
          <w:numId w:val="1"/>
        </w:numPr>
        <w:autoSpaceDE/>
        <w:autoSpaceDN/>
        <w:spacing w:before="0" w:line="400" w:lineRule="atLeast"/>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5"/>
        <w:numPr>
          <w:ilvl w:val="0"/>
          <w:numId w:val="3"/>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公示之日起至2020年12月</w:t>
      </w:r>
      <w:r>
        <w:rPr>
          <w:rFonts w:hint="eastAsia" w:asciiTheme="majorEastAsia" w:hAnsiTheme="majorEastAsia" w:eastAsiaTheme="majorEastAsia"/>
          <w:sz w:val="24"/>
          <w:szCs w:val="24"/>
          <w:lang w:val="en-US" w:eastAsia="zh-CN"/>
        </w:rPr>
        <w:t>20</w:t>
      </w:r>
      <w:r>
        <w:rPr>
          <w:rFonts w:hint="eastAsia" w:asciiTheme="majorEastAsia" w:hAnsiTheme="majorEastAsia" w:eastAsiaTheme="majorEastAsia"/>
          <w:sz w:val="24"/>
          <w:szCs w:val="24"/>
          <w:lang w:eastAsia="zh-CN"/>
        </w:rPr>
        <w:t>日17:00时（共计10天）</w:t>
      </w:r>
    </w:p>
    <w:p>
      <w:pPr>
        <w:pStyle w:val="45"/>
        <w:numPr>
          <w:ilvl w:val="0"/>
          <w:numId w:val="3"/>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w:t>
      </w:r>
    </w:p>
    <w:p>
      <w:pPr>
        <w:pStyle w:val="45"/>
        <w:numPr>
          <w:ilvl w:val="0"/>
          <w:numId w:val="4"/>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邮件报名（须同时提交盖公章的法定代表人授权书及营业执照扫描件），邮件发至：</w:t>
      </w:r>
      <w:r>
        <w:fldChar w:fldCharType="begin"/>
      </w:r>
      <w:r>
        <w:instrText xml:space="preserve"> HYPERLINK "mailto:hzji@fhcpec.com.cn" </w:instrText>
      </w:r>
      <w:r>
        <w:fldChar w:fldCharType="separate"/>
      </w:r>
      <w:r>
        <w:rPr>
          <w:rStyle w:val="35"/>
          <w:rFonts w:hint="eastAsia" w:asciiTheme="majorEastAsia" w:hAnsiTheme="majorEastAsia" w:eastAsiaTheme="majorEastAsia"/>
          <w:bCs/>
          <w:sz w:val="24"/>
          <w:szCs w:val="24"/>
        </w:rPr>
        <w:t>hzji@fhcpec.com.cn</w:t>
      </w:r>
      <w:r>
        <w:rPr>
          <w:rStyle w:val="35"/>
          <w:rFonts w:hint="eastAsia" w:asciiTheme="majorEastAsia" w:hAnsiTheme="majorEastAsia" w:eastAsiaTheme="majorEastAsia"/>
          <w:bCs/>
          <w:sz w:val="24"/>
          <w:szCs w:val="24"/>
        </w:rPr>
        <w:fldChar w:fldCharType="end"/>
      </w:r>
      <w:r>
        <w:rPr>
          <w:rFonts w:hint="eastAsia" w:asciiTheme="majorEastAsia" w:hAnsiTheme="majorEastAsia" w:eastAsiaTheme="majorEastAsia"/>
          <w:bCs/>
          <w:sz w:val="24"/>
          <w:szCs w:val="24"/>
          <w:lang w:eastAsia="zh-CN"/>
        </w:rPr>
        <w:t>。</w:t>
      </w:r>
    </w:p>
    <w:p>
      <w:pPr>
        <w:pStyle w:val="45"/>
        <w:numPr>
          <w:ilvl w:val="0"/>
          <w:numId w:val="4"/>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须与现场技术人员进行前期技术交流并勘察现场，技术交流后经比选人技术人员确认合格并签订技术协议书后，参选人方可参与后续比选，未进行报名和技术交流确认，未签订技术协议书的参选人不能参加比选。</w:t>
      </w:r>
    </w:p>
    <w:p>
      <w:pPr>
        <w:pStyle w:val="45"/>
        <w:numPr>
          <w:ilvl w:val="0"/>
          <w:numId w:val="1"/>
        </w:numPr>
        <w:autoSpaceDE/>
        <w:autoSpaceDN/>
        <w:spacing w:before="0" w:line="400" w:lineRule="atLeast"/>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5"/>
        <w:numPr>
          <w:ilvl w:val="0"/>
          <w:numId w:val="5"/>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5"/>
        <w:numPr>
          <w:ilvl w:val="0"/>
          <w:numId w:val="5"/>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递交截止时间：参选人须在报名时间内报名并完成技术交流确认后，签订技术协议书，与12月</w:t>
      </w:r>
      <w:r>
        <w:rPr>
          <w:rFonts w:hint="eastAsia" w:asciiTheme="majorEastAsia" w:hAnsiTheme="majorEastAsia" w:eastAsiaTheme="majorEastAsia"/>
          <w:bCs/>
          <w:sz w:val="24"/>
          <w:szCs w:val="24"/>
          <w:lang w:val="en-US" w:eastAsia="zh-CN"/>
        </w:rPr>
        <w:t>25</w:t>
      </w:r>
      <w:bookmarkStart w:id="10" w:name="_GoBack"/>
      <w:bookmarkEnd w:id="10"/>
      <w:r>
        <w:rPr>
          <w:rFonts w:hint="eastAsia" w:asciiTheme="majorEastAsia" w:hAnsiTheme="majorEastAsia" w:eastAsiaTheme="majorEastAsia"/>
          <w:bCs/>
          <w:sz w:val="24"/>
          <w:szCs w:val="24"/>
          <w:lang w:eastAsia="zh-CN"/>
        </w:rPr>
        <w:t>日（公示日期第15天）前将参选文件密封寄送至指定地点。</w:t>
      </w:r>
    </w:p>
    <w:p>
      <w:pPr>
        <w:pStyle w:val="45"/>
        <w:numPr>
          <w:ilvl w:val="0"/>
          <w:numId w:val="1"/>
        </w:numPr>
        <w:autoSpaceDE/>
        <w:autoSpaceDN/>
        <w:spacing w:before="0" w:line="400" w:lineRule="atLeast"/>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9"/>
        <w:snapToGrid w:val="0"/>
        <w:spacing w:line="400" w:lineRule="atLeast"/>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9"/>
        <w:snapToGrid w:val="0"/>
        <w:spacing w:line="400" w:lineRule="atLeast"/>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5"/>
          <w:rFonts w:asciiTheme="majorEastAsia" w:hAnsiTheme="majorEastAsia" w:eastAsiaTheme="majorEastAsia"/>
          <w:bCs/>
          <w:sz w:val="24"/>
          <w:szCs w:val="24"/>
        </w:rPr>
        <w:t>qlin@fhcpec.com.cn</w:t>
      </w:r>
      <w:r>
        <w:rPr>
          <w:rStyle w:val="35"/>
          <w:rFonts w:asciiTheme="majorEastAsia" w:hAnsiTheme="majorEastAsia" w:eastAsiaTheme="majorEastAsia"/>
          <w:bCs/>
          <w:sz w:val="24"/>
          <w:szCs w:val="24"/>
        </w:rPr>
        <w:fldChar w:fldCharType="end"/>
      </w:r>
    </w:p>
    <w:p>
      <w:pPr>
        <w:pStyle w:val="9"/>
        <w:snapToGrid w:val="0"/>
        <w:spacing w:line="400" w:lineRule="atLeast"/>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9"/>
        <w:snapToGrid w:val="0"/>
        <w:spacing w:line="400" w:lineRule="atLeast"/>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400" w:lineRule="atLeast"/>
        <w:ind w:left="9"/>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福建福海创石油化工有限公司</w:t>
      </w:r>
    </w:p>
    <w:p>
      <w:pPr>
        <w:tabs>
          <w:tab w:val="left" w:pos="1272"/>
        </w:tabs>
        <w:spacing w:line="400" w:lineRule="atLeast"/>
        <w:ind w:left="9"/>
        <w:jc w:val="center"/>
        <w:rPr>
          <w:sz w:val="24"/>
          <w:szCs w:val="24"/>
          <w:lang w:eastAsia="zh-CN"/>
        </w:rPr>
      </w:pPr>
      <w:r>
        <w:rPr>
          <w:rFonts w:hint="eastAsia" w:asciiTheme="majorEastAsia" w:hAnsiTheme="majorEastAsia" w:eastAsiaTheme="majorEastAsia"/>
          <w:sz w:val="24"/>
          <w:szCs w:val="24"/>
          <w:lang w:eastAsia="zh-CN"/>
        </w:rPr>
        <w:t>2020.12.11</w:t>
      </w:r>
    </w:p>
    <w:p>
      <w:pPr>
        <w:pStyle w:val="3"/>
        <w:tabs>
          <w:tab w:val="left" w:pos="1262"/>
        </w:tabs>
        <w:spacing w:line="355" w:lineRule="exact"/>
        <w:ind w:left="0" w:right="108"/>
        <w:jc w:val="center"/>
        <w:rPr>
          <w:lang w:eastAsia="zh-CN"/>
        </w:rPr>
        <w:sectPr>
          <w:pgSz w:w="11910" w:h="16840"/>
          <w:pgMar w:top="1134" w:right="851" w:bottom="1134" w:left="1134"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4"/>
        <w:spacing w:before="3"/>
        <w:rPr>
          <w:b/>
          <w:sz w:val="26"/>
          <w:lang w:eastAsia="zh-CN"/>
        </w:rPr>
      </w:pPr>
    </w:p>
    <w:p>
      <w:pPr>
        <w:spacing w:after="240"/>
        <w:ind w:firstLine="534" w:firstLineChars="200"/>
        <w:rPr>
          <w:b/>
          <w:sz w:val="28"/>
          <w:lang w:eastAsia="zh-CN"/>
        </w:rPr>
      </w:pPr>
      <w:r>
        <w:rPr>
          <w:b/>
          <w:w w:val="95"/>
          <w:sz w:val="28"/>
          <w:lang w:eastAsia="zh-CN"/>
        </w:rPr>
        <w:t>一、比选内容</w:t>
      </w:r>
    </w:p>
    <w:p>
      <w:pPr>
        <w:autoSpaceDE/>
        <w:autoSpaceDN/>
        <w:spacing w:line="360" w:lineRule="auto"/>
        <w:ind w:firstLine="480" w:firstLineChars="200"/>
        <w:jc w:val="both"/>
        <w:rPr>
          <w:lang w:eastAsia="zh-CN"/>
        </w:rPr>
      </w:pPr>
      <w:r>
        <w:rPr>
          <w:rFonts w:hint="eastAsia"/>
          <w:sz w:val="24"/>
          <w:szCs w:val="24"/>
          <w:lang w:eastAsia="zh-CN"/>
        </w:rPr>
        <w:t>1.项目</w:t>
      </w:r>
      <w:r>
        <w:rPr>
          <w:sz w:val="24"/>
          <w:szCs w:val="24"/>
          <w:lang w:eastAsia="zh-CN"/>
        </w:rPr>
        <w:t>名称：</w:t>
      </w:r>
      <w:r>
        <w:rPr>
          <w:rFonts w:hint="eastAsia" w:asciiTheme="majorEastAsia" w:hAnsiTheme="majorEastAsia" w:eastAsiaTheme="majorEastAsia"/>
          <w:sz w:val="24"/>
          <w:szCs w:val="24"/>
          <w:lang w:eastAsia="zh-CN"/>
        </w:rPr>
        <w:t>PX厂区吸附塔高精度阀结构缺陷分析、设计与改造</w:t>
      </w:r>
      <w:r>
        <w:rPr>
          <w:rFonts w:hint="eastAsia" w:asciiTheme="majorEastAsia" w:hAnsiTheme="majorEastAsia" w:eastAsiaTheme="majorEastAsia"/>
          <w:bCs/>
          <w:sz w:val="24"/>
          <w:szCs w:val="24"/>
          <w:lang w:eastAsia="zh-CN"/>
        </w:rPr>
        <w:t>项目</w:t>
      </w:r>
    </w:p>
    <w:p>
      <w:pPr>
        <w:pStyle w:val="14"/>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4"/>
        <w:spacing w:line="360" w:lineRule="auto"/>
        <w:ind w:right="121"/>
        <w:jc w:val="both"/>
        <w:rPr>
          <w:lang w:eastAsia="zh-CN"/>
        </w:rPr>
      </w:pPr>
      <w:r>
        <w:rPr>
          <w:rFonts w:hint="eastAsia"/>
          <w:lang w:eastAsia="zh-CN"/>
        </w:rPr>
        <w:t xml:space="preserve">    3.承包方式：固定总价包干</w:t>
      </w:r>
    </w:p>
    <w:p>
      <w:pPr>
        <w:pStyle w:val="14"/>
        <w:spacing w:line="360" w:lineRule="auto"/>
        <w:ind w:left="724" w:leftChars="220" w:right="121" w:hanging="240" w:hangingChars="10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见附件1“技术协议书”</w:t>
      </w:r>
    </w:p>
    <w:p>
      <w:pPr>
        <w:pStyle w:val="14"/>
        <w:spacing w:line="360" w:lineRule="auto"/>
        <w:ind w:right="121" w:firstLine="480"/>
        <w:jc w:val="both"/>
        <w:rPr>
          <w:lang w:eastAsia="zh-CN"/>
        </w:rPr>
      </w:pPr>
      <w:r>
        <w:rPr>
          <w:lang w:eastAsia="zh-CN"/>
        </w:rPr>
        <w:t>5.服务期限</w:t>
      </w:r>
      <w:r>
        <w:rPr>
          <w:rFonts w:hint="eastAsia"/>
          <w:lang w:eastAsia="zh-CN"/>
        </w:rPr>
        <w:t>：20天</w:t>
      </w:r>
    </w:p>
    <w:p>
      <w:pPr>
        <w:pStyle w:val="14"/>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4"/>
        <w:spacing w:line="360" w:lineRule="auto"/>
        <w:ind w:right="121" w:firstLine="465"/>
        <w:jc w:val="both"/>
        <w:rPr>
          <w:lang w:eastAsia="zh-CN"/>
        </w:rPr>
      </w:pPr>
      <w:r>
        <w:rPr>
          <w:rFonts w:hint="eastAsia"/>
          <w:lang w:eastAsia="zh-CN"/>
        </w:rPr>
        <w:t>技术联系人：黄先生 0596-6311711 huanghz@fhcpec.com.cn</w:t>
      </w:r>
      <w:r>
        <w:rPr>
          <w:lang w:eastAsia="zh-CN"/>
        </w:rPr>
        <w:t xml:space="preserve"> </w:t>
      </w:r>
    </w:p>
    <w:p>
      <w:pPr>
        <w:pStyle w:val="14"/>
        <w:spacing w:line="360" w:lineRule="auto"/>
        <w:ind w:right="121" w:firstLine="465"/>
        <w:jc w:val="both"/>
        <w:rPr>
          <w:lang w:eastAsia="zh-CN"/>
        </w:rPr>
      </w:pPr>
      <w:r>
        <w:rPr>
          <w:rFonts w:hint="eastAsia"/>
          <w:lang w:eastAsia="zh-CN"/>
        </w:rPr>
        <w:t xml:space="preserve">商务联系人：纪先生 0596-6311823  </w:t>
      </w:r>
      <w:r>
        <w:fldChar w:fldCharType="begin"/>
      </w:r>
      <w:r>
        <w:instrText xml:space="preserve"> HYPERLINK "mailto:hzji@fhcpec.com.cn" </w:instrText>
      </w:r>
      <w:r>
        <w:fldChar w:fldCharType="separate"/>
      </w:r>
      <w:r>
        <w:rPr>
          <w:rStyle w:val="35"/>
          <w:rFonts w:hint="eastAsia"/>
          <w:lang w:eastAsia="zh-CN"/>
        </w:rPr>
        <w:t>hzji@fhcpec.com.cn</w:t>
      </w:r>
      <w:r>
        <w:rPr>
          <w:rStyle w:val="35"/>
          <w:rFonts w:hint="eastAsia"/>
          <w:lang w:eastAsia="zh-CN"/>
        </w:rPr>
        <w:fldChar w:fldCharType="end"/>
      </w:r>
    </w:p>
    <w:p>
      <w:pPr>
        <w:pStyle w:val="14"/>
        <w:spacing w:line="360" w:lineRule="auto"/>
        <w:ind w:right="121" w:firstLine="480"/>
        <w:jc w:val="both"/>
        <w:rPr>
          <w:b/>
          <w:lang w:eastAsia="zh-CN"/>
        </w:rPr>
      </w:pPr>
      <w:r>
        <w:rPr>
          <w:rFonts w:hint="eastAsia"/>
          <w:lang w:eastAsia="zh-CN"/>
        </w:rPr>
        <w:t>7.</w:t>
      </w:r>
      <w:r>
        <w:rPr>
          <w:lang w:eastAsia="zh-CN"/>
        </w:rPr>
        <w:t xml:space="preserve"> 报名方式：</w:t>
      </w:r>
    </w:p>
    <w:p>
      <w:pPr>
        <w:pStyle w:val="14"/>
        <w:spacing w:line="360" w:lineRule="auto"/>
        <w:ind w:right="121" w:firstLine="465"/>
        <w:jc w:val="both"/>
        <w:rPr>
          <w:lang w:eastAsia="zh-CN"/>
        </w:rPr>
      </w:pP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bCs/>
          <w:szCs w:val="21"/>
          <w:lang w:eastAsia="zh-CN"/>
        </w:rPr>
        <w:t>扫描件，并</w:t>
      </w:r>
      <w:r>
        <w:rPr>
          <w:rFonts w:hint="eastAsia"/>
          <w:bCs/>
          <w:szCs w:val="21"/>
          <w:lang w:eastAsia="zh-CN"/>
        </w:rPr>
        <w:t>与</w:t>
      </w:r>
      <w:r>
        <w:rPr>
          <w:bCs/>
          <w:szCs w:val="21"/>
          <w:lang w:eastAsia="zh-CN"/>
        </w:rPr>
        <w:t>比选人技术联系人进行前期技术交流并勘察现场，现场交流后由比选人技术人员确认合格并签订相应技术协议书后方可参与后续投递比选文件参加比选。未进行邮件报名和技术交流确认并签订技术协议书的参选人的参选文件将被判定为无效参选文件，不能参加比选</w:t>
      </w:r>
      <w:r>
        <w:rPr>
          <w:lang w:eastAsia="zh-CN"/>
        </w:rPr>
        <w:t>。</w:t>
      </w:r>
    </w:p>
    <w:p>
      <w:pPr>
        <w:pStyle w:val="3"/>
        <w:spacing w:before="18"/>
        <w:rPr>
          <w:lang w:eastAsia="zh-CN"/>
        </w:rPr>
      </w:pPr>
      <w:r>
        <w:rPr>
          <w:w w:val="95"/>
          <w:lang w:eastAsia="zh-CN"/>
        </w:rPr>
        <w:t>二、定义和解释</w:t>
      </w:r>
    </w:p>
    <w:p>
      <w:pPr>
        <w:pStyle w:val="14"/>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4"/>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4"/>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4"/>
        <w:spacing w:before="188"/>
        <w:ind w:left="598"/>
        <w:rPr>
          <w:lang w:eastAsia="zh-CN"/>
        </w:rPr>
      </w:pPr>
      <w:r>
        <w:rPr>
          <w:lang w:eastAsia="zh-CN"/>
        </w:rPr>
        <w:t>1.比选文件包括下列内容：</w:t>
      </w:r>
    </w:p>
    <w:p>
      <w:pPr>
        <w:pStyle w:val="14"/>
        <w:spacing w:before="105"/>
        <w:ind w:left="598"/>
        <w:rPr>
          <w:lang w:eastAsia="zh-CN"/>
        </w:rPr>
      </w:pPr>
      <w:r>
        <w:rPr>
          <w:lang w:eastAsia="zh-CN"/>
        </w:rPr>
        <w:t>比选公告、比选须知、项目内容、合同书格式、报价单、承诺函等。</w:t>
      </w:r>
    </w:p>
    <w:p>
      <w:pPr>
        <w:pStyle w:val="14"/>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4"/>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4"/>
        <w:spacing w:line="360" w:lineRule="auto"/>
        <w:ind w:left="118"/>
        <w:rPr>
          <w:lang w:eastAsia="zh-CN"/>
        </w:rPr>
      </w:pPr>
      <w:r>
        <w:rPr>
          <w:lang w:eastAsia="zh-CN"/>
        </w:rPr>
        <w:t>重要事项、格式、条款和技术规范、参数及要求等）。参选人没有按照比选文件要求提交</w:t>
      </w:r>
    </w:p>
    <w:p>
      <w:pPr>
        <w:pStyle w:val="14"/>
        <w:spacing w:line="360" w:lineRule="auto"/>
        <w:ind w:left="118" w:right="-49"/>
        <w:rPr>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14"/>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4"/>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4"/>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4"/>
        <w:spacing w:before="27" w:line="360" w:lineRule="auto"/>
        <w:ind w:firstLine="480" w:firstLineChars="200"/>
        <w:rPr>
          <w:lang w:eastAsia="zh-CN"/>
        </w:rPr>
      </w:pPr>
      <w:r>
        <w:rPr>
          <w:lang w:eastAsia="zh-CN"/>
        </w:rPr>
        <w:t>3.比选文件的修改书将构成比选文件的一部分，对参选人具有约束作用。</w:t>
      </w:r>
    </w:p>
    <w:p>
      <w:pPr>
        <w:pStyle w:val="14"/>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参选人须具备有效的企业法人营业执照，具有在中华人民共和国注册的法人资格；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参选人须具备石化装置或相当领域控制阀设计/改造的经验，提供相应的业绩证明；</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480" w:firstLineChars="200"/>
        <w:jc w:val="both"/>
        <w:rPr>
          <w:lang w:eastAsia="zh-CN"/>
        </w:rPr>
      </w:pPr>
      <w:r>
        <w:rPr>
          <w:rFonts w:hint="eastAsia" w:asciiTheme="majorEastAsia" w:hAnsiTheme="majorEastAsia" w:eastAsiaTheme="majorEastAsia"/>
          <w:sz w:val="24"/>
          <w:szCs w:val="24"/>
          <w:lang w:eastAsia="zh-CN"/>
        </w:rPr>
        <w:t>5. 本项目不接受联合体参选。</w:t>
      </w:r>
    </w:p>
    <w:p>
      <w:pPr>
        <w:pStyle w:val="3"/>
        <w:spacing w:line="360" w:lineRule="auto"/>
        <w:rPr>
          <w:lang w:eastAsia="zh-CN"/>
        </w:rPr>
      </w:pPr>
      <w:r>
        <w:rPr>
          <w:w w:val="95"/>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1、参选保证金的金额为：人民币贰万元整（20000.00元）；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开户银行：腾龙芳烃（漳州）有限公司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w:t>
      </w:r>
      <w:r>
        <w:rPr>
          <w:rFonts w:hint="eastAsia"/>
          <w:b/>
          <w:sz w:val="24"/>
          <w:szCs w:val="24"/>
          <w:lang w:eastAsia="zh-CN"/>
        </w:rPr>
        <w:t>兴业银行漳州古雷支行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b/>
          <w:sz w:val="24"/>
          <w:szCs w:val="24"/>
          <w:lang w:eastAsia="zh-CN"/>
        </w:rPr>
        <w:t>162070100100021071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PX厂区吸附塔高精度阀结构缺陷分析、设计与改造</w:t>
      </w:r>
      <w:r>
        <w:rPr>
          <w:rFonts w:hint="eastAsia" w:asciiTheme="majorEastAsia" w:hAnsiTheme="majorEastAsia" w:eastAsiaTheme="majorEastAsia"/>
          <w:b/>
          <w:bCs/>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4"/>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4"/>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4"/>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4"/>
        <w:spacing w:line="360" w:lineRule="auto"/>
        <w:ind w:right="121" w:firstLine="480" w:firstLineChars="200"/>
        <w:jc w:val="both"/>
        <w:rPr>
          <w:lang w:eastAsia="zh-CN"/>
        </w:rPr>
      </w:pPr>
      <w:r>
        <w:rPr>
          <w:rFonts w:hint="eastAsia"/>
          <w:lang w:eastAsia="zh-CN"/>
        </w:rPr>
        <w:t>8.如有下列情况发生，将被没收参选保证金：</w:t>
      </w:r>
    </w:p>
    <w:p>
      <w:pPr>
        <w:pStyle w:val="14"/>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asciiTheme="majorEastAsia" w:hAnsiTheme="majorEastAsia" w:eastAsiaTheme="majorEastAsia"/>
          <w:bCs w:val="0"/>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4"/>
        <w:spacing w:line="360" w:lineRule="auto"/>
        <w:ind w:firstLine="480" w:firstLineChars="200"/>
        <w:rPr>
          <w:lang w:eastAsia="zh-CN"/>
        </w:rPr>
      </w:pPr>
      <w:r>
        <w:rPr>
          <w:lang w:eastAsia="zh-CN"/>
        </w:rPr>
        <w:t>3.只允许参选人有一个参选方案，否则将被视为无效参选。</w:t>
      </w:r>
    </w:p>
    <w:p>
      <w:pPr>
        <w:pStyle w:val="14"/>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4"/>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4"/>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7"/>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950000元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4"/>
        <w:spacing w:before="3" w:line="360" w:lineRule="auto"/>
        <w:rPr>
          <w:lang w:eastAsia="zh-CN"/>
        </w:rPr>
      </w:pPr>
    </w:p>
    <w:p>
      <w:pPr>
        <w:pStyle w:val="14"/>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4"/>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4"/>
        <w:spacing w:before="23" w:line="360" w:lineRule="auto"/>
        <w:ind w:right="92" w:firstLine="480"/>
        <w:rPr>
          <w:lang w:eastAsia="zh-CN"/>
        </w:rPr>
      </w:pPr>
      <w:r>
        <w:rPr>
          <w:spacing w:val="-7"/>
          <w:lang w:eastAsia="zh-CN"/>
        </w:rPr>
        <w:t>②有良好</w:t>
      </w:r>
      <w:r>
        <w:rPr>
          <w:rFonts w:hint="eastAsia"/>
          <w:spacing w:val="-7"/>
          <w:lang w:eastAsia="zh-CN"/>
        </w:rPr>
        <w:t>相似</w:t>
      </w:r>
      <w:r>
        <w:rPr>
          <w:rFonts w:hint="eastAsia" w:asciiTheme="majorEastAsia" w:hAnsiTheme="majorEastAsia" w:eastAsiaTheme="majorEastAsia"/>
          <w:lang w:eastAsia="zh-CN"/>
        </w:rPr>
        <w:t>石化装置或相当领域控制阀设计/改造的</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4"/>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w:t>
      </w:r>
    </w:p>
    <w:p>
      <w:pPr>
        <w:pStyle w:val="14"/>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4"/>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4"/>
        <w:spacing w:before="26" w:line="360" w:lineRule="auto"/>
        <w:ind w:firstLine="482" w:firstLineChars="200"/>
        <w:rPr>
          <w:lang w:eastAsia="zh-CN"/>
        </w:rPr>
      </w:pPr>
      <w:r>
        <w:rPr>
          <w:rFonts w:hint="eastAsia"/>
          <w:b/>
          <w:lang w:eastAsia="zh-CN"/>
        </w:rPr>
        <w:t>须提供电子版参选文件及报价表（电子U盘 盖公章的PDF版）</w:t>
      </w:r>
    </w:p>
    <w:p>
      <w:pPr>
        <w:pStyle w:val="3"/>
        <w:ind w:left="0" w:firstLine="534" w:firstLineChars="200"/>
        <w:rPr>
          <w:lang w:eastAsia="zh-CN"/>
        </w:rPr>
      </w:pPr>
      <w:r>
        <w:rPr>
          <w:w w:val="95"/>
          <w:lang w:eastAsia="zh-CN"/>
        </w:rPr>
        <w:t>二、参选书格式内容</w:t>
      </w:r>
    </w:p>
    <w:p>
      <w:pPr>
        <w:pStyle w:val="14"/>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4"/>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参选文件（含PDF电子版U盘）。</w:t>
      </w:r>
    </w:p>
    <w:p>
      <w:pPr>
        <w:pStyle w:val="3"/>
        <w:spacing w:line="360" w:lineRule="auto"/>
        <w:ind w:left="0" w:firstLine="534" w:firstLineChars="200"/>
        <w:rPr>
          <w:lang w:eastAsia="zh-CN"/>
        </w:rPr>
      </w:pPr>
      <w:r>
        <w:rPr>
          <w:w w:val="95"/>
          <w:lang w:eastAsia="zh-CN"/>
        </w:rPr>
        <w:t>三、参选报价</w:t>
      </w:r>
    </w:p>
    <w:p>
      <w:pPr>
        <w:pStyle w:val="14"/>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4"/>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4"/>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4"/>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5"/>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 “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4"/>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4"/>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88651"/>
      <w:bookmarkStart w:id="1" w:name="_Toc430492133"/>
      <w:bookmarkStart w:id="2" w:name="_Toc430489126"/>
      <w:bookmarkStart w:id="3" w:name="_Toc430490619"/>
      <w:bookmarkStart w:id="4" w:name="_Toc415567504"/>
      <w:bookmarkStart w:id="5" w:name="_Toc177186249"/>
      <w:bookmarkStart w:id="6" w:name="_Toc430422420"/>
      <w:bookmarkStart w:id="7" w:name="_Toc304357904"/>
      <w:bookmarkStart w:id="8" w:name="_Toc430488858"/>
    </w:p>
    <w:p>
      <w:pPr>
        <w:pStyle w:val="14"/>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4"/>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4"/>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4"/>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4"/>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4"/>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4"/>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4"/>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4"/>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95万元整（含税价）</w:t>
      </w:r>
      <w:r>
        <w:rPr>
          <w:rFonts w:hint="eastAsia"/>
          <w:lang w:eastAsia="zh-CN"/>
        </w:rPr>
        <w:t>。参选人所填报的报价高于本项目最高限价的，其参选将被比选小组予以否决。</w:t>
      </w:r>
    </w:p>
    <w:p>
      <w:pPr>
        <w:pStyle w:val="14"/>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4"/>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4"/>
        <w:spacing w:line="360" w:lineRule="auto"/>
        <w:ind w:right="121" w:firstLine="480" w:firstLineChars="200"/>
        <w:jc w:val="both"/>
        <w:rPr>
          <w:lang w:eastAsia="zh-CN"/>
        </w:rPr>
      </w:pPr>
      <w:r>
        <w:rPr>
          <w:lang w:eastAsia="zh-CN"/>
        </w:rPr>
        <w:t>2.参选文件存在重大偏差的。</w:t>
      </w:r>
    </w:p>
    <w:p>
      <w:pPr>
        <w:pStyle w:val="14"/>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4"/>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4"/>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4"/>
        <w:spacing w:line="360" w:lineRule="auto"/>
        <w:ind w:right="121" w:firstLine="480" w:firstLineChars="200"/>
        <w:jc w:val="both"/>
        <w:rPr>
          <w:lang w:eastAsia="zh-CN"/>
        </w:rPr>
      </w:pPr>
      <w:r>
        <w:rPr>
          <w:lang w:eastAsia="zh-CN"/>
        </w:rPr>
        <w:t>2.在开选时没有启封和读出的参选文件，在评选时将不予考虑。</w:t>
      </w:r>
    </w:p>
    <w:p>
      <w:pPr>
        <w:pStyle w:val="14"/>
        <w:spacing w:line="360" w:lineRule="auto"/>
        <w:ind w:right="121" w:firstLine="480" w:firstLineChars="200"/>
        <w:jc w:val="both"/>
        <w:rPr>
          <w:lang w:eastAsia="zh-CN"/>
        </w:rPr>
      </w:pPr>
      <w:r>
        <w:rPr>
          <w:lang w:eastAsia="zh-CN"/>
        </w:rPr>
        <w:t>3.比选人将做开选记录。</w:t>
      </w:r>
    </w:p>
    <w:p>
      <w:pPr>
        <w:pStyle w:val="14"/>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4"/>
        <w:spacing w:before="12"/>
        <w:rPr>
          <w:b/>
          <w:sz w:val="33"/>
          <w:lang w:eastAsia="zh-CN"/>
        </w:rPr>
      </w:pPr>
    </w:p>
    <w:p>
      <w:pPr>
        <w:pStyle w:val="14"/>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4"/>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4"/>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4"/>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4"/>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4"/>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2"/>
          <w:rFonts w:hint="eastAsia"/>
          <w:sz w:val="24"/>
          <w:szCs w:val="24"/>
        </w:rPr>
        <w:t>福建福海创石油化工有限公司的权属子公司“腾龙芳烃（漳州）有限公司”作为合同执行主体，将于中选通知书发出之日起20个工作日内与中选人完成合同签订事宜。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4"/>
        <w:spacing w:before="12"/>
        <w:rPr>
          <w:b/>
          <w:sz w:val="33"/>
          <w:lang w:eastAsia="zh-CN"/>
        </w:rPr>
      </w:pPr>
    </w:p>
    <w:p>
      <w:pPr>
        <w:pStyle w:val="14"/>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PX厂区吸附塔高精度阀结构缺陷分析、设计与改造</w:t>
      </w:r>
      <w:r>
        <w:rPr>
          <w:rFonts w:hint="eastAsia" w:asciiTheme="majorEastAsia" w:hAnsiTheme="majorEastAsia" w:eastAsiaTheme="majorEastAsia"/>
          <w:bCs/>
          <w:sz w:val="24"/>
          <w:szCs w:val="24"/>
          <w:u w:val="single"/>
          <w:lang w:eastAsia="zh-CN"/>
        </w:rPr>
        <w:t>项目</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pStyle w:val="14"/>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4"/>
        <w:rPr>
          <w:b/>
          <w:sz w:val="28"/>
          <w:lang w:eastAsia="zh-CN"/>
        </w:rPr>
      </w:pPr>
    </w:p>
    <w:p>
      <w:pPr>
        <w:pStyle w:val="14"/>
        <w:spacing w:before="12" w:line="360" w:lineRule="auto"/>
        <w:rPr>
          <w:b/>
          <w:sz w:val="33"/>
          <w:lang w:eastAsia="zh-CN"/>
        </w:rPr>
      </w:pPr>
    </w:p>
    <w:p>
      <w:pPr>
        <w:pStyle w:val="14"/>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4"/>
        <w:spacing w:before="108" w:line="360" w:lineRule="auto"/>
        <w:ind w:left="567"/>
        <w:rPr>
          <w:lang w:eastAsia="zh-CN"/>
        </w:rPr>
      </w:pPr>
      <w:r>
        <w:rPr>
          <w:lang w:eastAsia="zh-CN"/>
        </w:rPr>
        <w:t>2.比选人郑重承诺：参选人所提交的参选文件及相关资料不向第三方泄露。</w:t>
      </w:r>
    </w:p>
    <w:p>
      <w:pPr>
        <w:pStyle w:val="14"/>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4"/>
        <w:spacing w:before="106" w:line="360" w:lineRule="auto"/>
        <w:ind w:left="567"/>
        <w:rPr>
          <w:lang w:eastAsia="zh-CN"/>
        </w:rPr>
      </w:pPr>
      <w:r>
        <w:rPr>
          <w:lang w:eastAsia="zh-CN"/>
        </w:rPr>
        <w:br w:type="page"/>
      </w:r>
    </w:p>
    <w:p>
      <w:pPr>
        <w:pStyle w:val="14"/>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Arial" w:hAnsi="Arial" w:cs="Arial"/>
          <w:b/>
          <w:sz w:val="32"/>
          <w:szCs w:val="32"/>
          <w:lang w:eastAsia="zh-CN"/>
        </w:rPr>
      </w:pPr>
      <w:r>
        <w:rPr>
          <w:rFonts w:hint="eastAsia" w:asciiTheme="majorEastAsia" w:hAnsiTheme="majorEastAsia" w:eastAsiaTheme="majorEastAsia"/>
          <w:b/>
          <w:sz w:val="30"/>
          <w:szCs w:val="30"/>
          <w:lang w:eastAsia="zh-CN"/>
        </w:rPr>
        <w:t>吸附塔高精度阀结构缺陷分析、设计与改造</w:t>
      </w:r>
      <w:r>
        <w:rPr>
          <w:rFonts w:ascii="Arial" w:hAnsi="Arial" w:cs="Arial"/>
          <w:b/>
          <w:sz w:val="32"/>
          <w:szCs w:val="32"/>
          <w:lang w:eastAsia="zh-CN"/>
        </w:rPr>
        <w:t>合同</w:t>
      </w:r>
    </w:p>
    <w:p>
      <w:pPr>
        <w:spacing w:line="360" w:lineRule="auto"/>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rPr>
          <w:rFonts w:cs="Arial"/>
          <w:sz w:val="24"/>
          <w:lang w:eastAsia="zh-CN"/>
        </w:rPr>
      </w:pPr>
      <w:r>
        <w:rPr>
          <w:rFonts w:hint="eastAsia" w:cs="Arial"/>
          <w:sz w:val="24"/>
          <w:lang w:eastAsia="zh-CN"/>
        </w:rPr>
        <w:t xml:space="preserve">                                   签订日期：     年    月    日</w:t>
      </w:r>
    </w:p>
    <w:p>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腾龙芳烃（漳州）有限公司</w:t>
      </w:r>
      <w:r>
        <w:rPr>
          <w:rFonts w:cs="Arial"/>
          <w:sz w:val="24"/>
          <w:u w:val="single"/>
          <w:lang w:eastAsia="zh-CN"/>
        </w:rPr>
        <w:t>_</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eastAsia="zh-CN"/>
        </w:rPr>
        <w:t xml:space="preserve">                       </w:t>
      </w:r>
      <w:r>
        <w:rPr>
          <w:rFonts w:cs="Arial"/>
          <w:sz w:val="24"/>
          <w:lang w:eastAsia="zh-CN"/>
        </w:rPr>
        <w:t>_</w:t>
      </w:r>
      <w:r>
        <w:rPr>
          <w:rFonts w:hint="eastAsia" w:cs="Arial"/>
          <w:sz w:val="24"/>
          <w:lang w:eastAsia="zh-CN"/>
        </w:rPr>
        <w:t>（以下简称“乙方”）</w:t>
      </w:r>
    </w:p>
    <w:p>
      <w:pPr>
        <w:spacing w:line="360" w:lineRule="auto"/>
        <w:ind w:firstLine="480" w:firstLineChars="200"/>
        <w:rPr>
          <w:rFonts w:cs="Arial"/>
          <w:sz w:val="24"/>
          <w:lang w:eastAsia="zh-CN"/>
        </w:rPr>
      </w:pPr>
      <w:r>
        <w:rPr>
          <w:rFonts w:hint="eastAsia"/>
          <w:sz w:val="24"/>
          <w:lang w:eastAsia="zh-CN"/>
        </w:rPr>
        <w:t>本合同甲方委托乙方就</w:t>
      </w:r>
      <w:r>
        <w:rPr>
          <w:sz w:val="24"/>
          <w:lang w:eastAsia="zh-CN"/>
        </w:rPr>
        <w:t xml:space="preserve"> </w:t>
      </w:r>
      <w:r>
        <w:rPr>
          <w:rFonts w:hint="eastAsia" w:asciiTheme="majorEastAsia" w:hAnsiTheme="majorEastAsia" w:eastAsiaTheme="majorEastAsia"/>
          <w:sz w:val="24"/>
          <w:szCs w:val="24"/>
          <w:u w:val="single"/>
          <w:lang w:eastAsia="zh-CN"/>
        </w:rPr>
        <w:t>吸附塔高精度阀结构缺陷分析、设计与改造</w:t>
      </w:r>
      <w:r>
        <w:rPr>
          <w:rFonts w:hint="eastAsia"/>
          <w:sz w:val="24"/>
          <w:lang w:eastAsia="zh-CN"/>
        </w:rPr>
        <w:t>项目进行有偿的维修技术服务，并支付相应的服务报酬。双方经过平等协商，在真实、充分地表达各自意愿的基础上，根据《中华人民共和国合同法》的规定，</w:t>
      </w:r>
      <w:r>
        <w:rPr>
          <w:color w:val="000000"/>
          <w:sz w:val="24"/>
          <w:lang w:eastAsia="zh-CN"/>
        </w:rPr>
        <w:t>签订本合同，以便共同遵守。</w:t>
      </w:r>
    </w:p>
    <w:p>
      <w:pPr>
        <w:pStyle w:val="45"/>
        <w:widowControl/>
        <w:numPr>
          <w:ilvl w:val="0"/>
          <w:numId w:val="6"/>
        </w:numPr>
        <w:overflowPunct w:val="0"/>
        <w:adjustRightInd w:val="0"/>
        <w:spacing w:before="0" w:line="360" w:lineRule="auto"/>
        <w:textAlignment w:val="baseline"/>
        <w:rPr>
          <w:b/>
          <w:color w:val="000000"/>
          <w:sz w:val="24"/>
          <w:lang w:eastAsia="zh-CN"/>
        </w:rPr>
      </w:pPr>
      <w:r>
        <w:rPr>
          <w:rFonts w:hint="eastAsia"/>
          <w:b/>
          <w:color w:val="000000"/>
          <w:sz w:val="24"/>
          <w:lang w:eastAsia="zh-CN"/>
        </w:rPr>
        <w:t>维修设备</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tbl>
      <w:tblPr>
        <w:tblStyle w:val="29"/>
        <w:tblW w:w="9072" w:type="dxa"/>
        <w:tblCellSpacing w:w="0" w:type="dxa"/>
        <w:tblInd w:w="1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34"/>
        <w:gridCol w:w="2552"/>
        <w:gridCol w:w="708"/>
        <w:gridCol w:w="1276"/>
        <w:gridCol w:w="1418"/>
        <w:gridCol w:w="1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13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设备名称</w:t>
            </w:r>
          </w:p>
        </w:tc>
        <w:tc>
          <w:tcPr>
            <w:tcW w:w="255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尺寸磅级</w:t>
            </w:r>
          </w:p>
        </w:tc>
        <w:tc>
          <w:tcPr>
            <w:tcW w:w="70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418"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98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1"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9"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16"</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9072" w:type="dxa"/>
            <w:gridSpan w:val="6"/>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总计（含税）：人民币        元整（含</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%增值税）</w:t>
            </w:r>
          </w:p>
        </w:tc>
      </w:tr>
    </w:tbl>
    <w:p>
      <w:pPr>
        <w:widowControl/>
        <w:spacing w:line="360" w:lineRule="auto"/>
        <w:ind w:left="718" w:leftChars="-1" w:hanging="720" w:hangingChars="300"/>
        <w:rPr>
          <w:color w:val="000000"/>
          <w:sz w:val="24"/>
          <w:lang w:eastAsia="zh-CN"/>
        </w:rPr>
      </w:pPr>
      <w:r>
        <w:rPr>
          <w:rFonts w:hint="eastAsia"/>
          <w:sz w:val="24"/>
          <w:lang w:eastAsia="zh-CN"/>
        </w:rPr>
        <w:t>说明：本合同</w:t>
      </w:r>
      <w:r>
        <w:rPr>
          <w:rFonts w:hint="eastAsia"/>
          <w:color w:val="000000"/>
          <w:sz w:val="24"/>
          <w:lang w:eastAsia="zh-CN"/>
        </w:rPr>
        <w:t>的维修总价为包干制，</w:t>
      </w:r>
      <w:r>
        <w:rPr>
          <w:rFonts w:hint="eastAsia"/>
          <w:sz w:val="24"/>
          <w:lang w:eastAsia="zh-CN"/>
        </w:rPr>
        <w:t>包括乙方工作涉及到的劳务费、管理费、工具费、劳保费、所有税费、各种保险、安全费用、利润、运输费、耗材费及合同涉及到的所有风险、责任、义务等完成各项目所需的全部费用；乙方根据实际需要增加或者减少维修</w:t>
      </w:r>
      <w:r>
        <w:rPr>
          <w:rFonts w:hint="eastAsia"/>
          <w:color w:val="000000"/>
          <w:sz w:val="24"/>
          <w:lang w:eastAsia="zh-CN"/>
        </w:rPr>
        <w:t>人员数量，本合同固定总价不变。</w:t>
      </w:r>
    </w:p>
    <w:p>
      <w:pPr>
        <w:spacing w:line="360" w:lineRule="auto"/>
        <w:rPr>
          <w:b/>
          <w:color w:val="000000"/>
          <w:sz w:val="24"/>
          <w:lang w:eastAsia="zh-CN"/>
        </w:rPr>
      </w:pPr>
      <w:r>
        <w:rPr>
          <w:rFonts w:hint="eastAsia"/>
          <w:b/>
          <w:color w:val="000000"/>
          <w:sz w:val="24"/>
          <w:lang w:eastAsia="zh-CN"/>
        </w:rPr>
        <w:t>二、费用结算方式和支付期限：</w:t>
      </w:r>
    </w:p>
    <w:p>
      <w:pPr>
        <w:spacing w:line="360" w:lineRule="auto"/>
        <w:rPr>
          <w:sz w:val="24"/>
          <w:lang w:eastAsia="zh-CN"/>
        </w:rPr>
      </w:pPr>
      <w:r>
        <w:rPr>
          <w:rFonts w:hint="eastAsia"/>
          <w:sz w:val="24"/>
          <w:lang w:eastAsia="zh-CN"/>
        </w:rPr>
        <w:t>1、预付款：合同生效后，甲方支付合同总价10%作为预付款；</w:t>
      </w:r>
    </w:p>
    <w:p>
      <w:pPr>
        <w:spacing w:line="360" w:lineRule="auto"/>
        <w:ind w:left="1320" w:hanging="1320" w:hangingChars="550"/>
        <w:rPr>
          <w:sz w:val="24"/>
          <w:lang w:eastAsia="zh-CN"/>
        </w:rPr>
      </w:pPr>
      <w:r>
        <w:rPr>
          <w:rFonts w:hint="eastAsia"/>
          <w:sz w:val="24"/>
          <w:lang w:eastAsia="zh-CN"/>
        </w:rPr>
        <w:t>2、验收款：调节阀修复完成并经甲方验收合格后，且收到全额合同总价</w:t>
      </w:r>
      <w:r>
        <w:rPr>
          <w:rFonts w:hint="eastAsia"/>
          <w:sz w:val="24"/>
          <w:u w:val="single"/>
          <w:lang w:eastAsia="zh-CN"/>
        </w:rPr>
        <w:t xml:space="preserve">    </w:t>
      </w:r>
      <w:r>
        <w:rPr>
          <w:rFonts w:hint="eastAsia"/>
          <w:sz w:val="24"/>
          <w:lang w:eastAsia="zh-CN"/>
        </w:rPr>
        <w:t>%增值税专用发票后，甲方15个工作日内支付给乙方80％的验收款（即￥</w:t>
      </w:r>
      <w:r>
        <w:rPr>
          <w:rFonts w:hint="eastAsia"/>
          <w:sz w:val="24"/>
          <w:u w:val="single"/>
          <w:lang w:eastAsia="zh-CN"/>
        </w:rPr>
        <w:t xml:space="preserve">       </w:t>
      </w:r>
      <w:r>
        <w:rPr>
          <w:rFonts w:hint="eastAsia"/>
          <w:sz w:val="24"/>
          <w:lang w:eastAsia="zh-CN"/>
        </w:rPr>
        <w:t>元）。</w:t>
      </w:r>
    </w:p>
    <w:p>
      <w:pPr>
        <w:spacing w:line="360" w:lineRule="auto"/>
        <w:ind w:left="1320" w:hanging="1320" w:hangingChars="550"/>
        <w:rPr>
          <w:sz w:val="24"/>
          <w:lang w:eastAsia="zh-CN"/>
        </w:rPr>
      </w:pPr>
      <w:r>
        <w:rPr>
          <w:rFonts w:hint="eastAsia"/>
          <w:sz w:val="24"/>
          <w:lang w:eastAsia="zh-CN"/>
        </w:rPr>
        <w:t>3、质保款：合同款的10%作为质保金，质保期6个月，质保期满无任何质量问题，甲方15个工作日内无息付清尾款。</w:t>
      </w:r>
    </w:p>
    <w:p>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维修要求：</w:t>
      </w:r>
    </w:p>
    <w:p>
      <w:pPr>
        <w:spacing w:line="360" w:lineRule="auto"/>
        <w:ind w:left="-1" w:leftChars="-1" w:hanging="1"/>
        <w:rPr>
          <w:sz w:val="24"/>
          <w:lang w:eastAsia="zh-CN"/>
        </w:rPr>
      </w:pPr>
      <w:r>
        <w:rPr>
          <w:rFonts w:hint="eastAsia"/>
          <w:color w:val="000000"/>
          <w:sz w:val="24"/>
          <w:lang w:eastAsia="zh-CN"/>
        </w:rPr>
        <w:t>1、</w:t>
      </w:r>
      <w:r>
        <w:rPr>
          <w:color w:val="000000"/>
          <w:sz w:val="24"/>
          <w:lang w:eastAsia="zh-CN"/>
        </w:rPr>
        <w:t>维修地点</w:t>
      </w:r>
      <w:r>
        <w:rPr>
          <w:sz w:val="24"/>
          <w:lang w:eastAsia="zh-CN"/>
        </w:rPr>
        <w:t>：</w:t>
      </w:r>
      <w:r>
        <w:rPr>
          <w:rFonts w:hint="eastAsia"/>
          <w:color w:val="000000"/>
          <w:sz w:val="24"/>
          <w:u w:val="single"/>
          <w:lang w:eastAsia="zh-CN"/>
        </w:rPr>
        <w:t>乙方将阀运回厂里修理</w:t>
      </w:r>
      <w:r>
        <w:rPr>
          <w:rFonts w:hint="eastAsia"/>
          <w:sz w:val="24"/>
          <w:lang w:eastAsia="zh-CN"/>
        </w:rPr>
        <w:t>。</w:t>
      </w:r>
    </w:p>
    <w:p>
      <w:pPr>
        <w:spacing w:line="360" w:lineRule="auto"/>
        <w:ind w:left="2758" w:leftChars="-1" w:hanging="2760" w:hangingChars="1150"/>
        <w:rPr>
          <w:sz w:val="24"/>
          <w:lang w:eastAsia="zh-CN"/>
        </w:rPr>
      </w:pPr>
      <w:r>
        <w:rPr>
          <w:rFonts w:hint="eastAsia"/>
          <w:sz w:val="24"/>
          <w:lang w:eastAsia="zh-CN"/>
        </w:rPr>
        <w:t xml:space="preserve">   维修要求：见附件1“技术协议书”</w:t>
      </w:r>
    </w:p>
    <w:p>
      <w:pPr>
        <w:widowControl/>
        <w:spacing w:line="360" w:lineRule="auto"/>
        <w:ind w:left="-1" w:leftChars="-1" w:hanging="1"/>
        <w:rPr>
          <w:rFonts w:cs="Arial"/>
          <w:sz w:val="24"/>
          <w:lang w:eastAsia="zh-CN"/>
        </w:rPr>
      </w:pPr>
      <w:r>
        <w:rPr>
          <w:rFonts w:hint="eastAsia"/>
          <w:color w:val="000000"/>
          <w:sz w:val="24"/>
          <w:lang w:eastAsia="zh-CN"/>
        </w:rPr>
        <w:t>2、</w:t>
      </w:r>
      <w:r>
        <w:rPr>
          <w:rFonts w:cs="Arial"/>
          <w:sz w:val="24"/>
          <w:lang w:eastAsia="zh-CN"/>
        </w:rPr>
        <w:t>修缮修理的质量要求、技术标准</w:t>
      </w:r>
      <w:r>
        <w:rPr>
          <w:rFonts w:hint="eastAsia" w:cs="Arial"/>
          <w:sz w:val="24"/>
          <w:lang w:eastAsia="zh-CN"/>
        </w:rPr>
        <w:t xml:space="preserve">：以国家标准、行业标准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维修质量标准或者符合该维修整体及各部位的功能及结构目的的特定标准执行。    </w:t>
      </w:r>
    </w:p>
    <w:p>
      <w:pPr>
        <w:adjustRightInd w:val="0"/>
        <w:spacing w:line="360" w:lineRule="auto"/>
        <w:ind w:left="1"/>
        <w:rPr>
          <w:rFonts w:cs="Arial"/>
          <w:sz w:val="24"/>
          <w:lang w:eastAsia="zh-CN"/>
        </w:rPr>
      </w:pPr>
      <w:r>
        <w:rPr>
          <w:rFonts w:hint="eastAsia" w:cs="Arial"/>
          <w:sz w:val="24"/>
          <w:lang w:eastAsia="zh-CN"/>
        </w:rPr>
        <w:t>3、</w:t>
      </w:r>
      <w:r>
        <w:rPr>
          <w:rFonts w:cs="Arial"/>
          <w:sz w:val="24"/>
          <w:lang w:eastAsia="zh-CN"/>
        </w:rPr>
        <w:t>验收标准及方法</w:t>
      </w:r>
      <w:r>
        <w:rPr>
          <w:rFonts w:hint="eastAsia" w:cs="Arial"/>
          <w:sz w:val="24"/>
          <w:lang w:eastAsia="zh-CN"/>
        </w:rPr>
        <w:t>：符合调节阀的</w:t>
      </w:r>
      <w:r>
        <w:rPr>
          <w:rFonts w:hint="eastAsia" w:cs="Arial"/>
          <w:b/>
          <w:sz w:val="24"/>
          <w:lang w:eastAsia="zh-CN"/>
        </w:rPr>
        <w:t>GB</w:t>
      </w:r>
      <w:r>
        <w:rPr>
          <w:rFonts w:hint="eastAsia" w:cs="Arial"/>
          <w:sz w:val="24"/>
          <w:lang w:eastAsia="zh-CN"/>
        </w:rPr>
        <w:t>以及行业等相关标准要求，符合制造厂出厂标准，如经验收与验收标准不符的，甲方可在验收后</w:t>
      </w:r>
      <w:r>
        <w:rPr>
          <w:rFonts w:hint="eastAsia" w:cs="Arial"/>
          <w:sz w:val="24"/>
          <w:u w:val="single"/>
          <w:lang w:eastAsia="zh-CN"/>
        </w:rPr>
        <w:t xml:space="preserve"> 5 </w:t>
      </w:r>
      <w:r>
        <w:rPr>
          <w:rFonts w:hint="eastAsia" w:cs="Arial"/>
          <w:sz w:val="24"/>
          <w:lang w:eastAsia="zh-CN"/>
        </w:rPr>
        <w:t xml:space="preserve"> 个工作日内提出书面异议。乙方收到书面异议后须于</w:t>
      </w:r>
      <w:r>
        <w:rPr>
          <w:rFonts w:hint="eastAsia" w:cs="Arial"/>
          <w:sz w:val="24"/>
          <w:u w:val="single"/>
          <w:lang w:eastAsia="zh-CN"/>
        </w:rPr>
        <w:t xml:space="preserve"> 3</w:t>
      </w:r>
      <w:r>
        <w:rPr>
          <w:rFonts w:hint="eastAsia" w:cs="Arial"/>
          <w:sz w:val="24"/>
          <w:lang w:eastAsia="zh-CN"/>
        </w:rPr>
        <w:t xml:space="preserve"> 个工作日内书面答复并负责处理，否则视为默认甲方提出的异议成立并同意甲方的处理意见，承担相应的法律责任。</w:t>
      </w:r>
    </w:p>
    <w:p>
      <w:pPr>
        <w:widowControl/>
        <w:spacing w:line="360" w:lineRule="auto"/>
        <w:rPr>
          <w:rFonts w:cs="Arial"/>
          <w:sz w:val="24"/>
          <w:u w:val="single"/>
          <w:lang w:eastAsia="zh-CN"/>
        </w:rPr>
      </w:pPr>
      <w:r>
        <w:rPr>
          <w:rFonts w:hint="eastAsia" w:cs="Arial"/>
          <w:sz w:val="24"/>
          <w:lang w:eastAsia="zh-CN"/>
        </w:rPr>
        <w:t>4、</w:t>
      </w:r>
      <w:r>
        <w:rPr>
          <w:rFonts w:cs="Arial"/>
          <w:sz w:val="24"/>
          <w:lang w:eastAsia="zh-CN"/>
        </w:rPr>
        <w:t>包装要求及包装费用负担</w:t>
      </w:r>
      <w:r>
        <w:rPr>
          <w:rFonts w:hint="eastAsia" w:cs="Arial"/>
          <w:sz w:val="24"/>
          <w:lang w:eastAsia="zh-CN"/>
        </w:rPr>
        <w:t>：场外维修的，乙方应当按照足以固定、保护好维修设备的措施包装，费用由乙方承担（已含在维修报价里）。若因乙方包装不善，造成维修设备损坏的，乙方应当照价赔偿。</w:t>
      </w:r>
    </w:p>
    <w:p>
      <w:pPr>
        <w:widowControl/>
        <w:spacing w:line="360" w:lineRule="auto"/>
        <w:rPr>
          <w:rFonts w:cs="Arial"/>
          <w:sz w:val="24"/>
          <w:lang w:eastAsia="zh-CN"/>
        </w:rPr>
      </w:pPr>
      <w:r>
        <w:rPr>
          <w:rFonts w:hint="eastAsia"/>
          <w:sz w:val="24"/>
          <w:lang w:eastAsia="zh-CN"/>
        </w:rPr>
        <w:t>5</w:t>
      </w:r>
      <w:r>
        <w:rPr>
          <w:rFonts w:hint="eastAsia" w:cs="Arial"/>
          <w:sz w:val="24"/>
          <w:lang w:eastAsia="zh-CN"/>
        </w:rPr>
        <w:t>、</w:t>
      </w:r>
      <w:r>
        <w:rPr>
          <w:rFonts w:cs="Arial"/>
          <w:sz w:val="24"/>
          <w:lang w:eastAsia="zh-CN"/>
        </w:rPr>
        <w:t>乙方</w:t>
      </w:r>
      <w:r>
        <w:rPr>
          <w:rFonts w:hint="eastAsia" w:cs="Arial"/>
          <w:sz w:val="24"/>
          <w:lang w:eastAsia="zh-CN"/>
        </w:rPr>
        <w:t>保证</w:t>
      </w:r>
      <w:r>
        <w:rPr>
          <w:rFonts w:cs="Arial"/>
          <w:sz w:val="24"/>
          <w:lang w:eastAsia="zh-CN"/>
        </w:rPr>
        <w:t>为甲方提供的更换部件为</w:t>
      </w:r>
      <w:r>
        <w:rPr>
          <w:rFonts w:hint="eastAsia" w:cs="Arial"/>
          <w:sz w:val="24"/>
          <w:lang w:eastAsia="zh-CN"/>
        </w:rPr>
        <w:t>新</w:t>
      </w:r>
      <w:r>
        <w:rPr>
          <w:rFonts w:cs="Arial"/>
          <w:sz w:val="24"/>
          <w:lang w:eastAsia="zh-CN"/>
        </w:rPr>
        <w:t>部件，如有特殊情况，乙方需在与甲方协商认同后更换与原部件应用功能与技术指标相近的部件。</w:t>
      </w:r>
    </w:p>
    <w:p>
      <w:pPr>
        <w:widowControl/>
        <w:spacing w:line="360" w:lineRule="auto"/>
        <w:ind w:left="1"/>
        <w:rPr>
          <w:sz w:val="24"/>
          <w:lang w:eastAsia="zh-CN"/>
        </w:rPr>
      </w:pPr>
      <w:r>
        <w:rPr>
          <w:rFonts w:hint="eastAsia" w:cs="Arial"/>
          <w:sz w:val="24"/>
          <w:lang w:eastAsia="zh-CN"/>
        </w:rPr>
        <w:t>6、</w:t>
      </w:r>
      <w:r>
        <w:rPr>
          <w:rFonts w:cs="Arial"/>
          <w:sz w:val="24"/>
          <w:lang w:eastAsia="zh-CN"/>
        </w:rPr>
        <w:t>乙方为甲方更换的部件</w:t>
      </w:r>
      <w:r>
        <w:rPr>
          <w:rFonts w:hint="eastAsia" w:cs="Arial"/>
          <w:sz w:val="24"/>
          <w:lang w:eastAsia="zh-CN"/>
        </w:rPr>
        <w:t>、配件</w:t>
      </w:r>
      <w:r>
        <w:rPr>
          <w:rFonts w:cs="Arial"/>
          <w:sz w:val="24"/>
          <w:lang w:eastAsia="zh-CN"/>
        </w:rPr>
        <w:t>在</w:t>
      </w:r>
      <w:r>
        <w:rPr>
          <w:rFonts w:hint="eastAsia" w:cs="Arial"/>
          <w:sz w:val="24"/>
          <w:lang w:eastAsia="zh-CN"/>
        </w:rPr>
        <w:t>上装到调节阀6</w:t>
      </w:r>
      <w:r>
        <w:rPr>
          <w:rFonts w:cs="Arial"/>
          <w:sz w:val="24"/>
          <w:lang w:eastAsia="zh-CN"/>
        </w:rPr>
        <w:t>个月内损坏</w:t>
      </w:r>
      <w:r>
        <w:rPr>
          <w:rFonts w:hint="eastAsia" w:cs="Arial"/>
          <w:sz w:val="24"/>
          <w:lang w:eastAsia="zh-CN"/>
        </w:rPr>
        <w:t>的</w:t>
      </w:r>
      <w:r>
        <w:rPr>
          <w:rFonts w:cs="Arial"/>
          <w:sz w:val="24"/>
          <w:lang w:eastAsia="zh-CN"/>
        </w:rPr>
        <w:t>，乙方</w:t>
      </w:r>
      <w:r>
        <w:rPr>
          <w:rFonts w:hint="eastAsia" w:cs="Arial"/>
          <w:sz w:val="24"/>
          <w:lang w:eastAsia="zh-CN"/>
        </w:rPr>
        <w:t>须</w:t>
      </w:r>
      <w:r>
        <w:rPr>
          <w:rFonts w:cs="Arial"/>
          <w:sz w:val="24"/>
          <w:lang w:eastAsia="zh-CN"/>
        </w:rPr>
        <w:t>为甲方免费更换、维修</w:t>
      </w:r>
      <w:r>
        <w:rPr>
          <w:rFonts w:hint="eastAsia" w:cs="Arial"/>
          <w:sz w:val="24"/>
          <w:lang w:eastAsia="zh-CN"/>
        </w:rPr>
        <w:t>，且承担由此产生的费用</w:t>
      </w:r>
      <w:r>
        <w:rPr>
          <w:rFonts w:cs="Arial"/>
          <w:sz w:val="24"/>
          <w:lang w:eastAsia="zh-CN"/>
        </w:rPr>
        <w:t>。</w:t>
      </w:r>
    </w:p>
    <w:p>
      <w:pPr>
        <w:widowControl/>
        <w:spacing w:line="360" w:lineRule="auto"/>
        <w:ind w:left="1"/>
        <w:rPr>
          <w:rFonts w:cs="Arial"/>
          <w:sz w:val="24"/>
          <w:lang w:eastAsia="zh-CN"/>
        </w:rPr>
      </w:pPr>
      <w:r>
        <w:rPr>
          <w:rFonts w:hint="eastAsia" w:cs="Arial"/>
          <w:sz w:val="24"/>
          <w:lang w:eastAsia="zh-CN"/>
        </w:rPr>
        <w:t>7</w:t>
      </w:r>
      <w:r>
        <w:rPr>
          <w:rFonts w:cs="Arial"/>
          <w:sz w:val="24"/>
          <w:lang w:eastAsia="zh-CN"/>
        </w:rPr>
        <w:t>、</w:t>
      </w:r>
      <w:r>
        <w:rPr>
          <w:rFonts w:hint="eastAsia" w:cs="Arial"/>
          <w:sz w:val="24"/>
          <w:lang w:eastAsia="zh-CN"/>
        </w:rPr>
        <w:t>乙方因维修设备所发生伙食费、差旅费、高速费、过桥费等均由其自行承担，乙方已在报价时给予综合考虑。</w:t>
      </w:r>
    </w:p>
    <w:p>
      <w:pPr>
        <w:widowControl/>
        <w:spacing w:line="360" w:lineRule="auto"/>
        <w:ind w:left="470" w:hanging="470" w:hangingChars="195"/>
        <w:rPr>
          <w:sz w:val="24"/>
          <w:lang w:eastAsia="zh-CN"/>
        </w:rPr>
      </w:pPr>
      <w:r>
        <w:rPr>
          <w:b/>
          <w:color w:val="000000"/>
          <w:sz w:val="24"/>
          <w:lang w:eastAsia="zh-CN"/>
        </w:rPr>
        <w:t>四、</w:t>
      </w:r>
      <w:r>
        <w:rPr>
          <w:color w:val="000000"/>
          <w:sz w:val="24"/>
          <w:lang w:eastAsia="zh-CN"/>
        </w:rPr>
        <w:t>修复设备的交付方式</w:t>
      </w:r>
      <w:r>
        <w:rPr>
          <w:rFonts w:hint="eastAsia"/>
          <w:color w:val="000000"/>
          <w:sz w:val="24"/>
          <w:lang w:eastAsia="zh-CN"/>
        </w:rPr>
        <w:t>（运输方式）</w:t>
      </w:r>
      <w:r>
        <w:rPr>
          <w:color w:val="000000"/>
          <w:sz w:val="24"/>
          <w:lang w:eastAsia="zh-CN"/>
        </w:rPr>
        <w:t>、地点：</w:t>
      </w:r>
      <w:r>
        <w:rPr>
          <w:color w:val="000000"/>
          <w:sz w:val="24"/>
          <w:u w:val="single"/>
          <w:lang w:eastAsia="zh-CN"/>
        </w:rPr>
        <w:t>_</w:t>
      </w:r>
      <w:r>
        <w:rPr>
          <w:rFonts w:hint="eastAsia"/>
          <w:color w:val="000000"/>
          <w:sz w:val="24"/>
          <w:u w:val="single"/>
          <w:lang w:eastAsia="zh-CN"/>
        </w:rPr>
        <w:t>乙方至甲方现场提取调节阀，维修后再运到甲方现场。</w:t>
      </w:r>
    </w:p>
    <w:p>
      <w:pPr>
        <w:widowControl/>
        <w:spacing w:line="360" w:lineRule="auto"/>
        <w:ind w:left="472" w:hanging="472" w:hangingChars="196"/>
        <w:rPr>
          <w:color w:val="000000"/>
          <w:sz w:val="24"/>
          <w:lang w:eastAsia="zh-CN"/>
        </w:rPr>
      </w:pPr>
      <w:r>
        <w:rPr>
          <w:b/>
          <w:color w:val="000000"/>
          <w:sz w:val="24"/>
          <w:lang w:eastAsia="zh-CN"/>
        </w:rPr>
        <w:t>五、</w:t>
      </w:r>
      <w:r>
        <w:rPr>
          <w:rFonts w:hint="eastAsia"/>
          <w:color w:val="000000"/>
          <w:sz w:val="24"/>
          <w:lang w:eastAsia="zh-CN"/>
        </w:rPr>
        <w:t>乙</w:t>
      </w:r>
      <w:r>
        <w:rPr>
          <w:color w:val="000000"/>
          <w:sz w:val="24"/>
          <w:lang w:eastAsia="zh-CN"/>
        </w:rPr>
        <w:t>方实施</w:t>
      </w:r>
      <w:r>
        <w:rPr>
          <w:rFonts w:hint="eastAsia"/>
          <w:color w:val="000000"/>
          <w:sz w:val="24"/>
          <w:lang w:eastAsia="zh-CN"/>
        </w:rPr>
        <w:t>场外</w:t>
      </w:r>
      <w:r>
        <w:rPr>
          <w:color w:val="000000"/>
          <w:sz w:val="24"/>
          <w:lang w:eastAsia="zh-CN"/>
        </w:rPr>
        <w:t>维修</w:t>
      </w:r>
      <w:r>
        <w:rPr>
          <w:rFonts w:hint="eastAsia"/>
          <w:color w:val="000000"/>
          <w:sz w:val="24"/>
          <w:lang w:eastAsia="zh-CN"/>
        </w:rPr>
        <w:t>的</w:t>
      </w:r>
      <w:r>
        <w:rPr>
          <w:color w:val="000000"/>
          <w:sz w:val="24"/>
          <w:lang w:eastAsia="zh-CN"/>
        </w:rPr>
        <w:t>，在</w:t>
      </w:r>
      <w:r>
        <w:rPr>
          <w:rFonts w:hint="eastAsia"/>
          <w:color w:val="000000"/>
          <w:sz w:val="24"/>
          <w:lang w:eastAsia="zh-CN"/>
        </w:rPr>
        <w:t>合同签订生效后，调节阀出厂</w:t>
      </w:r>
      <w:r>
        <w:rPr>
          <w:color w:val="000000"/>
          <w:sz w:val="24"/>
          <w:u w:val="single"/>
          <w:lang w:eastAsia="zh-CN"/>
        </w:rPr>
        <w:t>_</w:t>
      </w:r>
      <w:r>
        <w:rPr>
          <w:rFonts w:hint="eastAsia"/>
          <w:color w:val="000000"/>
          <w:sz w:val="24"/>
          <w:u w:val="single"/>
          <w:lang w:eastAsia="zh-CN"/>
        </w:rPr>
        <w:t>20天</w:t>
      </w:r>
      <w:r>
        <w:rPr>
          <w:color w:val="000000"/>
          <w:sz w:val="24"/>
          <w:lang w:eastAsia="zh-CN"/>
        </w:rPr>
        <w:t>内修复并按第四条中规定的方式</w:t>
      </w:r>
      <w:r>
        <w:rPr>
          <w:rFonts w:hint="eastAsia"/>
          <w:color w:val="000000"/>
          <w:sz w:val="24"/>
          <w:lang w:eastAsia="zh-CN"/>
        </w:rPr>
        <w:t>送达甲方</w:t>
      </w:r>
      <w:r>
        <w:rPr>
          <w:color w:val="000000"/>
          <w:sz w:val="24"/>
          <w:lang w:eastAsia="zh-CN"/>
        </w:rPr>
        <w:t>。</w:t>
      </w:r>
      <w:r>
        <w:rPr>
          <w:rFonts w:hint="eastAsia"/>
          <w:color w:val="000000"/>
          <w:sz w:val="24"/>
          <w:lang w:eastAsia="zh-CN"/>
        </w:rPr>
        <w:t>以上修复期限经甲方同意延期或因甲方原因造成延期的，按甲方确认的日期顺延。</w:t>
      </w:r>
    </w:p>
    <w:p>
      <w:pPr>
        <w:widowControl/>
        <w:spacing w:line="360" w:lineRule="auto"/>
        <w:ind w:left="472" w:hanging="472" w:hangingChars="196"/>
        <w:rPr>
          <w:color w:val="000000"/>
          <w:sz w:val="24"/>
          <w:lang w:eastAsia="zh-CN"/>
        </w:rPr>
      </w:pPr>
      <w:r>
        <w:rPr>
          <w:b/>
          <w:color w:val="000000"/>
          <w:sz w:val="24"/>
          <w:lang w:eastAsia="zh-CN"/>
        </w:rPr>
        <w:t>六、</w:t>
      </w:r>
      <w:r>
        <w:rPr>
          <w:color w:val="000000"/>
          <w:sz w:val="24"/>
          <w:lang w:eastAsia="zh-CN"/>
        </w:rPr>
        <w:t>设备修复后，对于该设备的同一故障，</w:t>
      </w:r>
      <w:r>
        <w:rPr>
          <w:rFonts w:hint="eastAsia"/>
          <w:color w:val="000000"/>
          <w:sz w:val="24"/>
          <w:lang w:eastAsia="zh-CN"/>
        </w:rPr>
        <w:t>乙</w:t>
      </w:r>
      <w:r>
        <w:rPr>
          <w:color w:val="000000"/>
          <w:sz w:val="24"/>
          <w:lang w:eastAsia="zh-CN"/>
        </w:rPr>
        <w:t>方提供</w:t>
      </w:r>
      <w:r>
        <w:rPr>
          <w:rFonts w:hint="eastAsia"/>
          <w:color w:val="000000"/>
          <w:sz w:val="24"/>
          <w:u w:val="single"/>
          <w:lang w:eastAsia="zh-CN"/>
        </w:rPr>
        <w:t xml:space="preserve"> 6</w:t>
      </w:r>
      <w:r>
        <w:rPr>
          <w:color w:val="000000"/>
          <w:sz w:val="24"/>
          <w:lang w:eastAsia="zh-CN"/>
        </w:rPr>
        <w:t>个月的</w:t>
      </w:r>
      <w:r>
        <w:rPr>
          <w:rFonts w:hint="eastAsia"/>
          <w:color w:val="000000"/>
          <w:sz w:val="24"/>
          <w:lang w:eastAsia="zh-CN"/>
        </w:rPr>
        <w:t>免费</w:t>
      </w:r>
      <w:r>
        <w:rPr>
          <w:color w:val="000000"/>
          <w:sz w:val="24"/>
          <w:lang w:eastAsia="zh-CN"/>
        </w:rPr>
        <w:t>保修</w:t>
      </w:r>
      <w:r>
        <w:rPr>
          <w:rFonts w:hint="eastAsia"/>
          <w:color w:val="000000"/>
          <w:sz w:val="24"/>
          <w:lang w:eastAsia="zh-CN"/>
        </w:rPr>
        <w:t>，自验收合格之日起起算。</w:t>
      </w:r>
    </w:p>
    <w:p>
      <w:pPr>
        <w:widowControl/>
        <w:spacing w:line="360" w:lineRule="auto"/>
        <w:ind w:left="472" w:hanging="472" w:hangingChars="196"/>
        <w:rPr>
          <w:color w:val="000000"/>
          <w:sz w:val="24"/>
          <w:lang w:eastAsia="zh-CN"/>
        </w:rPr>
      </w:pPr>
      <w:r>
        <w:rPr>
          <w:rFonts w:hint="eastAsia"/>
          <w:b/>
          <w:color w:val="000000"/>
          <w:sz w:val="24"/>
          <w:lang w:eastAsia="zh-CN"/>
        </w:rPr>
        <w:t>七、</w:t>
      </w:r>
      <w:r>
        <w:rPr>
          <w:rFonts w:hint="eastAsia"/>
          <w:color w:val="000000"/>
          <w:sz w:val="24"/>
          <w:lang w:eastAsia="zh-CN"/>
        </w:rPr>
        <w:t>需场外维修的设备，设备从离开甲方到修复送达甲方期间，设备的损坏灭失的风险由乙方承担，并向甲方承担损失赔偿责任。</w:t>
      </w:r>
    </w:p>
    <w:p>
      <w:pPr>
        <w:widowControl/>
        <w:spacing w:line="360" w:lineRule="auto"/>
        <w:ind w:left="472" w:hanging="472" w:hangingChars="196"/>
        <w:rPr>
          <w:color w:val="000000"/>
          <w:sz w:val="24"/>
          <w:lang w:eastAsia="zh-CN"/>
        </w:rPr>
      </w:pPr>
      <w:r>
        <w:rPr>
          <w:rFonts w:hint="eastAsia"/>
          <w:b/>
          <w:color w:val="000000"/>
          <w:sz w:val="24"/>
          <w:lang w:eastAsia="zh-CN"/>
        </w:rPr>
        <w:t>八、特别约定：</w:t>
      </w:r>
      <w:r>
        <w:rPr>
          <w:rFonts w:hint="eastAsia"/>
          <w:color w:val="000000"/>
          <w:sz w:val="24"/>
          <w:lang w:eastAsia="zh-CN"/>
        </w:rPr>
        <w:t>无</w:t>
      </w:r>
    </w:p>
    <w:p>
      <w:pPr>
        <w:widowControl/>
        <w:spacing w:line="360" w:lineRule="auto"/>
        <w:ind w:left="472" w:hanging="472" w:hangingChars="196"/>
        <w:rPr>
          <w:color w:val="000000"/>
          <w:sz w:val="24"/>
          <w:lang w:eastAsia="zh-CN"/>
        </w:rPr>
      </w:pPr>
      <w:r>
        <w:rPr>
          <w:rFonts w:hint="eastAsia"/>
          <w:b/>
          <w:color w:val="000000"/>
          <w:sz w:val="24"/>
          <w:lang w:eastAsia="zh-CN"/>
        </w:rPr>
        <w:t>九、不可抗力：</w:t>
      </w:r>
      <w:r>
        <w:rPr>
          <w:rFonts w:hint="eastAsia"/>
          <w:color w:val="000000"/>
          <w:sz w:val="24"/>
          <w:lang w:eastAsia="zh-CN"/>
        </w:rPr>
        <w:t>在合同履行过程中，双方的任何一方由于不可抗力的原因不能履行合同时应于该原因/事件发生后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pPr>
        <w:widowControl/>
        <w:spacing w:line="360" w:lineRule="auto"/>
        <w:rPr>
          <w:b/>
          <w:color w:val="000000"/>
          <w:sz w:val="24"/>
          <w:lang w:eastAsia="zh-CN"/>
        </w:rPr>
      </w:pPr>
      <w:r>
        <w:rPr>
          <w:rFonts w:hint="eastAsia"/>
          <w:b/>
          <w:color w:val="000000"/>
          <w:sz w:val="24"/>
          <w:lang w:eastAsia="zh-CN"/>
        </w:rPr>
        <w:t>十</w:t>
      </w:r>
      <w:r>
        <w:rPr>
          <w:b/>
          <w:color w:val="000000"/>
          <w:sz w:val="24"/>
          <w:lang w:eastAsia="zh-CN"/>
        </w:rPr>
        <w:t>、违约责任：</w:t>
      </w:r>
    </w:p>
    <w:p>
      <w:pPr>
        <w:spacing w:line="360" w:lineRule="auto"/>
        <w:rPr>
          <w:color w:val="000000"/>
          <w:sz w:val="24"/>
          <w:lang w:eastAsia="zh-CN"/>
        </w:rPr>
      </w:pPr>
      <w:r>
        <w:rPr>
          <w:color w:val="000000"/>
          <w:sz w:val="24"/>
          <w:lang w:eastAsia="zh-CN"/>
        </w:rPr>
        <w:t>1</w:t>
      </w:r>
      <w:r>
        <w:rPr>
          <w:rFonts w:hint="eastAsia"/>
          <w:color w:val="000000"/>
          <w:sz w:val="24"/>
          <w:lang w:eastAsia="zh-CN"/>
        </w:rPr>
        <w:t>、乙方逾期修复调节阀的，每逾期一日应缴纳维修费用总金额的</w:t>
      </w:r>
      <w:r>
        <w:rPr>
          <w:rFonts w:hint="eastAsia"/>
          <w:color w:val="000000"/>
          <w:sz w:val="24"/>
          <w:u w:val="single"/>
          <w:lang w:eastAsia="zh-CN"/>
        </w:rPr>
        <w:t xml:space="preserve">0.1 </w:t>
      </w:r>
      <w:r>
        <w:rPr>
          <w:rFonts w:hint="eastAsia"/>
          <w:color w:val="000000"/>
          <w:sz w:val="24"/>
          <w:lang w:eastAsia="zh-CN"/>
        </w:rPr>
        <w:t>%作为逾期违约金，违约金从维修款里直接扣除。</w:t>
      </w:r>
    </w:p>
    <w:p>
      <w:pPr>
        <w:spacing w:line="360" w:lineRule="auto"/>
        <w:rPr>
          <w:color w:val="000000"/>
          <w:sz w:val="24"/>
          <w:lang w:eastAsia="zh-CN"/>
        </w:rPr>
      </w:pPr>
      <w:r>
        <w:rPr>
          <w:color w:val="000000"/>
          <w:sz w:val="24"/>
          <w:lang w:eastAsia="zh-CN"/>
        </w:rPr>
        <w:t>2</w:t>
      </w:r>
      <w:r>
        <w:rPr>
          <w:rFonts w:hint="eastAsia"/>
          <w:color w:val="000000"/>
          <w:sz w:val="24"/>
          <w:lang w:eastAsia="zh-CN"/>
        </w:rPr>
        <w:t>、乙方所交付的修复后的调节阀如不符合本合同约定的，按照本合同第三条第3项有关约定处理，且甲方无需支付相应维修费。</w:t>
      </w:r>
    </w:p>
    <w:p>
      <w:pPr>
        <w:spacing w:line="360" w:lineRule="auto"/>
        <w:rPr>
          <w:color w:val="000000"/>
          <w:sz w:val="24"/>
          <w:lang w:eastAsia="zh-CN"/>
        </w:rPr>
      </w:pPr>
      <w:r>
        <w:rPr>
          <w:rFonts w:hint="eastAsia"/>
          <w:color w:val="000000"/>
          <w:sz w:val="24"/>
          <w:lang w:eastAsia="zh-CN"/>
        </w:rPr>
        <w:t>3、任何一方无正当理由单方解约的，视同违约，违约一方应按维修费用总金额的</w:t>
      </w:r>
      <w:r>
        <w:rPr>
          <w:rFonts w:hint="eastAsia"/>
          <w:color w:val="000000"/>
          <w:sz w:val="24"/>
          <w:u w:val="single"/>
          <w:lang w:eastAsia="zh-CN"/>
        </w:rPr>
        <w:t>2</w:t>
      </w:r>
      <w:r>
        <w:rPr>
          <w:color w:val="000000"/>
          <w:sz w:val="24"/>
          <w:u w:val="single"/>
          <w:lang w:eastAsia="zh-CN"/>
        </w:rPr>
        <w:t>0%</w:t>
      </w:r>
      <w:r>
        <w:rPr>
          <w:rFonts w:hint="eastAsia"/>
          <w:color w:val="000000"/>
          <w:sz w:val="24"/>
          <w:lang w:eastAsia="zh-CN"/>
        </w:rPr>
        <w:t>向另一方偿付违约金及赔偿对方因此产生的损失。</w:t>
      </w:r>
    </w:p>
    <w:p>
      <w:pPr>
        <w:spacing w:line="360" w:lineRule="auto"/>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4、因乙方不能及时履行合同所规定的服务条款，并对甲方工作造成严重延误时，甲方有权解除合同，乙方须按维修费用总额的</w:t>
      </w:r>
      <w:r>
        <w:rPr>
          <w:rFonts w:hint="eastAsia"/>
          <w:color w:val="000000"/>
          <w:sz w:val="24"/>
          <w:u w:val="single"/>
          <w:lang w:eastAsia="zh-CN"/>
        </w:rPr>
        <w:t>20%</w:t>
      </w:r>
      <w:r>
        <w:rPr>
          <w:rFonts w:hint="eastAsia"/>
          <w:color w:val="000000"/>
          <w:sz w:val="24"/>
          <w:lang w:eastAsia="zh-CN"/>
        </w:rPr>
        <w:t>向甲方偿付违约金及赔偿因此给甲方造成的损失。</w:t>
      </w:r>
    </w:p>
    <w:p>
      <w:pPr>
        <w:spacing w:line="360" w:lineRule="auto"/>
        <w:rPr>
          <w:color w:val="000000"/>
          <w:sz w:val="24"/>
          <w:lang w:eastAsia="zh-CN"/>
        </w:rPr>
      </w:pPr>
      <w:r>
        <w:rPr>
          <w:rFonts w:hint="eastAsia"/>
          <w:color w:val="000000"/>
          <w:sz w:val="24"/>
          <w:lang w:eastAsia="zh-CN"/>
        </w:rPr>
        <w:t>5、因乙方工作失误导致甲方设备损坏，乙方应赔偿甲方相应零件并负责修复工作，且由此造成逾期修复的，按逾期修复承担责任。</w:t>
      </w:r>
    </w:p>
    <w:p>
      <w:pPr>
        <w:pStyle w:val="2"/>
        <w:spacing w:line="360" w:lineRule="auto"/>
        <w:rPr>
          <w:sz w:val="24"/>
          <w:szCs w:val="24"/>
        </w:rPr>
      </w:pPr>
      <w:r>
        <w:rPr>
          <w:rFonts w:hint="eastAsia"/>
          <w:sz w:val="24"/>
          <w:szCs w:val="24"/>
        </w:rPr>
        <w:t>6、如甲方逾期付款，按全国银行间同业拆借中心公布的贷款市场报价利率向乙方支付利息</w:t>
      </w:r>
      <w:r>
        <w:rPr>
          <w:rFonts w:hint="eastAsia"/>
          <w:sz w:val="24"/>
        </w:rPr>
        <w:t>。</w:t>
      </w:r>
    </w:p>
    <w:p>
      <w:pPr>
        <w:spacing w:line="360" w:lineRule="auto"/>
        <w:ind w:left="24"/>
        <w:rPr>
          <w:color w:val="000000"/>
          <w:sz w:val="24"/>
          <w:lang w:eastAsia="zh-CN"/>
        </w:rPr>
      </w:pPr>
      <w:r>
        <w:rPr>
          <w:rFonts w:hint="eastAsia"/>
          <w:color w:val="000000"/>
          <w:sz w:val="24"/>
          <w:lang w:eastAsia="zh-CN"/>
        </w:rPr>
        <w:t>上述违约金、赔偿金及其他各种损失，甲方可扣付维修费用充抵，不足部分，可另行向乙方追索。</w:t>
      </w:r>
    </w:p>
    <w:p>
      <w:pPr>
        <w:widowControl/>
        <w:spacing w:line="360" w:lineRule="auto"/>
        <w:ind w:left="472" w:hanging="472" w:hangingChars="196"/>
        <w:rPr>
          <w:color w:val="000000"/>
          <w:sz w:val="24"/>
          <w:lang w:eastAsia="zh-CN"/>
        </w:rPr>
      </w:pPr>
      <w:r>
        <w:rPr>
          <w:rFonts w:hint="eastAsia"/>
          <w:b/>
          <w:color w:val="000000"/>
          <w:sz w:val="24"/>
          <w:lang w:eastAsia="zh-CN"/>
        </w:rPr>
        <w:t>十一</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pPr>
        <w:spacing w:line="360" w:lineRule="auto"/>
        <w:rPr>
          <w:color w:val="000000"/>
          <w:sz w:val="24"/>
          <w:lang w:eastAsia="zh-CN"/>
        </w:rPr>
      </w:pPr>
      <w:r>
        <w:rPr>
          <w:rFonts w:hint="eastAsia"/>
          <w:b/>
          <w:color w:val="000000"/>
          <w:sz w:val="24"/>
          <w:lang w:eastAsia="zh-CN"/>
        </w:rPr>
        <w:t>十二、廉洁条款：</w:t>
      </w:r>
      <w:r>
        <w:rPr>
          <w:color w:val="000000"/>
          <w:sz w:val="24"/>
          <w:lang w:eastAsia="zh-CN"/>
        </w:rPr>
        <w:t>严禁乙方以任何方式向甲方人员提供私人便利、行贿</w:t>
      </w:r>
      <w:r>
        <w:rPr>
          <w:rFonts w:hint="eastAsia"/>
          <w:color w:val="000000"/>
          <w:sz w:val="24"/>
          <w:lang w:eastAsia="zh-CN"/>
        </w:rPr>
        <w:t>、赠送礼金、礼品等私利</w:t>
      </w:r>
      <w:r>
        <w:rPr>
          <w:color w:val="000000"/>
          <w:sz w:val="24"/>
          <w:lang w:eastAsia="zh-CN"/>
        </w:rPr>
        <w:t>或进行非正常商务宴请。如果出现乙方在</w:t>
      </w:r>
      <w:r>
        <w:rPr>
          <w:rFonts w:hint="eastAsia"/>
          <w:color w:val="000000"/>
          <w:sz w:val="24"/>
          <w:lang w:eastAsia="zh-CN"/>
        </w:rPr>
        <w:t>合同签订或</w:t>
      </w:r>
      <w:r>
        <w:rPr>
          <w:color w:val="000000"/>
          <w:sz w:val="24"/>
          <w:lang w:eastAsia="zh-CN"/>
        </w:rPr>
        <w:t>履约过程进行私下</w:t>
      </w:r>
      <w:r>
        <w:rPr>
          <w:rFonts w:hint="eastAsia"/>
          <w:color w:val="000000"/>
          <w:sz w:val="24"/>
          <w:lang w:eastAsia="zh-CN"/>
        </w:rPr>
        <w:t>宴请</w:t>
      </w:r>
      <w:r>
        <w:rPr>
          <w:color w:val="000000"/>
          <w:sz w:val="24"/>
          <w:lang w:eastAsia="zh-CN"/>
        </w:rPr>
        <w:t>、向甲方人员提供私人便利、行贿等一切非正常的经济活动</w:t>
      </w:r>
      <w:r>
        <w:rPr>
          <w:rFonts w:hint="eastAsia"/>
          <w:color w:val="000000"/>
          <w:sz w:val="24"/>
          <w:lang w:eastAsia="zh-CN"/>
        </w:rPr>
        <w:t>，</w:t>
      </w:r>
      <w:r>
        <w:rPr>
          <w:color w:val="000000"/>
          <w:sz w:val="24"/>
          <w:lang w:eastAsia="zh-CN"/>
        </w:rPr>
        <w:t>一经查实，甲方有权单方解除合同，</w:t>
      </w:r>
      <w:r>
        <w:rPr>
          <w:rFonts w:hint="eastAsia"/>
          <w:color w:val="000000"/>
          <w:sz w:val="24"/>
          <w:lang w:eastAsia="zh-CN"/>
        </w:rPr>
        <w:t>并根据具体情节对乙方处以合同总价50％的违约金，</w:t>
      </w:r>
      <w:r>
        <w:rPr>
          <w:color w:val="000000"/>
          <w:sz w:val="24"/>
          <w:lang w:eastAsia="zh-CN"/>
        </w:rPr>
        <w:t>因解除相关合同给甲方造成损失的，由乙方承担赔偿责任；同时，乙方如有</w:t>
      </w:r>
      <w:r>
        <w:rPr>
          <w:rFonts w:hint="eastAsia"/>
          <w:color w:val="000000"/>
          <w:sz w:val="24"/>
          <w:lang w:eastAsia="zh-CN"/>
        </w:rPr>
        <w:t>其它</w:t>
      </w:r>
      <w:r>
        <w:rPr>
          <w:color w:val="000000"/>
          <w:sz w:val="24"/>
          <w:lang w:eastAsia="zh-CN"/>
        </w:rPr>
        <w:t>违约，仍须承担违约责任。</w:t>
      </w:r>
    </w:p>
    <w:p>
      <w:pPr>
        <w:spacing w:line="360" w:lineRule="auto"/>
        <w:rPr>
          <w:color w:val="000000"/>
          <w:sz w:val="24"/>
          <w:lang w:eastAsia="zh-CN"/>
        </w:rPr>
      </w:pPr>
      <w:r>
        <w:rPr>
          <w:b/>
          <w:color w:val="000000"/>
          <w:sz w:val="24"/>
          <w:lang w:eastAsia="zh-CN"/>
        </w:rPr>
        <w:t>十</w:t>
      </w:r>
      <w:r>
        <w:rPr>
          <w:rFonts w:hint="eastAsia"/>
          <w:b/>
          <w:color w:val="000000"/>
          <w:sz w:val="24"/>
          <w:lang w:eastAsia="zh-CN"/>
        </w:rPr>
        <w:t>三</w:t>
      </w:r>
      <w:r>
        <w:rPr>
          <w:b/>
          <w:color w:val="000000"/>
          <w:sz w:val="24"/>
          <w:lang w:eastAsia="zh-CN"/>
        </w:rPr>
        <w:t>、</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pPr>
        <w:widowControl/>
        <w:spacing w:line="360" w:lineRule="auto"/>
        <w:ind w:left="708" w:hanging="708" w:hangingChars="294"/>
        <w:rPr>
          <w:color w:val="000000"/>
          <w:sz w:val="24"/>
          <w:lang w:eastAsia="zh-CN"/>
        </w:rPr>
      </w:pPr>
      <w:r>
        <w:rPr>
          <w:b/>
          <w:color w:val="000000"/>
          <w:sz w:val="24"/>
          <w:lang w:eastAsia="zh-CN"/>
        </w:rPr>
        <w:t>十</w:t>
      </w:r>
      <w:r>
        <w:rPr>
          <w:rFonts w:hint="eastAsia"/>
          <w:b/>
          <w:color w:val="000000"/>
          <w:sz w:val="24"/>
          <w:lang w:eastAsia="zh-CN"/>
        </w:rPr>
        <w:t>四</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具有同等法律效力。</w:t>
      </w:r>
    </w:p>
    <w:p>
      <w:pPr>
        <w:pStyle w:val="4"/>
        <w:tabs>
          <w:tab w:val="left" w:pos="630"/>
          <w:tab w:val="left" w:pos="840"/>
        </w:tabs>
        <w:spacing w:line="360" w:lineRule="auto"/>
        <w:ind w:left="0"/>
        <w:rPr>
          <w:bCs w:val="0"/>
          <w:color w:val="000000"/>
          <w:lang w:eastAsia="zh-CN"/>
        </w:rPr>
      </w:pPr>
      <w:r>
        <w:rPr>
          <w:rFonts w:hint="eastAsia"/>
          <w:bCs w:val="0"/>
          <w:color w:val="000000"/>
          <w:lang w:eastAsia="zh-CN"/>
        </w:rPr>
        <w:t>十五、附件:</w:t>
      </w:r>
    </w:p>
    <w:p>
      <w:pPr>
        <w:pStyle w:val="45"/>
        <w:numPr>
          <w:ilvl w:val="0"/>
          <w:numId w:val="7"/>
        </w:numPr>
        <w:overflowPunct w:val="0"/>
        <w:adjustRightInd w:val="0"/>
        <w:spacing w:before="0" w:line="360" w:lineRule="auto"/>
        <w:textAlignment w:val="baseline"/>
        <w:rPr>
          <w:color w:val="000000"/>
          <w:sz w:val="24"/>
          <w:lang w:eastAsia="zh-CN"/>
        </w:rPr>
      </w:pPr>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pPr>
        <w:pStyle w:val="45"/>
        <w:numPr>
          <w:ilvl w:val="0"/>
          <w:numId w:val="7"/>
        </w:numPr>
        <w:overflowPunct w:val="0"/>
        <w:adjustRightInd w:val="0"/>
        <w:spacing w:before="0" w:line="360" w:lineRule="auto"/>
        <w:textAlignment w:val="baseline"/>
        <w:rPr>
          <w:sz w:val="24"/>
          <w:lang w:eastAsia="zh-CN"/>
        </w:rPr>
      </w:pPr>
      <w:r>
        <w:rPr>
          <w:rFonts w:hint="eastAsia"/>
          <w:sz w:val="24"/>
          <w:lang w:eastAsia="zh-CN"/>
        </w:rPr>
        <w:t>附件作为本合同组成部分，与本合同具有同等法律效力。</w:t>
      </w:r>
    </w:p>
    <w:p>
      <w:pPr>
        <w:ind w:left="360"/>
        <w:rPr>
          <w:rFonts w:hint="eastAsia"/>
          <w:sz w:val="24"/>
          <w:lang w:eastAsia="zh-CN"/>
        </w:rPr>
      </w:pPr>
      <w:r>
        <w:rPr>
          <w:rFonts w:hint="eastAsia"/>
          <w:sz w:val="24"/>
          <w:lang w:eastAsia="zh-CN"/>
        </w:rPr>
        <w:t>附件1:技术协议书</w:t>
      </w:r>
    </w:p>
    <w:p>
      <w:pPr>
        <w:ind w:left="1683" w:leftChars="165" w:hanging="1320" w:hangingChars="550"/>
        <w:rPr>
          <w:sz w:val="24"/>
          <w:lang w:eastAsia="zh-CN"/>
        </w:rPr>
      </w:pPr>
      <w:r>
        <w:rPr>
          <w:rFonts w:hint="eastAsia"/>
          <w:sz w:val="24"/>
          <w:lang w:eastAsia="zh-CN"/>
        </w:rPr>
        <w:t>附件2:</w:t>
      </w:r>
      <w:r>
        <w:rPr>
          <w:rFonts w:hint="eastAsia" w:cs="Arial"/>
          <w:sz w:val="24"/>
          <w:lang w:eastAsia="zh-CN"/>
        </w:rPr>
        <w:t>安全环保协议</w:t>
      </w:r>
    </w:p>
    <w:p>
      <w:pPr>
        <w:ind w:firstLine="360" w:firstLineChars="150"/>
        <w:rPr>
          <w:rFonts w:cs="Arial"/>
          <w:sz w:val="24"/>
          <w:lang w:eastAsia="zh-CN"/>
        </w:rPr>
      </w:pPr>
    </w:p>
    <w:p>
      <w:pPr>
        <w:rPr>
          <w:rFonts w:cs="Arial"/>
          <w:b/>
          <w:sz w:val="24"/>
          <w:lang w:eastAsia="zh-CN"/>
        </w:rPr>
      </w:pPr>
      <w:r>
        <w:rPr>
          <w:rFonts w:hint="eastAsia" w:cs="Arial"/>
          <w:b/>
          <w:sz w:val="24"/>
          <w:lang w:eastAsia="zh-CN"/>
        </w:rPr>
        <w:t>（本页为签署栏，无正文）</w:t>
      </w:r>
    </w:p>
    <w:p>
      <w:pPr>
        <w:rPr>
          <w:rFonts w:cs="Arial"/>
          <w:b/>
          <w:sz w:val="24"/>
          <w:lang w:eastAsia="zh-CN"/>
        </w:rPr>
      </w:pPr>
    </w:p>
    <w:p>
      <w:pPr>
        <w:spacing w:line="360" w:lineRule="auto"/>
        <w:rPr>
          <w:sz w:val="24"/>
          <w:lang w:eastAsia="zh-CN"/>
        </w:rPr>
      </w:pPr>
    </w:p>
    <w:p>
      <w:pPr>
        <w:spacing w:line="360" w:lineRule="auto"/>
        <w:rPr>
          <w:rFonts w:cs="Arial"/>
          <w:b/>
          <w:sz w:val="24"/>
        </w:rPr>
      </w:pPr>
      <w:r>
        <w:rPr>
          <w:rFonts w:hint="eastAsia" w:cs="Arial"/>
          <w:b/>
          <w:sz w:val="24"/>
        </w:rPr>
        <w:t>委托</w:t>
      </w:r>
      <w:r>
        <w:rPr>
          <w:rFonts w:cs="Arial"/>
          <w:b/>
          <w:sz w:val="24"/>
        </w:rPr>
        <w:t>方</w:t>
      </w:r>
      <w:r>
        <w:rPr>
          <w:rFonts w:hint="eastAsia" w:cs="Arial"/>
          <w:b/>
          <w:sz w:val="24"/>
        </w:rPr>
        <w:t>（甲方）</w:t>
      </w:r>
      <w:r>
        <w:rPr>
          <w:rFonts w:cs="Arial"/>
          <w:b/>
          <w:sz w:val="24"/>
        </w:rPr>
        <w:t>：</w:t>
      </w:r>
      <w:r>
        <w:rPr>
          <w:rFonts w:hint="eastAsia" w:cs="Arial"/>
          <w:b/>
          <w:sz w:val="24"/>
        </w:rPr>
        <w:t xml:space="preserve">                     受托</w:t>
      </w:r>
      <w:r>
        <w:rPr>
          <w:rFonts w:cs="Arial"/>
          <w:b/>
          <w:sz w:val="24"/>
        </w:rPr>
        <w:t>方</w:t>
      </w:r>
      <w:r>
        <w:rPr>
          <w:rFonts w:hint="eastAsia" w:cs="Arial"/>
          <w:b/>
          <w:sz w:val="24"/>
        </w:rPr>
        <w:t>（乙方）</w:t>
      </w:r>
      <w:r>
        <w:rPr>
          <w:rFonts w:cs="Arial"/>
          <w:b/>
          <w:sz w:val="24"/>
        </w:rPr>
        <w:t>：</w:t>
      </w:r>
    </w:p>
    <w:p>
      <w:pPr>
        <w:spacing w:line="360" w:lineRule="auto"/>
        <w:rPr>
          <w:rFonts w:cs="Arial" w:asciiTheme="majorEastAsia" w:hAnsiTheme="majorEastAsia" w:eastAsiaTheme="majorEastAsia"/>
          <w:b/>
          <w:sz w:val="24"/>
          <w:lang w:eastAsia="zh-CN"/>
        </w:rPr>
      </w:pPr>
      <w:r>
        <w:rPr>
          <w:rFonts w:hint="eastAsia"/>
          <w:b/>
          <w:sz w:val="24"/>
          <w:lang w:eastAsia="zh-CN"/>
        </w:rPr>
        <w:t>腾龙芳烃（漳州）有限公司</w:t>
      </w:r>
      <w:r>
        <w:rPr>
          <w:rFonts w:hint="eastAsia"/>
          <w:b/>
          <w:spacing w:val="20"/>
          <w:sz w:val="24"/>
          <w:lang w:eastAsia="zh-CN"/>
        </w:rPr>
        <w:t xml:space="preserve">             </w:t>
      </w:r>
    </w:p>
    <w:p>
      <w:pPr>
        <w:spacing w:line="360" w:lineRule="auto"/>
        <w:ind w:left="6720" w:hanging="6720" w:hangingChars="28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址：</w:t>
      </w:r>
      <w:r>
        <w:rPr>
          <w:rFonts w:hint="eastAsia" w:cs="Courier New" w:asciiTheme="majorEastAsia" w:hAnsiTheme="majorEastAsia" w:eastAsiaTheme="majorEastAsia"/>
          <w:sz w:val="24"/>
          <w:lang w:eastAsia="zh-CN"/>
        </w:rPr>
        <w:t xml:space="preserve">福建省漳州市古雷港经济        </w:t>
      </w:r>
      <w:r>
        <w:rPr>
          <w:rFonts w:hint="eastAsia" w:asciiTheme="majorEastAsia" w:hAnsiTheme="majorEastAsia" w:eastAsiaTheme="majorEastAsia"/>
          <w:sz w:val="24"/>
          <w:lang w:eastAsia="zh-CN"/>
        </w:rPr>
        <w:t>地  址：</w:t>
      </w:r>
      <w:r>
        <w:rPr>
          <w:rFonts w:asciiTheme="majorEastAsia" w:hAnsiTheme="majorEastAsia" w:eastAsiaTheme="majorEastAsia"/>
          <w:sz w:val="24"/>
          <w:lang w:eastAsia="zh-CN"/>
        </w:rPr>
        <w:t xml:space="preserve"> </w:t>
      </w:r>
    </w:p>
    <w:p>
      <w:pPr>
        <w:spacing w:line="360" w:lineRule="auto"/>
        <w:ind w:left="6720" w:hanging="6720" w:hangingChars="28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w:t>
      </w:r>
      <w:r>
        <w:rPr>
          <w:rFonts w:hint="eastAsia" w:cs="Courier New" w:asciiTheme="majorEastAsia" w:hAnsiTheme="majorEastAsia" w:eastAsiaTheme="majorEastAsia"/>
          <w:sz w:val="24"/>
          <w:lang w:eastAsia="zh-CN"/>
        </w:rPr>
        <w:t xml:space="preserve">开发区腾龙路84号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开户行：兴业银行漳州古雷支行          开户行：</w:t>
      </w:r>
      <w:r>
        <w:rPr>
          <w:rFonts w:asciiTheme="majorEastAsia" w:hAnsiTheme="majorEastAsia" w:eastAsiaTheme="majorEastAsia"/>
          <w:sz w:val="24"/>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帐</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号： </w:t>
      </w:r>
      <w:r>
        <w:rPr>
          <w:rFonts w:hint="eastAsia"/>
          <w:sz w:val="24"/>
          <w:lang w:eastAsia="zh-CN"/>
        </w:rPr>
        <w:t>162070100100021071</w:t>
      </w:r>
      <w:r>
        <w:rPr>
          <w:rFonts w:hint="eastAsia" w:asciiTheme="majorEastAsia" w:hAnsiTheme="majorEastAsia" w:eastAsiaTheme="majorEastAsia"/>
          <w:sz w:val="24"/>
          <w:lang w:eastAsia="zh-CN"/>
        </w:rPr>
        <w:t xml:space="preserve">           帐</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号：</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号： </w:t>
      </w:r>
      <w:r>
        <w:rPr>
          <w:rFonts w:hint="eastAsia"/>
          <w:sz w:val="24"/>
          <w:lang w:eastAsia="zh-CN"/>
        </w:rPr>
        <w:t>91350600717866709A</w:t>
      </w:r>
      <w:r>
        <w:rPr>
          <w:rFonts w:hint="eastAsia" w:asciiTheme="majorEastAsia" w:hAnsiTheme="majorEastAsia" w:eastAsiaTheme="majorEastAsia"/>
          <w:sz w:val="24"/>
          <w:lang w:eastAsia="zh-CN"/>
        </w:rPr>
        <w:t xml:space="preserve">           税</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号：</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电</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话：  0596-6311083                电</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话：</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w:t>
      </w:r>
    </w:p>
    <w:p>
      <w:pPr>
        <w:spacing w:line="360" w:lineRule="auto"/>
        <w:rPr>
          <w:rFonts w:cs="Arial" w:asciiTheme="majorEastAsia" w:hAnsiTheme="majorEastAsia" w:eastAsiaTheme="majorEastAsia"/>
          <w:b/>
          <w:sz w:val="24"/>
          <w:lang w:eastAsia="zh-CN"/>
        </w:rPr>
      </w:pPr>
      <w:r>
        <w:rPr>
          <w:rFonts w:cs="Arial" w:asciiTheme="majorEastAsia" w:hAnsiTheme="majorEastAsia" w:eastAsiaTheme="majorEastAsia"/>
          <w:b/>
          <w:sz w:val="24"/>
          <w:lang w:eastAsia="zh-CN"/>
        </w:rPr>
        <w:t xml:space="preserve">____年____月____日 </w:t>
      </w:r>
      <w:r>
        <w:rPr>
          <w:rFonts w:hint="eastAsia" w:cs="Arial" w:asciiTheme="majorEastAsia" w:hAnsiTheme="majorEastAsia" w:eastAsiaTheme="majorEastAsia"/>
          <w:b/>
          <w:sz w:val="24"/>
          <w:lang w:eastAsia="zh-CN"/>
        </w:rPr>
        <w:t xml:space="preserve">                    </w:t>
      </w:r>
    </w:p>
    <w:p>
      <w:pPr>
        <w:rPr>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p>
    <w:p>
      <w:pPr>
        <w:spacing w:line="400" w:lineRule="exact"/>
        <w:ind w:right="-514"/>
        <w:rPr>
          <w:rFonts w:hint="eastAsia"/>
          <w:b/>
          <w:sz w:val="28"/>
          <w:szCs w:val="28"/>
          <w:shd w:val="clear" w:color="auto" w:fill="FFFFFF"/>
          <w:lang w:eastAsia="zh-CN"/>
        </w:rPr>
      </w:pPr>
      <w:r>
        <w:rPr>
          <w:rFonts w:hint="eastAsia"/>
          <w:b/>
          <w:sz w:val="28"/>
          <w:szCs w:val="28"/>
          <w:shd w:val="clear" w:color="auto" w:fill="FFFFFF"/>
          <w:lang w:eastAsia="zh-CN"/>
        </w:rPr>
        <w:t>附件1：</w:t>
      </w:r>
    </w:p>
    <w:p>
      <w:pPr>
        <w:ind w:firstLine="1430" w:firstLineChars="445"/>
        <w:rPr>
          <w:rFonts w:hint="eastAsia" w:asciiTheme="majorEastAsia" w:hAnsiTheme="majorEastAsia" w:eastAsiaTheme="majorEastAsia"/>
          <w:b/>
          <w:sz w:val="32"/>
          <w:szCs w:val="32"/>
          <w:lang w:eastAsia="zh-CN"/>
        </w:rPr>
      </w:pPr>
    </w:p>
    <w:p>
      <w:pPr>
        <w:ind w:firstLine="1430" w:firstLineChars="445"/>
        <w:rPr>
          <w:rFonts w:hint="eastAsia" w:asciiTheme="majorEastAsia" w:hAnsiTheme="majorEastAsia" w:eastAsiaTheme="majorEastAsia"/>
          <w:b/>
          <w:sz w:val="32"/>
          <w:szCs w:val="32"/>
          <w:lang w:eastAsia="zh-CN"/>
        </w:rPr>
      </w:pPr>
    </w:p>
    <w:p>
      <w:pPr>
        <w:ind w:firstLine="1430" w:firstLineChars="445"/>
        <w:rPr>
          <w:rFonts w:hint="eastAsia" w:asciiTheme="majorEastAsia" w:hAnsiTheme="majorEastAsia" w:eastAsiaTheme="majorEastAsia"/>
          <w:b/>
          <w:sz w:val="32"/>
          <w:szCs w:val="32"/>
          <w:lang w:eastAsia="zh-CN"/>
        </w:rPr>
      </w:pPr>
    </w:p>
    <w:p>
      <w:pPr>
        <w:ind w:firstLine="1430" w:firstLineChars="445"/>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工厂名称：福建福海创石油化工有限公司</w:t>
      </w:r>
    </w:p>
    <w:p>
      <w:pPr>
        <w:rPr>
          <w:rFonts w:asciiTheme="majorEastAsia" w:hAnsiTheme="majorEastAsia" w:eastAsiaTheme="majorEastAsia"/>
          <w:b/>
          <w:sz w:val="32"/>
          <w:szCs w:val="32"/>
          <w:lang w:eastAsia="zh-CN"/>
        </w:rPr>
      </w:pPr>
    </w:p>
    <w:p>
      <w:pPr>
        <w:ind w:firstLine="1751" w:firstLineChars="545"/>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装置名称：</w:t>
      </w:r>
      <w:r>
        <w:rPr>
          <w:rFonts w:asciiTheme="majorEastAsia" w:hAnsiTheme="majorEastAsia" w:eastAsiaTheme="majorEastAsia"/>
          <w:b/>
          <w:sz w:val="32"/>
          <w:szCs w:val="32"/>
          <w:lang w:eastAsia="zh-CN"/>
        </w:rPr>
        <w:t xml:space="preserve"> </w:t>
      </w:r>
      <w:r>
        <w:rPr>
          <w:rFonts w:hint="eastAsia" w:asciiTheme="majorEastAsia" w:hAnsiTheme="majorEastAsia" w:eastAsiaTheme="majorEastAsia"/>
          <w:b/>
          <w:sz w:val="32"/>
          <w:szCs w:val="32"/>
          <w:lang w:eastAsia="zh-CN"/>
        </w:rPr>
        <w:t>PX芳烃联合装置</w:t>
      </w:r>
    </w:p>
    <w:p>
      <w:pPr>
        <w:rPr>
          <w:rFonts w:asciiTheme="majorEastAsia" w:hAnsiTheme="majorEastAsia" w:eastAsiaTheme="majorEastAsia"/>
          <w:b/>
          <w:sz w:val="32"/>
          <w:szCs w:val="32"/>
          <w:lang w:eastAsia="zh-CN"/>
        </w:rPr>
      </w:pPr>
    </w:p>
    <w:p>
      <w:pPr>
        <w:rPr>
          <w:rFonts w:asciiTheme="majorEastAsia" w:hAnsiTheme="majorEastAsia" w:eastAsiaTheme="majorEastAsia"/>
          <w:b/>
          <w:sz w:val="32"/>
          <w:szCs w:val="32"/>
          <w:lang w:eastAsia="zh-CN"/>
        </w:rPr>
      </w:pPr>
    </w:p>
    <w:p>
      <w:pPr>
        <w:ind w:firstLine="1446" w:firstLineChars="300"/>
        <w:rPr>
          <w:rFonts w:asciiTheme="majorEastAsia" w:hAnsiTheme="majorEastAsia" w:eastAsiaTheme="majorEastAsia"/>
          <w:b/>
          <w:sz w:val="48"/>
          <w:szCs w:val="48"/>
          <w:lang w:eastAsia="zh-CN"/>
        </w:rPr>
      </w:pPr>
    </w:p>
    <w:p>
      <w:pPr>
        <w:ind w:firstLine="1446" w:firstLineChars="300"/>
        <w:jc w:val="center"/>
        <w:rPr>
          <w:rFonts w:hint="eastAsia" w:asciiTheme="majorEastAsia" w:hAnsiTheme="majorEastAsia" w:eastAsiaTheme="majorEastAsia"/>
          <w:b/>
          <w:sz w:val="48"/>
          <w:szCs w:val="48"/>
          <w:lang w:eastAsia="zh-CN"/>
        </w:rPr>
      </w:pPr>
    </w:p>
    <w:p>
      <w:pPr>
        <w:pStyle w:val="2"/>
        <w:rPr>
          <w:rFonts w:hint="eastAsia"/>
        </w:rPr>
      </w:pPr>
    </w:p>
    <w:p>
      <w:pPr>
        <w:pStyle w:val="2"/>
      </w:pPr>
    </w:p>
    <w:p>
      <w:pPr>
        <w:ind w:firstLine="1687" w:firstLineChars="350"/>
        <w:rPr>
          <w:rFonts w:asciiTheme="majorEastAsia" w:hAnsiTheme="majorEastAsia" w:eastAsiaTheme="majorEastAsia"/>
          <w:b/>
          <w:sz w:val="48"/>
          <w:szCs w:val="48"/>
          <w:lang w:eastAsia="zh-CN"/>
        </w:rPr>
      </w:pPr>
      <w:r>
        <w:rPr>
          <w:rFonts w:hint="eastAsia" w:asciiTheme="majorEastAsia" w:hAnsiTheme="majorEastAsia" w:eastAsiaTheme="majorEastAsia"/>
          <w:b/>
          <w:sz w:val="48"/>
          <w:szCs w:val="48"/>
          <w:lang w:eastAsia="zh-CN"/>
        </w:rPr>
        <w:t>程控阀球阀技术协议</w:t>
      </w:r>
    </w:p>
    <w:p>
      <w:pPr>
        <w:ind w:firstLine="1446" w:firstLineChars="300"/>
        <w:jc w:val="center"/>
        <w:rPr>
          <w:rFonts w:asciiTheme="majorEastAsia" w:hAnsiTheme="majorEastAsia" w:eastAsiaTheme="majorEastAsia"/>
          <w:b/>
          <w:sz w:val="48"/>
          <w:szCs w:val="48"/>
          <w:lang w:eastAsia="zh-CN"/>
        </w:rPr>
      </w:pPr>
    </w:p>
    <w:p>
      <w:pPr>
        <w:jc w:val="center"/>
        <w:rPr>
          <w:rFonts w:hint="eastAsia" w:asciiTheme="majorEastAsia" w:hAnsiTheme="majorEastAsia" w:eastAsiaTheme="majorEastAsia"/>
          <w:b/>
          <w:sz w:val="28"/>
          <w:szCs w:val="28"/>
          <w:lang w:eastAsia="zh-CN"/>
        </w:rPr>
      </w:pPr>
    </w:p>
    <w:p>
      <w:pPr>
        <w:pStyle w:val="2"/>
        <w:rPr>
          <w:rFonts w:hint="eastAsia"/>
        </w:rPr>
      </w:pPr>
    </w:p>
    <w:p>
      <w:pPr>
        <w:pStyle w:val="2"/>
        <w:rPr>
          <w:rFonts w:hint="eastAsia"/>
        </w:rPr>
      </w:pPr>
    </w:p>
    <w:p>
      <w:pPr>
        <w:pStyle w:val="2"/>
      </w:pPr>
    </w:p>
    <w:p>
      <w:pPr>
        <w:rPr>
          <w:rFonts w:asciiTheme="majorEastAsia" w:hAnsiTheme="majorEastAsia" w:eastAsiaTheme="majorEastAsia"/>
          <w:b/>
          <w:sz w:val="28"/>
          <w:szCs w:val="28"/>
          <w:lang w:eastAsia="zh-CN"/>
        </w:rPr>
      </w:pPr>
    </w:p>
    <w:p>
      <w:pPr>
        <w:rPr>
          <w:rFonts w:asciiTheme="majorEastAsia" w:hAnsiTheme="majorEastAsia" w:eastAsiaTheme="majorEastAsia"/>
          <w:b/>
          <w:sz w:val="28"/>
          <w:szCs w:val="28"/>
          <w:lang w:eastAsia="zh-CN"/>
        </w:rPr>
      </w:pPr>
    </w:p>
    <w:p>
      <w:pPr>
        <w:jc w:val="center"/>
        <w:rPr>
          <w:rFonts w:asciiTheme="majorEastAsia" w:hAnsiTheme="majorEastAsia" w:eastAsiaTheme="majorEastAsia"/>
          <w:b/>
          <w:sz w:val="28"/>
          <w:szCs w:val="28"/>
          <w:lang w:eastAsia="zh-CN"/>
        </w:rPr>
      </w:pPr>
    </w:p>
    <w:p>
      <w:pPr>
        <w:ind w:firstLine="141" w:firstLineChars="50"/>
        <w:jc w:val="center"/>
        <w:rPr>
          <w:rFonts w:asciiTheme="majorEastAsia" w:hAnsiTheme="majorEastAsia" w:eastAsiaTheme="majorEastAsia"/>
          <w:b/>
          <w:sz w:val="32"/>
          <w:szCs w:val="32"/>
          <w:lang w:eastAsia="zh-CN"/>
        </w:rPr>
      </w:pPr>
      <w:r>
        <w:rPr>
          <w:rFonts w:hint="eastAsia" w:asciiTheme="majorEastAsia" w:hAnsiTheme="majorEastAsia" w:eastAsiaTheme="majorEastAsia"/>
          <w:b/>
          <w:sz w:val="28"/>
          <w:szCs w:val="28"/>
          <w:lang w:eastAsia="zh-CN"/>
        </w:rPr>
        <w:t xml:space="preserve">最 终 用 户：  </w:t>
      </w:r>
      <w:r>
        <w:rPr>
          <w:rFonts w:hint="eastAsia" w:asciiTheme="majorEastAsia" w:hAnsiTheme="majorEastAsia" w:eastAsiaTheme="majorEastAsia"/>
          <w:b/>
          <w:sz w:val="32"/>
          <w:szCs w:val="32"/>
          <w:lang w:eastAsia="zh-CN"/>
        </w:rPr>
        <w:t>福建福海创石油化工有限公司</w:t>
      </w:r>
    </w:p>
    <w:p>
      <w:pPr>
        <w:rPr>
          <w:rFonts w:asciiTheme="majorEastAsia" w:hAnsiTheme="majorEastAsia" w:eastAsiaTheme="majorEastAsia"/>
          <w:b/>
          <w:sz w:val="28"/>
          <w:szCs w:val="28"/>
          <w:lang w:eastAsia="zh-CN"/>
        </w:rPr>
      </w:pPr>
    </w:p>
    <w:p>
      <w:pPr>
        <w:ind w:firstLine="1245" w:firstLineChars="443"/>
        <w:rPr>
          <w:rFonts w:asciiTheme="majorEastAsia" w:hAnsiTheme="majorEastAsia" w:eastAsiaTheme="majorEastAsia"/>
          <w:b/>
          <w:sz w:val="28"/>
          <w:szCs w:val="28"/>
        </w:rPr>
      </w:pPr>
      <w:r>
        <w:rPr>
          <w:rFonts w:hint="eastAsia" w:asciiTheme="majorEastAsia" w:hAnsiTheme="majorEastAsia" w:eastAsiaTheme="majorEastAsia"/>
          <w:b/>
          <w:sz w:val="28"/>
          <w:szCs w:val="28"/>
        </w:rPr>
        <w:t>卖 方/制 造 商：</w:t>
      </w:r>
    </w:p>
    <w:p>
      <w:pPr>
        <w:jc w:val="center"/>
        <w:rPr>
          <w:rFonts w:asciiTheme="majorEastAsia" w:hAnsiTheme="majorEastAsia" w:eastAsiaTheme="majorEastAsia"/>
          <w:b/>
          <w:sz w:val="28"/>
          <w:szCs w:val="28"/>
        </w:rPr>
      </w:pPr>
    </w:p>
    <w:p>
      <w:pPr>
        <w:ind w:firstLine="1521" w:firstLineChars="541"/>
        <w:rPr>
          <w:rFonts w:asciiTheme="majorEastAsia" w:hAnsiTheme="majorEastAsia" w:eastAsiaTheme="majorEastAsia"/>
          <w:b/>
          <w:sz w:val="28"/>
          <w:szCs w:val="28"/>
        </w:rPr>
      </w:pPr>
      <w:r>
        <w:rPr>
          <w:rFonts w:hint="eastAsia" w:asciiTheme="majorEastAsia" w:hAnsiTheme="majorEastAsia" w:eastAsiaTheme="majorEastAsia"/>
          <w:b/>
          <w:sz w:val="28"/>
          <w:szCs w:val="28"/>
        </w:rPr>
        <w:t>日        期：</w:t>
      </w: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spacing w:line="360" w:lineRule="auto"/>
        <w:rPr>
          <w:rFonts w:hint="eastAsia" w:asciiTheme="majorEastAsia" w:hAnsiTheme="majorEastAsia" w:eastAsiaTheme="majorEastAsia"/>
          <w:b/>
          <w:sz w:val="28"/>
          <w:szCs w:val="28"/>
          <w:lang w:eastAsia="zh-CN"/>
        </w:rPr>
      </w:pPr>
    </w:p>
    <w:p>
      <w:pPr>
        <w:pStyle w:val="2"/>
        <w:rPr>
          <w:rFonts w:hint="eastAsia"/>
        </w:rPr>
      </w:pPr>
    </w:p>
    <w:p>
      <w:pPr>
        <w:pStyle w:val="2"/>
        <w:rPr>
          <w:rFonts w:hint="eastAsia"/>
        </w:rPr>
      </w:pPr>
    </w:p>
    <w:p>
      <w:pPr>
        <w:pStyle w:val="2"/>
        <w:rPr>
          <w:rFonts w:hint="eastAsia"/>
        </w:rPr>
      </w:pPr>
    </w:p>
    <w:p>
      <w:pPr>
        <w:pStyle w:val="45"/>
        <w:numPr>
          <w:ilvl w:val="0"/>
          <w:numId w:val="8"/>
        </w:numPr>
        <w:autoSpaceDE/>
        <w:autoSpaceDN/>
        <w:spacing w:before="0" w:line="360" w:lineRule="auto"/>
        <w:rPr>
          <w:rFonts w:asciiTheme="minorEastAsia" w:hAnsiTheme="minorEastAsia"/>
          <w:sz w:val="24"/>
          <w:szCs w:val="24"/>
        </w:rPr>
      </w:pPr>
      <w:r>
        <w:rPr>
          <w:rFonts w:hint="eastAsia" w:asciiTheme="minorEastAsia" w:hAnsiTheme="minorEastAsia"/>
          <w:sz w:val="24"/>
          <w:szCs w:val="24"/>
        </w:rPr>
        <w:t>范围</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福建福海创石油化工有限公司PX工厂吸附塔程控阀阀国产化采购项目技术协议包含： 程控阀技术要求、阀门规格书（数据表）、请购清单。</w:t>
      </w:r>
    </w:p>
    <w:p>
      <w:pPr>
        <w:spacing w:line="360" w:lineRule="auto"/>
        <w:ind w:firstLine="480" w:firstLineChars="20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 规范及标准</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程控球阀（开关阀）应满足或优于下面列出的规范、标准的最新版本。如果几种规范与标准适用于同一情况，则应遵循最为严格的规范。若规格书与相关的规范和标准文件有冲突，则应向用户提出并征得业主书面认可方能开展工作。</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程控球阀（开关阀）应满足以下相关规范标准：</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ASME B16.5        管法兰和法兰管件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API550 1-6        控制阀及附件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API 598           阀门检验及测试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S75.01        控制阀流通能量计算公式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S75.02        控制阀流通能量测试步骤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S75.03        法兰连接直通式程控球阀体的端面与端面间距</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（ANSI125,150,250,300,600</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S75.07        控制阀产生的气体动力学噪音实验测量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S75.11        控制阀固有流量特性及可调范围</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S75.13        用模拟输入和气动输出评估定位器性能的方法</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ISA S75.17        控制阀气动力学噪音预估</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ISA S75.19        控制阀的液体静态测</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FCI 70-2          控制阀阀座泄漏量</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MSS SP-25         阀门、管件、法兰和连接件的标准及系统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NACE MR0175       抗硫化的标准材料要求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IEC 60529         外壳提供的防护程度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IEC60079-0        爆炸性气体环境用电气设备 第1部分：通用要求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IEC60079-1        爆炸性气体环境用电气设备 第2部分：隔爆型“d”</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IEC60079-4        爆炸性气体环境用电气设备 第1部分：本安型“i”</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SH/T 3005-2016    石油化工自动化仪表选型设计规范</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其他未列出的与本产品有关的规范及标准，供应商有义务在投标文件中列出。</w:t>
      </w:r>
    </w:p>
    <w:p>
      <w:pPr>
        <w:pStyle w:val="45"/>
        <w:spacing w:line="360" w:lineRule="auto"/>
        <w:ind w:left="982" w:firstLine="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3、现场环境</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程控球阀阀体、执行机构、附件（包含定位器、电磁阀、阀位指示开关、气动元件、手轮等）选型应满足如下环境条件：</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程控球阀安装场合的极端最低温度为：+4.7℃</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程控球阀安装场合的极端最高温度为：+38.2℃</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程控球阀安装场合平均相对湿度：80%</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气动程控球阀供电：24V DC</w:t>
      </w:r>
    </w:p>
    <w:p>
      <w:pPr>
        <w:pStyle w:val="45"/>
        <w:spacing w:line="360" w:lineRule="auto"/>
        <w:ind w:left="504" w:leftChars="229"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程控球阀室外安装，安装区域为防爆区，按IEC标准区分为：2区：气体组别为IIC;温度级别：T4。</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气动程控球阀供风压力（G）：最小0.4MPa;正常0.6MPa;最大0.7MPa。</w:t>
      </w:r>
    </w:p>
    <w:p>
      <w:pPr>
        <w:spacing w:line="360" w:lineRule="auto"/>
        <w:ind w:left="150" w:leftChars="68" w:firstLine="600" w:firstLineChars="25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4、对供应商的基本要求</w:t>
      </w:r>
    </w:p>
    <w:p>
      <w:pPr>
        <w:spacing w:line="360" w:lineRule="auto"/>
        <w:ind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4.1供应商提供的程控球阀应该是成熟可靠、技术先进。</w:t>
      </w:r>
    </w:p>
    <w:p>
      <w:pPr>
        <w:spacing w:line="360" w:lineRule="auto"/>
        <w:ind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4.2 供应商提供的产品与询价书要求不同的部分应以偏差表的形式详细说明。</w:t>
      </w:r>
    </w:p>
    <w:p>
      <w:pPr>
        <w:spacing w:line="360" w:lineRule="auto"/>
        <w:ind w:left="856" w:leftChars="171" w:hanging="480" w:hangingChars="200"/>
        <w:rPr>
          <w:rFonts w:asciiTheme="minorEastAsia" w:hAnsiTheme="minorEastAsia"/>
          <w:sz w:val="24"/>
          <w:szCs w:val="24"/>
          <w:lang w:eastAsia="zh-CN"/>
        </w:rPr>
      </w:pPr>
      <w:r>
        <w:rPr>
          <w:rFonts w:hint="eastAsia" w:asciiTheme="minorEastAsia" w:hAnsiTheme="minorEastAsia"/>
          <w:sz w:val="24"/>
          <w:szCs w:val="24"/>
          <w:lang w:eastAsia="zh-CN"/>
        </w:rPr>
        <w:t>4.3 供应商提供的产品和配置，必须是完整的，有任何缺陷或遗漏，供应商都必须无偿补足。</w:t>
      </w:r>
    </w:p>
    <w:p>
      <w:pPr>
        <w:spacing w:line="360" w:lineRule="auto"/>
        <w:ind w:left="856" w:leftChars="171" w:hanging="480" w:hangingChars="200"/>
        <w:rPr>
          <w:rFonts w:asciiTheme="minorEastAsia" w:hAnsiTheme="minorEastAsia"/>
          <w:sz w:val="24"/>
          <w:szCs w:val="24"/>
          <w:lang w:eastAsia="zh-CN"/>
        </w:rPr>
      </w:pPr>
      <w:r>
        <w:rPr>
          <w:rFonts w:hint="eastAsia" w:asciiTheme="minorEastAsia" w:hAnsiTheme="minorEastAsia"/>
          <w:sz w:val="24"/>
          <w:szCs w:val="24"/>
          <w:lang w:eastAsia="zh-CN"/>
        </w:rPr>
        <w:t>4.4 供应商最终报价技术文件中的条款，技术规格，数字等出现前后不一致或矛盾之处，原则上以对买方有利的条款，技术规格及数字为准。</w:t>
      </w:r>
    </w:p>
    <w:p>
      <w:pPr>
        <w:spacing w:line="360" w:lineRule="auto"/>
        <w:ind w:left="856" w:leftChars="171" w:hanging="480" w:hangingChars="200"/>
        <w:rPr>
          <w:rFonts w:asciiTheme="minorEastAsia" w:hAnsiTheme="minorEastAsia"/>
          <w:sz w:val="24"/>
          <w:szCs w:val="24"/>
          <w:lang w:eastAsia="zh-CN"/>
        </w:rPr>
      </w:pPr>
    </w:p>
    <w:p>
      <w:pPr>
        <w:pStyle w:val="45"/>
        <w:numPr>
          <w:ilvl w:val="0"/>
          <w:numId w:val="9"/>
        </w:numPr>
        <w:autoSpaceDE/>
        <w:autoSpaceDN/>
        <w:spacing w:before="0" w:line="360" w:lineRule="auto"/>
        <w:rPr>
          <w:rFonts w:asciiTheme="minorEastAsia" w:hAnsiTheme="minorEastAsia"/>
          <w:sz w:val="24"/>
          <w:szCs w:val="24"/>
        </w:rPr>
      </w:pPr>
      <w:r>
        <w:rPr>
          <w:rFonts w:hint="eastAsia" w:asciiTheme="minorEastAsia" w:hAnsiTheme="minorEastAsia"/>
          <w:sz w:val="24"/>
          <w:szCs w:val="24"/>
        </w:rPr>
        <w:t>控制阀技术要求</w:t>
      </w:r>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 xml:space="preserve">5.1 </w:t>
      </w:r>
      <w:r>
        <w:rPr>
          <w:rFonts w:asciiTheme="minorEastAsia" w:hAnsiTheme="minorEastAsia"/>
          <w:sz w:val="24"/>
          <w:szCs w:val="24"/>
        </w:rPr>
        <w:t>满足 Axens 工艺包的要求，见 ON/OFF 阀规格书附件。</w:t>
      </w:r>
    </w:p>
    <w:p>
      <w:pPr>
        <w:spacing w:line="360" w:lineRule="auto"/>
        <w:ind w:left="856" w:leftChars="171" w:hanging="480" w:hangingChars="200"/>
        <w:rPr>
          <w:rFonts w:asciiTheme="minorEastAsia" w:hAnsiTheme="minorEastAsia"/>
          <w:sz w:val="24"/>
          <w:szCs w:val="24"/>
          <w:lang w:eastAsia="zh-CN"/>
        </w:rPr>
      </w:pPr>
      <w:r>
        <w:rPr>
          <w:rFonts w:hint="eastAsia" w:asciiTheme="minorEastAsia" w:hAnsiTheme="minorEastAsia"/>
          <w:sz w:val="24"/>
          <w:szCs w:val="24"/>
          <w:lang w:eastAsia="zh-CN"/>
        </w:rPr>
        <w:t xml:space="preserve">5.2 </w:t>
      </w:r>
      <w:r>
        <w:rPr>
          <w:rFonts w:asciiTheme="minorEastAsia" w:hAnsiTheme="minorEastAsia"/>
          <w:sz w:val="24"/>
          <w:szCs w:val="24"/>
          <w:lang w:eastAsia="zh-CN"/>
        </w:rPr>
        <w:t>阀门类型：本项目 ON/OFF 阀为开关型工作方式，要求采用金属硬密封全通径固定球球阀。</w:t>
      </w:r>
    </w:p>
    <w:p>
      <w:pPr>
        <w:spacing w:line="360" w:lineRule="auto"/>
        <w:ind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 xml:space="preserve">5.3 </w:t>
      </w:r>
      <w:r>
        <w:rPr>
          <w:rFonts w:asciiTheme="minorEastAsia" w:hAnsiTheme="minorEastAsia"/>
          <w:sz w:val="24"/>
          <w:szCs w:val="24"/>
          <w:lang w:eastAsia="zh-CN"/>
        </w:rPr>
        <w:t>材质要求：</w:t>
      </w:r>
    </w:p>
    <w:p>
      <w:pPr>
        <w:spacing w:line="360" w:lineRule="auto"/>
        <w:ind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 xml:space="preserve">5.3.1 </w:t>
      </w:r>
      <w:r>
        <w:rPr>
          <w:rFonts w:asciiTheme="minorEastAsia" w:hAnsiTheme="minorEastAsia"/>
          <w:sz w:val="24"/>
          <w:szCs w:val="24"/>
          <w:lang w:eastAsia="zh-CN"/>
        </w:rPr>
        <w:t>阀体材质采用锻造碳钢材料 A105。</w:t>
      </w:r>
    </w:p>
    <w:p>
      <w:pPr>
        <w:spacing w:line="360" w:lineRule="auto"/>
        <w:ind w:left="1096" w:leftChars="171" w:hanging="720" w:hangingChars="300"/>
        <w:rPr>
          <w:rFonts w:asciiTheme="minorEastAsia" w:hAnsiTheme="minorEastAsia"/>
          <w:sz w:val="24"/>
          <w:szCs w:val="24"/>
          <w:lang w:eastAsia="zh-CN"/>
        </w:rPr>
      </w:pPr>
      <w:r>
        <w:rPr>
          <w:rFonts w:hint="eastAsia" w:asciiTheme="minorEastAsia" w:hAnsiTheme="minorEastAsia"/>
          <w:sz w:val="24"/>
          <w:szCs w:val="24"/>
          <w:lang w:eastAsia="zh-CN"/>
        </w:rPr>
        <w:t xml:space="preserve">5.3.2 </w:t>
      </w:r>
      <w:r>
        <w:rPr>
          <w:rFonts w:asciiTheme="minorEastAsia" w:hAnsiTheme="minorEastAsia"/>
          <w:sz w:val="24"/>
          <w:szCs w:val="24"/>
          <w:lang w:eastAsia="zh-CN"/>
        </w:rPr>
        <w:t>卖方应根据使用条件和制造规范选用，并应符合有关 ASTM 材料的规定。各种材料的温度－压力等级应符合 ASME B16.34 的规定及技术标书的要求。</w:t>
      </w:r>
    </w:p>
    <w:p>
      <w:pPr>
        <w:pStyle w:val="45"/>
        <w:spacing w:line="360" w:lineRule="auto"/>
        <w:ind w:left="1061" w:leftChars="155" w:hanging="720" w:hangingChars="300"/>
        <w:rPr>
          <w:rFonts w:asciiTheme="minorEastAsia" w:hAnsiTheme="minorEastAsia"/>
          <w:sz w:val="24"/>
          <w:szCs w:val="24"/>
          <w:lang w:eastAsia="zh-CN"/>
        </w:rPr>
      </w:pPr>
      <w:r>
        <w:rPr>
          <w:rFonts w:hint="eastAsia" w:asciiTheme="minorEastAsia" w:hAnsiTheme="minorEastAsia"/>
          <w:sz w:val="24"/>
          <w:szCs w:val="24"/>
          <w:lang w:eastAsia="zh-CN"/>
        </w:rPr>
        <w:t>5.3.3</w:t>
      </w:r>
      <w:r>
        <w:rPr>
          <w:rFonts w:asciiTheme="minorEastAsia" w:hAnsiTheme="minorEastAsia"/>
          <w:sz w:val="24"/>
          <w:szCs w:val="24"/>
          <w:lang w:eastAsia="zh-CN"/>
        </w:rPr>
        <w:t>卖方在技术报价中提供的每种材料均须经设计院和最终用户同意， 卖方应提供主要材料的物理化学及机械性能，热处理等内容。</w:t>
      </w:r>
    </w:p>
    <w:p>
      <w:pPr>
        <w:spacing w:line="360" w:lineRule="auto"/>
        <w:ind w:left="1102" w:leftChars="228" w:hanging="600" w:hangingChars="250"/>
        <w:rPr>
          <w:rFonts w:asciiTheme="minorEastAsia" w:hAnsiTheme="minorEastAsia"/>
          <w:sz w:val="24"/>
          <w:szCs w:val="24"/>
          <w:lang w:eastAsia="zh-CN"/>
        </w:rPr>
      </w:pPr>
      <w:r>
        <w:rPr>
          <w:rFonts w:hint="eastAsia" w:asciiTheme="minorEastAsia" w:hAnsiTheme="minorEastAsia"/>
          <w:sz w:val="24"/>
          <w:szCs w:val="24"/>
          <w:lang w:eastAsia="zh-CN"/>
        </w:rPr>
        <w:t xml:space="preserve">5.4.4 </w:t>
      </w:r>
      <w:r>
        <w:rPr>
          <w:rFonts w:asciiTheme="minorEastAsia" w:hAnsiTheme="minorEastAsia"/>
          <w:sz w:val="24"/>
          <w:szCs w:val="24"/>
          <w:lang w:eastAsia="zh-CN"/>
        </w:rPr>
        <w:t>所有气路的配管、过滤器、气源阀及其管件均为不锈钢材质，采用 SWAGELOK 产品。</w:t>
      </w:r>
    </w:p>
    <w:p>
      <w:pPr>
        <w:spacing w:line="360" w:lineRule="auto"/>
        <w:ind w:left="982" w:leftChars="228" w:hanging="480" w:hangingChars="200"/>
        <w:rPr>
          <w:rFonts w:asciiTheme="minorEastAsia" w:hAnsiTheme="minorEastAsia"/>
          <w:sz w:val="24"/>
          <w:szCs w:val="24"/>
          <w:lang w:eastAsia="zh-CN"/>
        </w:rPr>
      </w:pPr>
      <w:r>
        <w:rPr>
          <w:rFonts w:hint="eastAsia" w:asciiTheme="minorEastAsia" w:hAnsiTheme="minorEastAsia"/>
          <w:sz w:val="24"/>
          <w:szCs w:val="24"/>
          <w:lang w:eastAsia="zh-CN"/>
        </w:rPr>
        <w:t xml:space="preserve">5.4 </w:t>
      </w:r>
      <w:r>
        <w:rPr>
          <w:rFonts w:asciiTheme="minorEastAsia" w:hAnsiTheme="minorEastAsia"/>
          <w:sz w:val="24"/>
          <w:szCs w:val="24"/>
          <w:lang w:eastAsia="zh-CN"/>
        </w:rPr>
        <w:t>泄漏等级：采用金属硬密封型式，泄漏等级为 ANSI CLASS VI 级（至少保证</w:t>
      </w:r>
      <w:r>
        <w:rPr>
          <w:rFonts w:hint="eastAsia" w:asciiTheme="minorEastAsia" w:hAnsiTheme="minorEastAsia"/>
          <w:sz w:val="24"/>
          <w:szCs w:val="24"/>
          <w:lang w:eastAsia="zh-CN"/>
        </w:rPr>
        <w:t>四</w:t>
      </w:r>
      <w:r>
        <w:rPr>
          <w:rFonts w:asciiTheme="minorEastAsia" w:hAnsiTheme="minorEastAsia"/>
          <w:sz w:val="24"/>
          <w:szCs w:val="24"/>
          <w:lang w:eastAsia="zh-CN"/>
        </w:rPr>
        <w:t>年使用期</w:t>
      </w:r>
      <w:r>
        <w:rPr>
          <w:rFonts w:hint="eastAsia" w:asciiTheme="minorEastAsia" w:hAnsiTheme="minorEastAsia"/>
          <w:sz w:val="24"/>
          <w:szCs w:val="24"/>
          <w:lang w:eastAsia="zh-CN"/>
        </w:rPr>
        <w:t>，100万次开关动作</w:t>
      </w:r>
      <w:r>
        <w:rPr>
          <w:rFonts w:asciiTheme="minorEastAsia" w:hAnsiTheme="minorEastAsia"/>
          <w:sz w:val="24"/>
          <w:szCs w:val="24"/>
          <w:lang w:eastAsia="zh-CN"/>
        </w:rPr>
        <w:t>内泄漏等级不降低）</w:t>
      </w:r>
      <w:r>
        <w:rPr>
          <w:rFonts w:hint="eastAsia" w:asciiTheme="minorEastAsia" w:hAnsiTheme="minorEastAsia"/>
          <w:sz w:val="24"/>
          <w:szCs w:val="24"/>
          <w:lang w:eastAsia="zh-CN"/>
        </w:rPr>
        <w:t>。</w:t>
      </w:r>
    </w:p>
    <w:p>
      <w:pPr>
        <w:tabs>
          <w:tab w:val="left" w:pos="740"/>
        </w:tabs>
        <w:spacing w:before="31"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5.5 程控阀开关时间要≤2.5秒内。</w:t>
      </w:r>
    </w:p>
    <w:p>
      <w:pPr>
        <w:tabs>
          <w:tab w:val="left" w:pos="740"/>
        </w:tabs>
        <w:spacing w:before="31"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5.6</w:t>
      </w:r>
      <w:r>
        <w:rPr>
          <w:rFonts w:asciiTheme="minorEastAsia" w:hAnsiTheme="minorEastAsia"/>
          <w:sz w:val="24"/>
          <w:szCs w:val="24"/>
          <w:lang w:eastAsia="zh-CN"/>
        </w:rPr>
        <w:t>气动执行机构</w:t>
      </w:r>
    </w:p>
    <w:p>
      <w:pPr>
        <w:tabs>
          <w:tab w:val="left" w:pos="845"/>
        </w:tabs>
        <w:spacing w:before="36"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 xml:space="preserve">5.6.1 </w:t>
      </w:r>
      <w:r>
        <w:rPr>
          <w:rFonts w:asciiTheme="minorEastAsia" w:hAnsiTheme="minorEastAsia"/>
          <w:sz w:val="24"/>
          <w:szCs w:val="24"/>
          <w:lang w:eastAsia="zh-CN"/>
        </w:rPr>
        <w:t>执行机构为双作用执行机构。</w:t>
      </w:r>
    </w:p>
    <w:p>
      <w:pPr>
        <w:tabs>
          <w:tab w:val="left" w:pos="845"/>
        </w:tabs>
        <w:spacing w:before="134"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 xml:space="preserve">5.6.2 </w:t>
      </w:r>
      <w:r>
        <w:rPr>
          <w:rFonts w:asciiTheme="minorEastAsia" w:hAnsiTheme="minorEastAsia"/>
          <w:sz w:val="24"/>
          <w:szCs w:val="24"/>
          <w:lang w:eastAsia="zh-CN"/>
        </w:rPr>
        <w:t>供风压力：正常 0.6MPa (G)；但阀门在 0.4MPa(G)下应能工作。</w:t>
      </w:r>
    </w:p>
    <w:p>
      <w:pPr>
        <w:tabs>
          <w:tab w:val="left" w:pos="846"/>
        </w:tabs>
        <w:spacing w:before="135"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 xml:space="preserve">5.6.3 </w:t>
      </w:r>
      <w:r>
        <w:rPr>
          <w:rFonts w:asciiTheme="minorEastAsia" w:hAnsiTheme="minorEastAsia"/>
          <w:sz w:val="24"/>
          <w:szCs w:val="24"/>
          <w:lang w:eastAsia="zh-CN"/>
        </w:rPr>
        <w:t>卖方和用户气源接口的规格为 G1/2”(内)。</w:t>
      </w:r>
    </w:p>
    <w:p>
      <w:pPr>
        <w:tabs>
          <w:tab w:val="left" w:pos="854"/>
        </w:tabs>
        <w:spacing w:before="134" w:line="360" w:lineRule="auto"/>
        <w:ind w:left="502" w:leftChars="228" w:right="100"/>
        <w:rPr>
          <w:rFonts w:asciiTheme="minorEastAsia" w:hAnsiTheme="minorEastAsia"/>
          <w:sz w:val="24"/>
          <w:szCs w:val="24"/>
          <w:lang w:eastAsia="zh-CN"/>
        </w:rPr>
      </w:pPr>
      <w:r>
        <w:rPr>
          <w:rFonts w:hint="eastAsia" w:asciiTheme="minorEastAsia" w:hAnsiTheme="minorEastAsia"/>
          <w:sz w:val="24"/>
          <w:szCs w:val="24"/>
          <w:lang w:eastAsia="zh-CN"/>
        </w:rPr>
        <w:t>5.6.4</w:t>
      </w:r>
      <w:r>
        <w:rPr>
          <w:rFonts w:asciiTheme="minorEastAsia" w:hAnsiTheme="minorEastAsia"/>
          <w:sz w:val="24"/>
          <w:szCs w:val="24"/>
          <w:lang w:eastAsia="zh-CN"/>
        </w:rPr>
        <w:t>气动执行机构</w:t>
      </w:r>
      <w:r>
        <w:rPr>
          <w:rFonts w:hint="eastAsia" w:asciiTheme="minorEastAsia" w:hAnsiTheme="minorEastAsia"/>
          <w:sz w:val="24"/>
          <w:szCs w:val="24"/>
          <w:lang w:eastAsia="zh-CN"/>
        </w:rPr>
        <w:t>选用拨叉式气缸，气缸</w:t>
      </w:r>
      <w:r>
        <w:rPr>
          <w:rFonts w:asciiTheme="minorEastAsia" w:hAnsiTheme="minorEastAsia"/>
          <w:sz w:val="24"/>
          <w:szCs w:val="24"/>
          <w:lang w:eastAsia="zh-CN"/>
        </w:rPr>
        <w:t>的输出力矩至少应为正常工作所需力矩的 1.5 倍以上，卖方应提供阀门动作所需力矩计算及所配执行机构输出力矩对照表。</w:t>
      </w:r>
    </w:p>
    <w:p>
      <w:pPr>
        <w:tabs>
          <w:tab w:val="left" w:pos="740"/>
        </w:tabs>
        <w:spacing w:before="31"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 xml:space="preserve">5.6.5 </w:t>
      </w:r>
      <w:r>
        <w:rPr>
          <w:rFonts w:asciiTheme="minorEastAsia" w:hAnsiTheme="minorEastAsia"/>
          <w:sz w:val="24"/>
          <w:szCs w:val="24"/>
          <w:lang w:eastAsia="zh-CN"/>
        </w:rPr>
        <w:t>手轮：不需要。</w:t>
      </w:r>
    </w:p>
    <w:p>
      <w:pPr>
        <w:tabs>
          <w:tab w:val="left" w:pos="740"/>
        </w:tabs>
        <w:spacing w:before="135" w:line="360" w:lineRule="auto"/>
        <w:ind w:left="502" w:leftChars="228" w:right="100"/>
        <w:rPr>
          <w:rFonts w:asciiTheme="minorEastAsia" w:hAnsiTheme="minorEastAsia"/>
          <w:sz w:val="24"/>
          <w:szCs w:val="24"/>
          <w:lang w:eastAsia="zh-CN"/>
        </w:rPr>
      </w:pPr>
      <w:r>
        <w:rPr>
          <w:rFonts w:hint="eastAsia" w:asciiTheme="minorEastAsia" w:hAnsiTheme="minorEastAsia"/>
          <w:sz w:val="24"/>
          <w:szCs w:val="24"/>
          <w:lang w:eastAsia="zh-CN"/>
        </w:rPr>
        <w:t xml:space="preserve">5.6.5 </w:t>
      </w:r>
      <w:r>
        <w:rPr>
          <w:rFonts w:asciiTheme="minorEastAsia" w:hAnsiTheme="minorEastAsia"/>
          <w:sz w:val="24"/>
          <w:szCs w:val="24"/>
          <w:lang w:eastAsia="zh-CN"/>
        </w:rPr>
        <w:t>阀位回讯：ON/OFF</w:t>
      </w:r>
      <w:r>
        <w:rPr>
          <w:rFonts w:hint="eastAsia" w:asciiTheme="minorEastAsia" w:hAnsiTheme="minorEastAsia"/>
          <w:sz w:val="24"/>
          <w:szCs w:val="24"/>
          <w:lang w:eastAsia="zh-CN"/>
        </w:rPr>
        <w:t>选用TOPWORX</w:t>
      </w:r>
      <w:r>
        <w:rPr>
          <w:rFonts w:asciiTheme="minorEastAsia" w:hAnsiTheme="minorEastAsia"/>
          <w:sz w:val="24"/>
          <w:szCs w:val="24"/>
          <w:lang w:eastAsia="zh-CN"/>
        </w:rPr>
        <w:t xml:space="preserve"> 近式全开和全关的阀位回讯开关，两个回讯开关信号接入一个阀门自带的中间接线盒内，接线盒至控制室的电导线口NPT</w:t>
      </w:r>
      <w:r>
        <w:rPr>
          <w:rFonts w:hint="eastAsia" w:asciiTheme="minorEastAsia" w:hAnsiTheme="minorEastAsia"/>
          <w:sz w:val="24"/>
          <w:szCs w:val="24"/>
          <w:lang w:eastAsia="zh-CN"/>
        </w:rPr>
        <w:t>1</w:t>
      </w:r>
      <w:r>
        <w:rPr>
          <w:rFonts w:asciiTheme="minorEastAsia" w:hAnsiTheme="minorEastAsia"/>
          <w:sz w:val="24"/>
          <w:szCs w:val="24"/>
          <w:lang w:eastAsia="zh-CN"/>
        </w:rPr>
        <w:t>/</w:t>
      </w:r>
      <w:r>
        <w:rPr>
          <w:rFonts w:hint="eastAsia" w:asciiTheme="minorEastAsia" w:hAnsiTheme="minorEastAsia"/>
          <w:sz w:val="24"/>
          <w:szCs w:val="24"/>
          <w:lang w:eastAsia="zh-CN"/>
        </w:rPr>
        <w:t>2</w:t>
      </w:r>
      <w:r>
        <w:rPr>
          <w:rFonts w:asciiTheme="minorEastAsia" w:hAnsiTheme="minorEastAsia"/>
          <w:sz w:val="24"/>
          <w:szCs w:val="24"/>
          <w:lang w:eastAsia="zh-CN"/>
        </w:rPr>
        <w:t>”(F)。</w:t>
      </w:r>
    </w:p>
    <w:p>
      <w:pPr>
        <w:tabs>
          <w:tab w:val="left" w:pos="740"/>
          <w:tab w:val="left" w:pos="741"/>
        </w:tabs>
        <w:spacing w:before="31" w:line="360" w:lineRule="auto"/>
        <w:ind w:left="502" w:leftChars="228" w:right="102"/>
        <w:rPr>
          <w:rFonts w:asciiTheme="minorEastAsia" w:hAnsiTheme="minorEastAsia"/>
          <w:sz w:val="24"/>
          <w:szCs w:val="24"/>
          <w:lang w:eastAsia="zh-CN"/>
        </w:rPr>
      </w:pPr>
      <w:r>
        <w:rPr>
          <w:rFonts w:hint="eastAsia" w:asciiTheme="minorEastAsia" w:hAnsiTheme="minorEastAsia"/>
          <w:sz w:val="24"/>
          <w:szCs w:val="24"/>
          <w:lang w:eastAsia="zh-CN"/>
        </w:rPr>
        <w:t xml:space="preserve">5.6.7 </w:t>
      </w:r>
      <w:r>
        <w:rPr>
          <w:rFonts w:asciiTheme="minorEastAsia" w:hAnsiTheme="minorEastAsia"/>
          <w:sz w:val="24"/>
          <w:szCs w:val="24"/>
          <w:lang w:eastAsia="zh-CN"/>
        </w:rPr>
        <w:t>电磁阀：采用 ASCO 公司 24V 供电低功耗、单电控，隔爆型 EExdIICT4，带电导线口规格 NPT1/2”(F)的接线盒。</w:t>
      </w:r>
    </w:p>
    <w:p>
      <w:pPr>
        <w:tabs>
          <w:tab w:val="left" w:pos="740"/>
          <w:tab w:val="left" w:pos="741"/>
        </w:tabs>
        <w:spacing w:before="31" w:line="360" w:lineRule="auto"/>
        <w:ind w:left="502" w:leftChars="228" w:right="102"/>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6、阀门标记</w:t>
      </w:r>
    </w:p>
    <w:p>
      <w:pPr>
        <w:pStyle w:val="45"/>
        <w:spacing w:line="360" w:lineRule="auto"/>
        <w:ind w:left="376" w:leftChars="171" w:firstLine="480"/>
        <w:rPr>
          <w:rFonts w:asciiTheme="minorEastAsia" w:hAnsiTheme="minorEastAsia"/>
          <w:sz w:val="24"/>
          <w:szCs w:val="24"/>
          <w:lang w:eastAsia="zh-CN"/>
        </w:rPr>
      </w:pPr>
      <w:r>
        <w:rPr>
          <w:rFonts w:hint="eastAsia" w:asciiTheme="minorEastAsia" w:hAnsiTheme="minorEastAsia"/>
          <w:sz w:val="24"/>
          <w:szCs w:val="24"/>
          <w:lang w:eastAsia="zh-CN"/>
        </w:rPr>
        <w:t>程控球阀应有一个不锈钢名牌固定在执行机构上，名牌符合MSS SP-25的规定，名牌上应清楚的标明：仪表位号、制造商名称、阀门系列、阀体压力等级、阀体材料、阀芯材料、作用形式、阀门的CV和流量特性、生产日期等信息。</w:t>
      </w:r>
    </w:p>
    <w:p>
      <w:pPr>
        <w:pStyle w:val="45"/>
        <w:spacing w:line="360" w:lineRule="auto"/>
        <w:ind w:left="376" w:leftChars="171" w:firstLine="48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7、工厂检验与测试</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7.1  阀门供应商应严格按照API598的要求对阀门进行检查及压力密封实验。</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7.2  阀门和执行机构及附件进行整体性能测试。</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7.3  所有阀门必须提供测试和检验报告，测试报告和阀门一并交给用户。</w:t>
      </w:r>
    </w:p>
    <w:p>
      <w:pPr>
        <w:spacing w:line="360" w:lineRule="auto"/>
        <w:ind w:firstLine="480" w:firstLineChars="20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8、备品备件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8.1供商必须保证本项目所提供的阀门清单设备15年（通知用户停产10</w:t>
      </w:r>
    </w:p>
    <w:p>
      <w:pPr>
        <w:pStyle w:val="45"/>
        <w:spacing w:line="360" w:lineRule="auto"/>
        <w:ind w:left="376" w:leftChars="171" w:firstLine="480"/>
        <w:rPr>
          <w:rFonts w:asciiTheme="minorEastAsia" w:hAnsiTheme="minorEastAsia"/>
          <w:sz w:val="24"/>
          <w:szCs w:val="24"/>
          <w:lang w:eastAsia="zh-CN"/>
        </w:rPr>
      </w:pPr>
      <w:r>
        <w:rPr>
          <w:rFonts w:hint="eastAsia" w:asciiTheme="minorEastAsia" w:hAnsiTheme="minorEastAsia"/>
          <w:sz w:val="24"/>
          <w:szCs w:val="24"/>
          <w:lang w:eastAsia="zh-CN"/>
        </w:rPr>
        <w:t>年）以上的备件供应期。</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8.2 每种规格提供1套阀内垫片。</w:t>
      </w:r>
    </w:p>
    <w:p>
      <w:pPr>
        <w:spacing w:line="360" w:lineRule="auto"/>
        <w:ind w:firstLine="480" w:firstLineChars="20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9、工厂验收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备件到PX工厂后验收。</w:t>
      </w:r>
    </w:p>
    <w:p>
      <w:pPr>
        <w:spacing w:line="360" w:lineRule="auto"/>
        <w:ind w:firstLine="480" w:firstLineChars="20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10、阀门储存与发运</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10.1  供应商在发货前应提前一星期告知用户大至到货日期，以便用户安排</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卸货。</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10.2、供应商应对阀门表面进行防锈处理，防锈材料应满足现场环境要求。</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10.3  阀门及附件在运输前应装配完整，一般情况下，零件不得拆卸，当由</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于运输原因需要拆卸时，供货商应提前跟用户确认并认可。</w:t>
      </w:r>
    </w:p>
    <w:p>
      <w:pPr>
        <w:spacing w:line="360" w:lineRule="auto"/>
        <w:ind w:firstLine="480" w:firstLineChars="20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11、文件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11.1 供货商投标时应提供一下文件: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1）技术说明及对规格书的应答。</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2) 偏差表（无偏差可以不提供）。</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3）程控球阀与附件的选型样本</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4）制造和检测时间计划。</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5) 阀门计算书及规格书</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6）气路图、接线图（电动阀）、外形尺寸图及安装尺寸图。</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 签技术协议时，需要提供阀门外观尺寸图及阀体内部结构图。</w:t>
      </w:r>
    </w:p>
    <w:p>
      <w:pPr>
        <w:spacing w:line="360" w:lineRule="auto"/>
        <w:ind w:firstLine="480" w:firstLineChars="20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12、合同签订后提交的文件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12.1 合同签订2周内供货商提供2份以下文件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 阀门安装尺寸图。</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2）气路连接图。</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3）出场验收测试程序等。</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12.2 供货时供货商提供2份以下文件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1、压力管道元件制造许可（TS认证）；</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2、产品合格证；</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3、质量证明书，包括：</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（1）材料化学成分；</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（2）材料以及焊接接头力学性能；</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（3）热处理状态；</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（4）无损检测结果；参照SH3501 5.3.3或有特殊要求</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（5）耐压实验结果（适用于有关安全技术规范及相应标准或者合同有规定的）；</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（6）型式试验结果（适用于有型式试验要求的）；</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（7）产品标准或者合同规定的其他检验项目；</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（8）外协的半成品或者成品的质量证明；</w:t>
      </w:r>
    </w:p>
    <w:p>
      <w:pPr>
        <w:spacing w:line="360" w:lineRule="auto"/>
        <w:ind w:firstLine="600" w:firstLineChars="250"/>
        <w:rPr>
          <w:rFonts w:asciiTheme="minorEastAsia" w:hAnsiTheme="minorEastAsia"/>
          <w:sz w:val="24"/>
          <w:szCs w:val="24"/>
          <w:lang w:eastAsia="zh-CN"/>
        </w:rPr>
      </w:pPr>
      <w:r>
        <w:rPr>
          <w:rFonts w:hint="eastAsia" w:asciiTheme="minorEastAsia" w:hAnsiTheme="minorEastAsia"/>
          <w:sz w:val="24"/>
          <w:szCs w:val="24"/>
          <w:lang w:eastAsia="zh-CN"/>
        </w:rPr>
        <w:t>(9) 阀门测试证书及报告；</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（10）用于安装调试的相关图纸、阀门安装指导手册、阀门维护手册；</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（11）提供阀门所有零部件的规格型号及备件采购编号。</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4、型式试验证书（进口阀门亦需由国家质量监督检验检疫总局核  准的型式试验机构进行型式试验，在试验合格后方可在国内使用）；</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5、提供阀门附件配件质量文件（如电磁阀、反馈盒或开关、定位器、减压阀等）</w:t>
      </w:r>
    </w:p>
    <w:p>
      <w:pPr>
        <w:spacing w:line="360" w:lineRule="auto"/>
        <w:ind w:firstLine="480" w:firstLineChars="20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13、技术服务</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13.1 程控球阀到现场后，供应商应派人至现场与用户共同验收。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13.2 现场安装有用户负责，当供货商收到用户通知后，应派工程师到现场安装指导。</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13.3 供货商应对阀门的售后服务，使用和维护技术咨询提供良好的保证，并且应保证在接到用户电话（传真）后24小时内对买方提出的问题给予答复，必须时48小时内派专人至现场解决。</w:t>
      </w:r>
    </w:p>
    <w:p>
      <w:pPr>
        <w:spacing w:line="360" w:lineRule="auto"/>
        <w:ind w:firstLine="480" w:firstLineChars="200"/>
        <w:rPr>
          <w:rFonts w:asciiTheme="minorEastAsia" w:hAnsiTheme="minorEastAsia"/>
          <w:sz w:val="24"/>
          <w:szCs w:val="24"/>
          <w:lang w:eastAsia="zh-CN"/>
        </w:rPr>
      </w:pPr>
    </w:p>
    <w:p>
      <w:pPr>
        <w:spacing w:line="360" w:lineRule="auto"/>
        <w:rPr>
          <w:rFonts w:asciiTheme="minorEastAsia" w:hAnsiTheme="minorEastAsia"/>
          <w:sz w:val="24"/>
          <w:szCs w:val="24"/>
        </w:rPr>
      </w:pPr>
      <w:r>
        <w:rPr>
          <w:rFonts w:hint="eastAsia" w:asciiTheme="minorEastAsia" w:hAnsiTheme="minorEastAsia"/>
          <w:sz w:val="24"/>
          <w:szCs w:val="24"/>
        </w:rPr>
        <w:t>14、质量保证</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阀门在验收后供应商提供至少24个月或投运18个月的质量保证期，在质量保证期内，如发现阀门有任何质量或功能问题，供应商应免费进行必要的更换和维修。</w:t>
      </w:r>
    </w:p>
    <w:p>
      <w:pPr>
        <w:spacing w:line="360" w:lineRule="auto"/>
        <w:ind w:firstLine="480" w:firstLineChars="20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15、交货期</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阀门出厂后20天内完成改造及工厂性能测试合格并返回甲方。</w:t>
      </w:r>
    </w:p>
    <w:p>
      <w:pPr>
        <w:spacing w:line="360" w:lineRule="auto"/>
        <w:ind w:firstLine="480" w:firstLineChars="200"/>
        <w:rPr>
          <w:rFonts w:asciiTheme="minorEastAsia" w:hAnsiTheme="minorEastAsia"/>
          <w:sz w:val="24"/>
          <w:szCs w:val="24"/>
          <w:lang w:eastAsia="zh-CN"/>
        </w:rPr>
      </w:pPr>
    </w:p>
    <w:p>
      <w:pPr>
        <w:spacing w:line="400" w:lineRule="exact"/>
        <w:ind w:right="-514"/>
        <w:rPr>
          <w:b/>
          <w:sz w:val="28"/>
          <w:szCs w:val="28"/>
          <w:shd w:val="clear" w:color="auto" w:fill="FFFFFF"/>
          <w:lang w:eastAsia="zh-CN"/>
        </w:rPr>
      </w:pPr>
      <w:r>
        <w:rPr>
          <w:rFonts w:hint="eastAsia"/>
          <w:b/>
          <w:sz w:val="28"/>
          <w:szCs w:val="28"/>
          <w:shd w:val="clear" w:color="auto" w:fill="FFFFFF"/>
          <w:lang w:eastAsia="zh-CN"/>
        </w:rPr>
        <w:t>附件2：</w:t>
      </w:r>
    </w:p>
    <w:p>
      <w:pPr>
        <w:pStyle w:val="17"/>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腾龙芳烃（漳州）有限公司  </w:t>
      </w:r>
      <w:r>
        <w:rPr>
          <w:rFonts w:hint="eastAsia" w:asciiTheme="majorEastAsia" w:hAnsiTheme="majorEastAsia" w:eastAsiaTheme="majorEastAsia"/>
          <w:sz w:val="21"/>
          <w:szCs w:val="21"/>
          <w:lang w:eastAsia="zh-CN"/>
        </w:rPr>
        <w:t xml:space="preserve">   </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ind w:right="110" w:rightChars="50" w:firstLine="48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双方就</w:t>
      </w:r>
      <w:r>
        <w:rPr>
          <w:rFonts w:hint="eastAsia" w:asciiTheme="majorEastAsia" w:hAnsiTheme="majorEastAsia" w:eastAsiaTheme="majorEastAsia"/>
          <w:sz w:val="21"/>
          <w:szCs w:val="21"/>
          <w:u w:val="single"/>
          <w:lang w:eastAsia="zh-CN"/>
        </w:rPr>
        <w:t>高精度阀结构改造</w:t>
      </w:r>
      <w:r>
        <w:rPr>
          <w:rFonts w:hint="eastAsia" w:asciiTheme="majorEastAsia" w:hAnsiTheme="majorEastAsia" w:eastAsiaTheme="majorEastAsia"/>
          <w:sz w:val="21"/>
          <w:szCs w:val="21"/>
          <w:lang w:eastAsia="zh-CN"/>
        </w:rPr>
        <w:t>工程签订了</w:t>
      </w:r>
      <w:r>
        <w:rPr>
          <w:rFonts w:hint="eastAsia" w:asciiTheme="majorEastAsia" w:hAnsiTheme="majorEastAsia" w:eastAsiaTheme="majorEastAsia"/>
          <w:sz w:val="21"/>
          <w:szCs w:val="21"/>
          <w:u w:val="single"/>
          <w:lang w:eastAsia="zh-CN"/>
        </w:rPr>
        <w:t xml:space="preserve">维修改造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翔鹭石化（漳州）有限公司HSE管理制度，经双方协商，双方自愿签订本安全环保协议，作为主合同的附件。</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45"/>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45"/>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45"/>
        <w:spacing w:before="0" w:line="360" w:lineRule="auto"/>
        <w:ind w:left="0"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乙方有权对甲方安全管理工作提出合理化建议或改进措施。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乙方对甲方管理人员违章指挥、强令冒险作业、有权拒绝执行。对打击和报复行为有权向上级和有关部门汇报。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乙方对危及生命安全和身体健康的施工作业条件和环境，有权提出整改建议或拒绝施工作业。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乙方施工过程中在发生严重危及作业人员生命安全的不可抗拒紧急情况时，有权采取必要的避险措施，并立即向管理部门报告。</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Chars="-1" w:right="110" w:rightChars="50" w:hanging="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right="110" w:rightChars="50" w:hanging="2"/>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45"/>
        <w:numPr>
          <w:ilvl w:val="0"/>
          <w:numId w:val="10"/>
        </w:numPr>
        <w:autoSpaceDE/>
        <w:autoSpaceDN/>
        <w:spacing w:before="0" w:line="360" w:lineRule="auto"/>
        <w:ind w:left="0" w:leftChars="-1" w:right="110" w:rightChars="50" w:hanging="2"/>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本协议书一式两份，甲乙双方各执一份。</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360" w:lineRule="auto"/>
        <w:ind w:right="110" w:rightChars="50"/>
        <w:rPr>
          <w:rFonts w:asciiTheme="majorEastAsia" w:hAnsiTheme="majorEastAsia" w:eastAsiaTheme="majorEastAsia"/>
          <w:sz w:val="21"/>
          <w:szCs w:val="21"/>
          <w:lang w:eastAsia="zh-CN"/>
        </w:rPr>
      </w:pP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                                  乙方(章)：</w:t>
      </w:r>
    </w:p>
    <w:p>
      <w:pPr>
        <w:spacing w:line="360" w:lineRule="auto"/>
        <w:ind w:left="-222" w:leftChars="-101" w:right="110" w:rightChars="50" w:firstLine="630" w:firstLineChars="30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腾龙芳烃（漳州）有限公司                 </w:t>
      </w:r>
    </w:p>
    <w:p>
      <w:pPr>
        <w:spacing w:line="360" w:lineRule="auto"/>
        <w:ind w:right="110" w:rightChars="50"/>
        <w:rPr>
          <w:rFonts w:asciiTheme="majorEastAsia" w:hAnsiTheme="majorEastAsia" w:eastAsiaTheme="majorEastAsia"/>
          <w:sz w:val="21"/>
          <w:szCs w:val="21"/>
          <w:lang w:eastAsia="zh-CN"/>
        </w:rPr>
      </w:pPr>
    </w:p>
    <w:p>
      <w:pPr>
        <w:spacing w:line="360" w:lineRule="auto"/>
        <w:ind w:right="110" w:rightChars="50"/>
        <w:rPr>
          <w:rFonts w:asciiTheme="majorEastAsia" w:hAnsiTheme="majorEastAsia" w:eastAsiaTheme="majorEastAsia"/>
          <w:b/>
          <w:color w:val="FF0000"/>
          <w:sz w:val="21"/>
          <w:szCs w:val="21"/>
          <w:lang w:eastAsia="zh-CN"/>
        </w:rPr>
      </w:pPr>
      <w:r>
        <w:rPr>
          <w:rFonts w:hint="eastAsia" w:asciiTheme="majorEastAsia" w:hAnsiTheme="majorEastAsia" w:eastAsiaTheme="majorEastAsia"/>
          <w:sz w:val="21"/>
          <w:szCs w:val="21"/>
          <w:lang w:eastAsia="zh-CN"/>
        </w:rPr>
        <w:t xml:space="preserve">签定日期：    年    月    日                   </w:t>
      </w:r>
    </w:p>
    <w:p>
      <w:pPr>
        <w:spacing w:line="360" w:lineRule="auto"/>
        <w:ind w:right="110" w:rightChars="50"/>
        <w:rPr>
          <w:rFonts w:asciiTheme="majorEastAsia" w:hAnsiTheme="majorEastAsia" w:eastAsiaTheme="majorEastAsia"/>
          <w:sz w:val="21"/>
          <w:szCs w:val="21"/>
          <w:lang w:eastAsia="zh-CN"/>
        </w:rPr>
      </w:pPr>
    </w:p>
    <w:p>
      <w:pPr>
        <w:pStyle w:val="17"/>
        <w:spacing w:line="360" w:lineRule="auto"/>
        <w:rPr>
          <w:rFonts w:hAnsi="宋体"/>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7"/>
        <w:jc w:val="center"/>
        <w:rPr>
          <w:rFonts w:ascii="Times New Roman" w:hAnsi="Times New Roman"/>
          <w:b/>
          <w:sz w:val="52"/>
          <w:szCs w:val="52"/>
          <w:lang w:eastAsia="zh-CN"/>
        </w:rPr>
      </w:pPr>
    </w:p>
    <w:p>
      <w:pPr>
        <w:pStyle w:val="17"/>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7"/>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黑体" w:hAnsi="黑体" w:eastAsia="黑体"/>
          <w:b/>
          <w:sz w:val="36"/>
          <w:szCs w:val="36"/>
          <w:u w:val="single"/>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PX厂区吸附塔高精度阀结构缺陷分析、设计</w:t>
      </w:r>
    </w:p>
    <w:p>
      <w:pPr>
        <w:spacing w:before="38"/>
        <w:ind w:left="172"/>
        <w:jc w:val="center"/>
        <w:rPr>
          <w:rFonts w:ascii="微软雅黑" w:eastAsia="微软雅黑"/>
          <w:b/>
          <w:sz w:val="36"/>
          <w:szCs w:val="36"/>
          <w:lang w:eastAsia="zh-CN"/>
        </w:rPr>
      </w:pPr>
      <w:r>
        <w:rPr>
          <w:rFonts w:hint="eastAsia" w:ascii="黑体" w:hAnsi="黑体" w:eastAsia="黑体"/>
          <w:b/>
          <w:sz w:val="36"/>
          <w:szCs w:val="36"/>
          <w:u w:val="single"/>
          <w:lang w:eastAsia="zh-CN"/>
        </w:rPr>
        <w:t>与改造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6"/>
          <w:lang w:eastAsia="zh-CN"/>
        </w:rPr>
      </w:pPr>
    </w:p>
    <w:p>
      <w:pPr>
        <w:pStyle w:val="1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12</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7"/>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7"/>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7"/>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7"/>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资质证书、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spacing w:before="38" w:line="360" w:lineRule="auto"/>
        <w:ind w:firstLine="480" w:firstLineChars="200"/>
        <w:rPr>
          <w:rFonts w:asciiTheme="majorEastAsia" w:hAnsiTheme="majorEastAsia" w:eastAsiaTheme="majorEastAsia"/>
          <w:sz w:val="24"/>
          <w:szCs w:val="24"/>
          <w:u w:val="single"/>
          <w:lang w:eastAsia="zh-CN"/>
        </w:rPr>
      </w:pPr>
      <w:r>
        <w:rPr>
          <w:rFonts w:hint="eastAsia"/>
          <w:sz w:val="24"/>
          <w:szCs w:val="24"/>
          <w:lang w:eastAsia="zh-CN"/>
        </w:rPr>
        <w:t>本授权书声明：注册于</w:t>
      </w:r>
      <w:r>
        <w:rPr>
          <w:rFonts w:hint="eastAsia" w:cs="Times New Roman"/>
          <w:color w:val="00B050"/>
          <w:sz w:val="24"/>
          <w:szCs w:val="24"/>
          <w:u w:val="single"/>
          <w:lang w:eastAsia="zh-CN"/>
        </w:rPr>
        <w:t>注册地址</w:t>
      </w:r>
      <w:r>
        <w:rPr>
          <w:rFonts w:hint="eastAsia"/>
          <w:sz w:val="24"/>
          <w:szCs w:val="24"/>
          <w:lang w:eastAsia="zh-CN"/>
        </w:rPr>
        <w:t>的</w:t>
      </w:r>
      <w:r>
        <w:rPr>
          <w:rFonts w:hint="eastAsia" w:cs="Times New Roman"/>
          <w:color w:val="00B050"/>
          <w:sz w:val="24"/>
          <w:szCs w:val="24"/>
          <w:u w:val="single"/>
          <w:lang w:eastAsia="zh-CN"/>
        </w:rPr>
        <w:t>公司名称</w:t>
      </w:r>
      <w:r>
        <w:rPr>
          <w:rFonts w:hint="eastAsia"/>
          <w:sz w:val="24"/>
          <w:szCs w:val="24"/>
          <w:lang w:eastAsia="zh-CN"/>
        </w:rPr>
        <w:t>的在下方签字（或签章）的</w:t>
      </w:r>
      <w:r>
        <w:rPr>
          <w:rFonts w:hint="eastAsia" w:cs="Times New Roman"/>
          <w:color w:val="00B050"/>
          <w:sz w:val="24"/>
          <w:szCs w:val="24"/>
          <w:u w:val="single"/>
          <w:lang w:eastAsia="zh-CN"/>
        </w:rPr>
        <w:t>法人代表姓名</w:t>
      </w:r>
      <w:r>
        <w:rPr>
          <w:rFonts w:hint="eastAsia"/>
          <w:sz w:val="24"/>
          <w:szCs w:val="24"/>
          <w:lang w:eastAsia="zh-CN"/>
        </w:rPr>
        <w:t>代表本公司授权</w:t>
      </w:r>
      <w:r>
        <w:rPr>
          <w:rFonts w:hint="eastAsia" w:cs="Times New Roman"/>
          <w:color w:val="00B050"/>
          <w:sz w:val="24"/>
          <w:szCs w:val="24"/>
          <w:u w:val="single"/>
          <w:lang w:eastAsia="zh-CN"/>
        </w:rPr>
        <w:t>被授权代表人姓名、职务</w:t>
      </w:r>
      <w:r>
        <w:rPr>
          <w:rFonts w:hint="eastAsia"/>
          <w:sz w:val="24"/>
          <w:szCs w:val="24"/>
          <w:lang w:eastAsia="zh-CN"/>
        </w:rPr>
        <w:t>为本公司的合法代理人，就福建福海创石油化工有限公司</w:t>
      </w:r>
      <w:r>
        <w:rPr>
          <w:rFonts w:hint="eastAsia" w:ascii="微软雅黑" w:eastAsia="微软雅黑"/>
          <w:b/>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PX厂区吸附塔高精度阀结构缺陷分析、设计与改造 </w:t>
      </w:r>
      <w:r>
        <w:rPr>
          <w:rFonts w:hint="eastAsia" w:ascii="微软雅黑" w:eastAsia="微软雅黑"/>
          <w:b/>
          <w:sz w:val="24"/>
          <w:szCs w:val="24"/>
          <w:u w:val="single"/>
          <w:lang w:eastAsia="zh-CN"/>
        </w:rPr>
        <w:t xml:space="preserve"> </w:t>
      </w:r>
      <w:r>
        <w:rPr>
          <w:rFonts w:hint="eastAsia"/>
          <w:sz w:val="24"/>
          <w:szCs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2020年  月   日</w:t>
      </w:r>
      <w:r>
        <w:rPr>
          <w:rFonts w:hint="eastAsia"/>
          <w:sz w:val="24"/>
          <w:szCs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微软雅黑" w:eastAsia="微软雅黑"/>
          <w:b/>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PX厂区吸附塔高精度阀结构缺陷分析、设计与改造 </w:t>
      </w:r>
      <w:r>
        <w:rPr>
          <w:rFonts w:hint="eastAsia" w:ascii="微软雅黑" w:eastAsia="微软雅黑"/>
          <w:b/>
          <w:sz w:val="24"/>
          <w:szCs w:val="24"/>
          <w:u w:val="single"/>
          <w:lang w:eastAsia="zh-CN"/>
        </w:rPr>
        <w:t xml:space="preserve"> </w:t>
      </w:r>
      <w:r>
        <w:rPr>
          <w:rFonts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24"/>
          <w:szCs w:val="24"/>
        </w:rPr>
      </w:pPr>
    </w:p>
    <w:p>
      <w:pPr>
        <w:pStyle w:val="2"/>
        <w:rPr>
          <w:sz w:val="24"/>
          <w:szCs w:val="24"/>
        </w:rPr>
      </w:pPr>
      <w:r>
        <w:rPr>
          <w:rFonts w:hint="eastAsia"/>
          <w:sz w:val="24"/>
          <w:szCs w:val="24"/>
        </w:rPr>
        <w:t>附件5、</w:t>
      </w:r>
    </w:p>
    <w:p>
      <w:pPr>
        <w:pStyle w:val="4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7"/>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ascii="微软雅黑" w:eastAsia="微软雅黑"/>
          <w:b/>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PX厂区吸附塔高精度阀结构缺陷分析、设计与改造 </w:t>
      </w:r>
      <w:r>
        <w:rPr>
          <w:rFonts w:hint="eastAsia" w:ascii="微软雅黑" w:eastAsia="微软雅黑"/>
          <w:b/>
          <w:sz w:val="24"/>
          <w:szCs w:val="24"/>
          <w:u w:val="single"/>
          <w:lang w:eastAsia="zh-CN"/>
        </w:rPr>
        <w:t xml:space="preserve">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rPr>
          <w:sz w:val="24"/>
          <w:szCs w:val="24"/>
        </w:rPr>
      </w:pPr>
      <w:r>
        <w:rPr>
          <w:rFonts w:hint="eastAsia"/>
        </w:rPr>
        <w:t xml:space="preserve">       </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45"/>
        <w:widowControl/>
        <w:overflowPunct w:val="0"/>
        <w:adjustRightInd w:val="0"/>
        <w:spacing w:before="0" w:line="360" w:lineRule="auto"/>
        <w:ind w:left="720" w:firstLine="0"/>
        <w:textAlignment w:val="baseline"/>
        <w:rPr>
          <w:b/>
          <w:color w:val="000000"/>
          <w:sz w:val="24"/>
          <w:lang w:eastAsia="zh-CN"/>
        </w:rPr>
      </w:pPr>
      <w:r>
        <w:rPr>
          <w:rFonts w:hint="eastAsia"/>
          <w:b/>
          <w:color w:val="000000"/>
          <w:sz w:val="24"/>
          <w:lang w:eastAsia="zh-CN"/>
        </w:rPr>
        <w:t>附表：</w:t>
      </w:r>
    </w:p>
    <w:tbl>
      <w:tblPr>
        <w:tblStyle w:val="29"/>
        <w:tblW w:w="9072" w:type="dxa"/>
        <w:tblCellSpacing w:w="0" w:type="dxa"/>
        <w:tblInd w:w="1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34"/>
        <w:gridCol w:w="2552"/>
        <w:gridCol w:w="708"/>
        <w:gridCol w:w="1276"/>
        <w:gridCol w:w="1418"/>
        <w:gridCol w:w="1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13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设备名称</w:t>
            </w:r>
          </w:p>
        </w:tc>
        <w:tc>
          <w:tcPr>
            <w:tcW w:w="255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尺寸磅级</w:t>
            </w:r>
          </w:p>
        </w:tc>
        <w:tc>
          <w:tcPr>
            <w:tcW w:w="70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418"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98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1"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9"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16"</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9072" w:type="dxa"/>
            <w:gridSpan w:val="6"/>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总计（含税）：人民币        元整（含</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%增值税）</w:t>
            </w:r>
          </w:p>
        </w:tc>
      </w:tr>
    </w:tbl>
    <w:p>
      <w:pPr>
        <w:pStyle w:val="45"/>
        <w:widowControl/>
        <w:overflowPunct w:val="0"/>
        <w:adjustRightInd w:val="0"/>
        <w:spacing w:before="0" w:line="360" w:lineRule="auto"/>
        <w:ind w:left="720" w:firstLine="0"/>
        <w:textAlignment w:val="baseline"/>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1"/>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1"/>
          <w:jc w:val="center"/>
        </w:pPr>
        <w:r>
          <w:fldChar w:fldCharType="begin"/>
        </w:r>
        <w:r>
          <w:instrText xml:space="preserve"> PAGE   \* MERGEFORMAT </w:instrText>
        </w:r>
        <w:r>
          <w:fldChar w:fldCharType="separate"/>
        </w:r>
        <w:r>
          <w:rPr>
            <w:lang w:val="zh-CN"/>
          </w:rPr>
          <w:t>18</w:t>
        </w:r>
        <w:r>
          <w:rPr>
            <w:lang w:val="zh-CN"/>
          </w:rPr>
          <w:fldChar w:fldCharType="end"/>
        </w:r>
      </w:p>
    </w:sdtContent>
  </w:sdt>
  <w:p>
    <w:pPr>
      <w:pStyle w:val="14"/>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B8620A2"/>
    <w:multiLevelType w:val="multilevel"/>
    <w:tmpl w:val="1B8620A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F9539C"/>
    <w:multiLevelType w:val="multilevel"/>
    <w:tmpl w:val="2AF953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4A79FC"/>
    <w:multiLevelType w:val="multilevel"/>
    <w:tmpl w:val="3A4A79FC"/>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B0C7F3C"/>
    <w:multiLevelType w:val="multilevel"/>
    <w:tmpl w:val="3B0C7F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E4B29D7"/>
    <w:multiLevelType w:val="multilevel"/>
    <w:tmpl w:val="5E4B29D7"/>
    <w:lvl w:ilvl="0" w:tentative="0">
      <w:start w:val="1"/>
      <w:numFmt w:val="decimal"/>
      <w:lvlText w:val="%1）"/>
      <w:lvlJc w:val="left"/>
      <w:pPr>
        <w:ind w:left="1552" w:hanging="360"/>
      </w:pPr>
      <w:rPr>
        <w:rFonts w:hint="default"/>
      </w:rPr>
    </w:lvl>
    <w:lvl w:ilvl="1" w:tentative="0">
      <w:start w:val="1"/>
      <w:numFmt w:val="lowerLetter"/>
      <w:lvlText w:val="%2)"/>
      <w:lvlJc w:val="left"/>
      <w:pPr>
        <w:ind w:left="2032" w:hanging="420"/>
      </w:pPr>
    </w:lvl>
    <w:lvl w:ilvl="2" w:tentative="0">
      <w:start w:val="1"/>
      <w:numFmt w:val="lowerRoman"/>
      <w:lvlText w:val="%3."/>
      <w:lvlJc w:val="right"/>
      <w:pPr>
        <w:ind w:left="2452" w:hanging="420"/>
      </w:pPr>
    </w:lvl>
    <w:lvl w:ilvl="3" w:tentative="0">
      <w:start w:val="1"/>
      <w:numFmt w:val="decimal"/>
      <w:lvlText w:val="%4."/>
      <w:lvlJc w:val="left"/>
      <w:pPr>
        <w:ind w:left="2872" w:hanging="420"/>
      </w:pPr>
    </w:lvl>
    <w:lvl w:ilvl="4" w:tentative="0">
      <w:start w:val="1"/>
      <w:numFmt w:val="lowerLetter"/>
      <w:lvlText w:val="%5)"/>
      <w:lvlJc w:val="left"/>
      <w:pPr>
        <w:ind w:left="3292" w:hanging="420"/>
      </w:pPr>
    </w:lvl>
    <w:lvl w:ilvl="5" w:tentative="0">
      <w:start w:val="1"/>
      <w:numFmt w:val="lowerRoman"/>
      <w:lvlText w:val="%6."/>
      <w:lvlJc w:val="right"/>
      <w:pPr>
        <w:ind w:left="3712" w:hanging="420"/>
      </w:pPr>
    </w:lvl>
    <w:lvl w:ilvl="6" w:tentative="0">
      <w:start w:val="1"/>
      <w:numFmt w:val="decimal"/>
      <w:lvlText w:val="%7."/>
      <w:lvlJc w:val="left"/>
      <w:pPr>
        <w:ind w:left="4132" w:hanging="420"/>
      </w:pPr>
    </w:lvl>
    <w:lvl w:ilvl="7" w:tentative="0">
      <w:start w:val="1"/>
      <w:numFmt w:val="lowerLetter"/>
      <w:lvlText w:val="%8)"/>
      <w:lvlJc w:val="left"/>
      <w:pPr>
        <w:ind w:left="4552" w:hanging="420"/>
      </w:pPr>
    </w:lvl>
    <w:lvl w:ilvl="8" w:tentative="0">
      <w:start w:val="1"/>
      <w:numFmt w:val="lowerRoman"/>
      <w:lvlText w:val="%9."/>
      <w:lvlJc w:val="right"/>
      <w:pPr>
        <w:ind w:left="4972" w:hanging="420"/>
      </w:pPr>
    </w:lvl>
  </w:abstractNum>
  <w:abstractNum w:abstractNumId="9">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9"/>
  </w:num>
  <w:num w:numId="2">
    <w:abstractNumId w:val="0"/>
  </w:num>
  <w:num w:numId="3">
    <w:abstractNumId w:val="3"/>
  </w:num>
  <w:num w:numId="4">
    <w:abstractNumId w:val="8"/>
  </w:num>
  <w:num w:numId="5">
    <w:abstractNumId w:val="2"/>
  </w:num>
  <w:num w:numId="6">
    <w:abstractNumId w:val="4"/>
  </w:num>
  <w:num w:numId="7">
    <w:abstractNumId w:val="5"/>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9A9"/>
    <w:rsid w:val="000566C1"/>
    <w:rsid w:val="000574D8"/>
    <w:rsid w:val="00057B80"/>
    <w:rsid w:val="00061920"/>
    <w:rsid w:val="00065211"/>
    <w:rsid w:val="000660D9"/>
    <w:rsid w:val="0007163D"/>
    <w:rsid w:val="00074021"/>
    <w:rsid w:val="00077B9D"/>
    <w:rsid w:val="00082CB7"/>
    <w:rsid w:val="00083424"/>
    <w:rsid w:val="00083E6F"/>
    <w:rsid w:val="00091F30"/>
    <w:rsid w:val="00092A16"/>
    <w:rsid w:val="00094E76"/>
    <w:rsid w:val="000978A0"/>
    <w:rsid w:val="000A1AAC"/>
    <w:rsid w:val="000A3EC0"/>
    <w:rsid w:val="000A7610"/>
    <w:rsid w:val="000A790C"/>
    <w:rsid w:val="000B32D4"/>
    <w:rsid w:val="000C072B"/>
    <w:rsid w:val="000C1165"/>
    <w:rsid w:val="000C300F"/>
    <w:rsid w:val="000C5F12"/>
    <w:rsid w:val="000C64A8"/>
    <w:rsid w:val="000D11B0"/>
    <w:rsid w:val="000E01DA"/>
    <w:rsid w:val="000E3D99"/>
    <w:rsid w:val="000E6345"/>
    <w:rsid w:val="000E76E8"/>
    <w:rsid w:val="000F1A1D"/>
    <w:rsid w:val="000F1F09"/>
    <w:rsid w:val="000F58B5"/>
    <w:rsid w:val="00100B1C"/>
    <w:rsid w:val="00102DE0"/>
    <w:rsid w:val="001030CD"/>
    <w:rsid w:val="00103CBD"/>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3025"/>
    <w:rsid w:val="00174EC0"/>
    <w:rsid w:val="00177533"/>
    <w:rsid w:val="00180783"/>
    <w:rsid w:val="0018226E"/>
    <w:rsid w:val="0018241B"/>
    <w:rsid w:val="00187E02"/>
    <w:rsid w:val="00192B7D"/>
    <w:rsid w:val="00193817"/>
    <w:rsid w:val="00195099"/>
    <w:rsid w:val="001A0A5E"/>
    <w:rsid w:val="001A36B1"/>
    <w:rsid w:val="001A49C9"/>
    <w:rsid w:val="001A7C6F"/>
    <w:rsid w:val="001B4666"/>
    <w:rsid w:val="001B5F95"/>
    <w:rsid w:val="001B677C"/>
    <w:rsid w:val="001B698B"/>
    <w:rsid w:val="001C430C"/>
    <w:rsid w:val="001D129E"/>
    <w:rsid w:val="001D16B9"/>
    <w:rsid w:val="001D2040"/>
    <w:rsid w:val="001D7B51"/>
    <w:rsid w:val="001E058A"/>
    <w:rsid w:val="001E7BAD"/>
    <w:rsid w:val="001F29F9"/>
    <w:rsid w:val="001F6DCE"/>
    <w:rsid w:val="00205007"/>
    <w:rsid w:val="00206E34"/>
    <w:rsid w:val="0021338D"/>
    <w:rsid w:val="0021431D"/>
    <w:rsid w:val="00222516"/>
    <w:rsid w:val="00226C0B"/>
    <w:rsid w:val="0022716A"/>
    <w:rsid w:val="00227556"/>
    <w:rsid w:val="0023436A"/>
    <w:rsid w:val="00235A02"/>
    <w:rsid w:val="00237C89"/>
    <w:rsid w:val="00240610"/>
    <w:rsid w:val="00240817"/>
    <w:rsid w:val="002432A4"/>
    <w:rsid w:val="00243784"/>
    <w:rsid w:val="0025090F"/>
    <w:rsid w:val="00255354"/>
    <w:rsid w:val="00255631"/>
    <w:rsid w:val="00260E35"/>
    <w:rsid w:val="00261F6C"/>
    <w:rsid w:val="0028289E"/>
    <w:rsid w:val="00283E18"/>
    <w:rsid w:val="0028469F"/>
    <w:rsid w:val="0028558B"/>
    <w:rsid w:val="00285A20"/>
    <w:rsid w:val="00295585"/>
    <w:rsid w:val="002A0C8B"/>
    <w:rsid w:val="002B07A9"/>
    <w:rsid w:val="002B0A06"/>
    <w:rsid w:val="002B49F0"/>
    <w:rsid w:val="002C18CA"/>
    <w:rsid w:val="002C1EF8"/>
    <w:rsid w:val="002C2748"/>
    <w:rsid w:val="002D1DAE"/>
    <w:rsid w:val="002D2646"/>
    <w:rsid w:val="002D7819"/>
    <w:rsid w:val="002E0359"/>
    <w:rsid w:val="002E1E41"/>
    <w:rsid w:val="002E210C"/>
    <w:rsid w:val="002E35CC"/>
    <w:rsid w:val="002E6ED4"/>
    <w:rsid w:val="002F0FE0"/>
    <w:rsid w:val="002F17B5"/>
    <w:rsid w:val="003003A1"/>
    <w:rsid w:val="003006BA"/>
    <w:rsid w:val="003045A7"/>
    <w:rsid w:val="003218EF"/>
    <w:rsid w:val="00322549"/>
    <w:rsid w:val="00323A48"/>
    <w:rsid w:val="00333E2A"/>
    <w:rsid w:val="003352AA"/>
    <w:rsid w:val="0034037A"/>
    <w:rsid w:val="00342D1B"/>
    <w:rsid w:val="00353DDB"/>
    <w:rsid w:val="00353FD4"/>
    <w:rsid w:val="00361ABB"/>
    <w:rsid w:val="00365AFE"/>
    <w:rsid w:val="00367B55"/>
    <w:rsid w:val="00370C38"/>
    <w:rsid w:val="00371CA0"/>
    <w:rsid w:val="00372180"/>
    <w:rsid w:val="00372FA5"/>
    <w:rsid w:val="00376F9A"/>
    <w:rsid w:val="00390950"/>
    <w:rsid w:val="003914FA"/>
    <w:rsid w:val="00392AAD"/>
    <w:rsid w:val="003A1FDF"/>
    <w:rsid w:val="003A256E"/>
    <w:rsid w:val="003A327F"/>
    <w:rsid w:val="003A57FC"/>
    <w:rsid w:val="003B2BCD"/>
    <w:rsid w:val="003B2D77"/>
    <w:rsid w:val="003B3BF2"/>
    <w:rsid w:val="003B4363"/>
    <w:rsid w:val="003B57B9"/>
    <w:rsid w:val="003B6081"/>
    <w:rsid w:val="003D2806"/>
    <w:rsid w:val="003D77B7"/>
    <w:rsid w:val="003F1446"/>
    <w:rsid w:val="003F1FAC"/>
    <w:rsid w:val="003F7C2E"/>
    <w:rsid w:val="0040273C"/>
    <w:rsid w:val="00403AFA"/>
    <w:rsid w:val="0040417A"/>
    <w:rsid w:val="0040778F"/>
    <w:rsid w:val="00423584"/>
    <w:rsid w:val="0043796A"/>
    <w:rsid w:val="00441AFF"/>
    <w:rsid w:val="0044287E"/>
    <w:rsid w:val="00446F80"/>
    <w:rsid w:val="004508A4"/>
    <w:rsid w:val="00453EA6"/>
    <w:rsid w:val="0045672D"/>
    <w:rsid w:val="004611B5"/>
    <w:rsid w:val="00461200"/>
    <w:rsid w:val="00464030"/>
    <w:rsid w:val="00471E39"/>
    <w:rsid w:val="0047282D"/>
    <w:rsid w:val="00474FAE"/>
    <w:rsid w:val="004763D4"/>
    <w:rsid w:val="00477E26"/>
    <w:rsid w:val="0048261B"/>
    <w:rsid w:val="00482B42"/>
    <w:rsid w:val="004835AF"/>
    <w:rsid w:val="00486C1F"/>
    <w:rsid w:val="004919EE"/>
    <w:rsid w:val="0049286C"/>
    <w:rsid w:val="00497CEA"/>
    <w:rsid w:val="004A2A3A"/>
    <w:rsid w:val="004A4779"/>
    <w:rsid w:val="004A68E8"/>
    <w:rsid w:val="004A6E67"/>
    <w:rsid w:val="004B4A9E"/>
    <w:rsid w:val="004C20FD"/>
    <w:rsid w:val="004C3761"/>
    <w:rsid w:val="004C4941"/>
    <w:rsid w:val="004D1023"/>
    <w:rsid w:val="004D16FD"/>
    <w:rsid w:val="004D2C58"/>
    <w:rsid w:val="004D7D03"/>
    <w:rsid w:val="004E0E75"/>
    <w:rsid w:val="004E63B7"/>
    <w:rsid w:val="004F5E72"/>
    <w:rsid w:val="0050268E"/>
    <w:rsid w:val="00502ADE"/>
    <w:rsid w:val="00503354"/>
    <w:rsid w:val="00510E9C"/>
    <w:rsid w:val="00513B86"/>
    <w:rsid w:val="00524492"/>
    <w:rsid w:val="005257EA"/>
    <w:rsid w:val="00533859"/>
    <w:rsid w:val="0053396C"/>
    <w:rsid w:val="00533D5B"/>
    <w:rsid w:val="00540F71"/>
    <w:rsid w:val="0054734D"/>
    <w:rsid w:val="00551549"/>
    <w:rsid w:val="00552E4D"/>
    <w:rsid w:val="00553426"/>
    <w:rsid w:val="00553ED7"/>
    <w:rsid w:val="00555319"/>
    <w:rsid w:val="005577D4"/>
    <w:rsid w:val="00564B7F"/>
    <w:rsid w:val="00567846"/>
    <w:rsid w:val="005722E9"/>
    <w:rsid w:val="005829E2"/>
    <w:rsid w:val="0058459A"/>
    <w:rsid w:val="00593270"/>
    <w:rsid w:val="00593EAB"/>
    <w:rsid w:val="00595392"/>
    <w:rsid w:val="00595F8F"/>
    <w:rsid w:val="005A267F"/>
    <w:rsid w:val="005A4B0B"/>
    <w:rsid w:val="005A7BB0"/>
    <w:rsid w:val="005B104C"/>
    <w:rsid w:val="005B35AA"/>
    <w:rsid w:val="005B4BA0"/>
    <w:rsid w:val="005B5E44"/>
    <w:rsid w:val="005B66C2"/>
    <w:rsid w:val="005B77AC"/>
    <w:rsid w:val="005C4060"/>
    <w:rsid w:val="005C43E3"/>
    <w:rsid w:val="005C49AB"/>
    <w:rsid w:val="005C5BF1"/>
    <w:rsid w:val="005C6606"/>
    <w:rsid w:val="005D12E3"/>
    <w:rsid w:val="005D19AE"/>
    <w:rsid w:val="005D4648"/>
    <w:rsid w:val="005D6EE8"/>
    <w:rsid w:val="005D7E6C"/>
    <w:rsid w:val="005E0672"/>
    <w:rsid w:val="005E626D"/>
    <w:rsid w:val="005E7CDE"/>
    <w:rsid w:val="005F1947"/>
    <w:rsid w:val="005F2E5C"/>
    <w:rsid w:val="005F5FA0"/>
    <w:rsid w:val="005F63E8"/>
    <w:rsid w:val="00601441"/>
    <w:rsid w:val="0060334B"/>
    <w:rsid w:val="00605BBD"/>
    <w:rsid w:val="006103A6"/>
    <w:rsid w:val="00610D2B"/>
    <w:rsid w:val="00611B03"/>
    <w:rsid w:val="006127B7"/>
    <w:rsid w:val="00612F3E"/>
    <w:rsid w:val="00614725"/>
    <w:rsid w:val="006178BB"/>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1CCD"/>
    <w:rsid w:val="00683267"/>
    <w:rsid w:val="006837AD"/>
    <w:rsid w:val="00686952"/>
    <w:rsid w:val="00687836"/>
    <w:rsid w:val="00692262"/>
    <w:rsid w:val="00692F73"/>
    <w:rsid w:val="00693209"/>
    <w:rsid w:val="0069733E"/>
    <w:rsid w:val="006973C8"/>
    <w:rsid w:val="006A430A"/>
    <w:rsid w:val="006A5640"/>
    <w:rsid w:val="006A61A9"/>
    <w:rsid w:val="006A74F2"/>
    <w:rsid w:val="006B160A"/>
    <w:rsid w:val="006C17C9"/>
    <w:rsid w:val="006C3906"/>
    <w:rsid w:val="006C5136"/>
    <w:rsid w:val="006C5F2E"/>
    <w:rsid w:val="006C66F6"/>
    <w:rsid w:val="006D0C10"/>
    <w:rsid w:val="006E31FC"/>
    <w:rsid w:val="006E572C"/>
    <w:rsid w:val="006E62DE"/>
    <w:rsid w:val="006F24FB"/>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4486"/>
    <w:rsid w:val="007563C8"/>
    <w:rsid w:val="007626D4"/>
    <w:rsid w:val="007627D8"/>
    <w:rsid w:val="007646B1"/>
    <w:rsid w:val="00764844"/>
    <w:rsid w:val="0076787A"/>
    <w:rsid w:val="0077094C"/>
    <w:rsid w:val="007760C7"/>
    <w:rsid w:val="00786185"/>
    <w:rsid w:val="007868C2"/>
    <w:rsid w:val="00786E3C"/>
    <w:rsid w:val="0078787D"/>
    <w:rsid w:val="0079541F"/>
    <w:rsid w:val="007A0629"/>
    <w:rsid w:val="007A3950"/>
    <w:rsid w:val="007A7888"/>
    <w:rsid w:val="007B6C5D"/>
    <w:rsid w:val="007C402C"/>
    <w:rsid w:val="007C43CE"/>
    <w:rsid w:val="007C5BFE"/>
    <w:rsid w:val="007D026E"/>
    <w:rsid w:val="007D1BC9"/>
    <w:rsid w:val="007D4407"/>
    <w:rsid w:val="007D7C61"/>
    <w:rsid w:val="007E72C8"/>
    <w:rsid w:val="007F139C"/>
    <w:rsid w:val="007F37A6"/>
    <w:rsid w:val="007F5584"/>
    <w:rsid w:val="0080002D"/>
    <w:rsid w:val="00800D6E"/>
    <w:rsid w:val="00801C81"/>
    <w:rsid w:val="00805348"/>
    <w:rsid w:val="0080561F"/>
    <w:rsid w:val="00807905"/>
    <w:rsid w:val="0081139D"/>
    <w:rsid w:val="008148FE"/>
    <w:rsid w:val="00815E73"/>
    <w:rsid w:val="00817559"/>
    <w:rsid w:val="00820E36"/>
    <w:rsid w:val="00831E2E"/>
    <w:rsid w:val="0083228F"/>
    <w:rsid w:val="00836D8C"/>
    <w:rsid w:val="00837C7C"/>
    <w:rsid w:val="0084094D"/>
    <w:rsid w:val="008427A4"/>
    <w:rsid w:val="00842866"/>
    <w:rsid w:val="00844CFA"/>
    <w:rsid w:val="008465E3"/>
    <w:rsid w:val="008501E8"/>
    <w:rsid w:val="00850FEC"/>
    <w:rsid w:val="00853DDB"/>
    <w:rsid w:val="008736F1"/>
    <w:rsid w:val="008769E8"/>
    <w:rsid w:val="00884265"/>
    <w:rsid w:val="00884873"/>
    <w:rsid w:val="00886356"/>
    <w:rsid w:val="00886AD4"/>
    <w:rsid w:val="00892302"/>
    <w:rsid w:val="00896532"/>
    <w:rsid w:val="00897CED"/>
    <w:rsid w:val="008A06E6"/>
    <w:rsid w:val="008A4205"/>
    <w:rsid w:val="008A5545"/>
    <w:rsid w:val="008B177E"/>
    <w:rsid w:val="008C06B2"/>
    <w:rsid w:val="008C0A12"/>
    <w:rsid w:val="008C21B5"/>
    <w:rsid w:val="008C488E"/>
    <w:rsid w:val="008D05C7"/>
    <w:rsid w:val="008D4C06"/>
    <w:rsid w:val="008D7465"/>
    <w:rsid w:val="008E1DB0"/>
    <w:rsid w:val="008E53E2"/>
    <w:rsid w:val="008F1C5D"/>
    <w:rsid w:val="008F47A3"/>
    <w:rsid w:val="008F6566"/>
    <w:rsid w:val="008F6946"/>
    <w:rsid w:val="008F7732"/>
    <w:rsid w:val="00901C7B"/>
    <w:rsid w:val="00902CEE"/>
    <w:rsid w:val="0090301E"/>
    <w:rsid w:val="00903F42"/>
    <w:rsid w:val="00906C06"/>
    <w:rsid w:val="009223A0"/>
    <w:rsid w:val="00922B67"/>
    <w:rsid w:val="00922FE7"/>
    <w:rsid w:val="00925AEC"/>
    <w:rsid w:val="00927221"/>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3422"/>
    <w:rsid w:val="0098443A"/>
    <w:rsid w:val="00986A43"/>
    <w:rsid w:val="00995671"/>
    <w:rsid w:val="009A06E6"/>
    <w:rsid w:val="009A0766"/>
    <w:rsid w:val="009A106C"/>
    <w:rsid w:val="009A7E31"/>
    <w:rsid w:val="009B30BD"/>
    <w:rsid w:val="009B3333"/>
    <w:rsid w:val="009B34E7"/>
    <w:rsid w:val="009C38B3"/>
    <w:rsid w:val="009C3BE2"/>
    <w:rsid w:val="009C76EB"/>
    <w:rsid w:val="009D510E"/>
    <w:rsid w:val="009D6569"/>
    <w:rsid w:val="009F1737"/>
    <w:rsid w:val="009F186E"/>
    <w:rsid w:val="009F1CF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16F6"/>
    <w:rsid w:val="00A52D72"/>
    <w:rsid w:val="00A536A6"/>
    <w:rsid w:val="00A54181"/>
    <w:rsid w:val="00A545E8"/>
    <w:rsid w:val="00A54A9D"/>
    <w:rsid w:val="00A638CC"/>
    <w:rsid w:val="00A66C05"/>
    <w:rsid w:val="00A72D69"/>
    <w:rsid w:val="00A7709F"/>
    <w:rsid w:val="00A77229"/>
    <w:rsid w:val="00A81C9C"/>
    <w:rsid w:val="00A84167"/>
    <w:rsid w:val="00A86721"/>
    <w:rsid w:val="00A867E8"/>
    <w:rsid w:val="00A9710D"/>
    <w:rsid w:val="00A976BF"/>
    <w:rsid w:val="00A97D0E"/>
    <w:rsid w:val="00AA062F"/>
    <w:rsid w:val="00AA6D81"/>
    <w:rsid w:val="00AB798A"/>
    <w:rsid w:val="00AC019C"/>
    <w:rsid w:val="00AC29D1"/>
    <w:rsid w:val="00AE0225"/>
    <w:rsid w:val="00AE058E"/>
    <w:rsid w:val="00AE1250"/>
    <w:rsid w:val="00AE14F2"/>
    <w:rsid w:val="00AE2C37"/>
    <w:rsid w:val="00AE4B95"/>
    <w:rsid w:val="00AE4FD5"/>
    <w:rsid w:val="00AE5ABC"/>
    <w:rsid w:val="00AE5AF2"/>
    <w:rsid w:val="00AE67BB"/>
    <w:rsid w:val="00AF2AD1"/>
    <w:rsid w:val="00AF4539"/>
    <w:rsid w:val="00B002FC"/>
    <w:rsid w:val="00B01BD2"/>
    <w:rsid w:val="00B01CF2"/>
    <w:rsid w:val="00B0216E"/>
    <w:rsid w:val="00B02339"/>
    <w:rsid w:val="00B065F7"/>
    <w:rsid w:val="00B152CD"/>
    <w:rsid w:val="00B15FF6"/>
    <w:rsid w:val="00B20863"/>
    <w:rsid w:val="00B26192"/>
    <w:rsid w:val="00B27085"/>
    <w:rsid w:val="00B307F2"/>
    <w:rsid w:val="00B330EC"/>
    <w:rsid w:val="00B36DF2"/>
    <w:rsid w:val="00B37788"/>
    <w:rsid w:val="00B40A6E"/>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AA"/>
    <w:rsid w:val="00B85CDD"/>
    <w:rsid w:val="00B86852"/>
    <w:rsid w:val="00B905D2"/>
    <w:rsid w:val="00B92675"/>
    <w:rsid w:val="00B93FAE"/>
    <w:rsid w:val="00B966DA"/>
    <w:rsid w:val="00BA0122"/>
    <w:rsid w:val="00BA29FE"/>
    <w:rsid w:val="00BA2A75"/>
    <w:rsid w:val="00BA31F1"/>
    <w:rsid w:val="00BA5558"/>
    <w:rsid w:val="00BB01F8"/>
    <w:rsid w:val="00BB1EFB"/>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BF71CB"/>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4529B"/>
    <w:rsid w:val="00C5640F"/>
    <w:rsid w:val="00C60594"/>
    <w:rsid w:val="00C61DB8"/>
    <w:rsid w:val="00C73BF4"/>
    <w:rsid w:val="00C74C62"/>
    <w:rsid w:val="00C81B27"/>
    <w:rsid w:val="00C845B7"/>
    <w:rsid w:val="00C8684E"/>
    <w:rsid w:val="00C900D2"/>
    <w:rsid w:val="00C929E9"/>
    <w:rsid w:val="00C97478"/>
    <w:rsid w:val="00CA1DD5"/>
    <w:rsid w:val="00CA2C40"/>
    <w:rsid w:val="00CA5CF2"/>
    <w:rsid w:val="00CB13B4"/>
    <w:rsid w:val="00CB2215"/>
    <w:rsid w:val="00CB2E01"/>
    <w:rsid w:val="00CB41BE"/>
    <w:rsid w:val="00CB45DC"/>
    <w:rsid w:val="00CD3568"/>
    <w:rsid w:val="00CE1050"/>
    <w:rsid w:val="00CE26A2"/>
    <w:rsid w:val="00CE30D9"/>
    <w:rsid w:val="00CE495C"/>
    <w:rsid w:val="00CF2260"/>
    <w:rsid w:val="00CF22A0"/>
    <w:rsid w:val="00CF414E"/>
    <w:rsid w:val="00CF6340"/>
    <w:rsid w:val="00D070CB"/>
    <w:rsid w:val="00D13CD0"/>
    <w:rsid w:val="00D15F34"/>
    <w:rsid w:val="00D164F0"/>
    <w:rsid w:val="00D17E3D"/>
    <w:rsid w:val="00D227E9"/>
    <w:rsid w:val="00D239A4"/>
    <w:rsid w:val="00D252B3"/>
    <w:rsid w:val="00D40F30"/>
    <w:rsid w:val="00D43086"/>
    <w:rsid w:val="00D461AC"/>
    <w:rsid w:val="00D56426"/>
    <w:rsid w:val="00D56CA5"/>
    <w:rsid w:val="00D735D2"/>
    <w:rsid w:val="00D7448B"/>
    <w:rsid w:val="00D749CB"/>
    <w:rsid w:val="00D74CF8"/>
    <w:rsid w:val="00D75E32"/>
    <w:rsid w:val="00D809BD"/>
    <w:rsid w:val="00D80BF3"/>
    <w:rsid w:val="00D8165C"/>
    <w:rsid w:val="00D81A23"/>
    <w:rsid w:val="00D84374"/>
    <w:rsid w:val="00D844C1"/>
    <w:rsid w:val="00D856F2"/>
    <w:rsid w:val="00D947D8"/>
    <w:rsid w:val="00D95908"/>
    <w:rsid w:val="00D969FA"/>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67EC"/>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A5FC7"/>
    <w:rsid w:val="00EB04FA"/>
    <w:rsid w:val="00EB2E58"/>
    <w:rsid w:val="00EB672A"/>
    <w:rsid w:val="00EC6214"/>
    <w:rsid w:val="00ED0D7F"/>
    <w:rsid w:val="00ED0EB7"/>
    <w:rsid w:val="00ED4054"/>
    <w:rsid w:val="00ED63E2"/>
    <w:rsid w:val="00ED6A31"/>
    <w:rsid w:val="00ED719C"/>
    <w:rsid w:val="00ED7768"/>
    <w:rsid w:val="00EE0686"/>
    <w:rsid w:val="00EE2B7C"/>
    <w:rsid w:val="00EE735B"/>
    <w:rsid w:val="00EF0F5B"/>
    <w:rsid w:val="00EF5DFE"/>
    <w:rsid w:val="00F03A3C"/>
    <w:rsid w:val="00F03DBB"/>
    <w:rsid w:val="00F060A9"/>
    <w:rsid w:val="00F06CFC"/>
    <w:rsid w:val="00F07BD1"/>
    <w:rsid w:val="00F14430"/>
    <w:rsid w:val="00F1620A"/>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71C72"/>
    <w:rsid w:val="00F7405E"/>
    <w:rsid w:val="00F766F8"/>
    <w:rsid w:val="00F80742"/>
    <w:rsid w:val="00F81AA8"/>
    <w:rsid w:val="00F81DC8"/>
    <w:rsid w:val="00F86A99"/>
    <w:rsid w:val="00F86B1A"/>
    <w:rsid w:val="00F90412"/>
    <w:rsid w:val="00F904FF"/>
    <w:rsid w:val="00F97E24"/>
    <w:rsid w:val="00FA00FA"/>
    <w:rsid w:val="00FA187E"/>
    <w:rsid w:val="00FA3B06"/>
    <w:rsid w:val="00FA5E9F"/>
    <w:rsid w:val="00FA7EF2"/>
    <w:rsid w:val="00FB093C"/>
    <w:rsid w:val="00FB2BDE"/>
    <w:rsid w:val="00FB3167"/>
    <w:rsid w:val="00FB4B2B"/>
    <w:rsid w:val="00FB517A"/>
    <w:rsid w:val="00FB52E3"/>
    <w:rsid w:val="00FC0F19"/>
    <w:rsid w:val="00FC2CF1"/>
    <w:rsid w:val="00FC4D4F"/>
    <w:rsid w:val="00FD1A6E"/>
    <w:rsid w:val="00FD2FD3"/>
    <w:rsid w:val="00FD31B4"/>
    <w:rsid w:val="00FD56DC"/>
    <w:rsid w:val="00FD5BEF"/>
    <w:rsid w:val="00FE0EA3"/>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6FD16A76"/>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99"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6"/>
    <w:qFormat/>
    <w:uiPriority w:val="0"/>
    <w:pPr>
      <w:ind w:left="538"/>
      <w:outlineLvl w:val="0"/>
    </w:pPr>
    <w:rPr>
      <w:b/>
      <w:bCs/>
      <w:sz w:val="28"/>
      <w:szCs w:val="28"/>
    </w:rPr>
  </w:style>
  <w:style w:type="paragraph" w:styleId="4">
    <w:name w:val="heading 2"/>
    <w:basedOn w:val="1"/>
    <w:next w:val="1"/>
    <w:link w:val="37"/>
    <w:qFormat/>
    <w:uiPriority w:val="0"/>
    <w:pPr>
      <w:ind w:left="629"/>
      <w:outlineLvl w:val="1"/>
    </w:pPr>
    <w:rPr>
      <w:b/>
      <w:bCs/>
      <w:sz w:val="24"/>
      <w:szCs w:val="24"/>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9"/>
    <w:semiHidden/>
    <w:unhideWhenUsed/>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8">
    <w:name w:val="toc 7"/>
    <w:basedOn w:val="1"/>
    <w:next w:val="1"/>
    <w:qFormat/>
    <w:uiPriority w:val="0"/>
    <w:pPr>
      <w:ind w:left="2520" w:leftChars="1200"/>
    </w:pPr>
  </w:style>
  <w:style w:type="paragraph" w:styleId="9">
    <w:name w:val="Normal Indent"/>
    <w:basedOn w:val="1"/>
    <w:next w:val="10"/>
    <w:link w:val="78"/>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10">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Document Map"/>
    <w:basedOn w:val="1"/>
    <w:link w:val="64"/>
    <w:qFormat/>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2">
    <w:name w:val="annotation text"/>
    <w:basedOn w:val="1"/>
    <w:link w:val="56"/>
    <w:qFormat/>
    <w:uiPriority w:val="0"/>
    <w:pPr>
      <w:autoSpaceDE/>
      <w:autoSpaceDN/>
      <w:jc w:val="both"/>
    </w:pPr>
    <w:rPr>
      <w:rFonts w:ascii="Times New Roman" w:hAnsi="Times New Roman" w:cs="Times New Roman"/>
      <w:kern w:val="2"/>
      <w:sz w:val="21"/>
      <w:szCs w:val="20"/>
      <w:lang w:eastAsia="zh-CN"/>
    </w:rPr>
  </w:style>
  <w:style w:type="paragraph" w:styleId="13">
    <w:name w:val="Closing"/>
    <w:basedOn w:val="1"/>
    <w:link w:val="59"/>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4">
    <w:name w:val="Body Text"/>
    <w:basedOn w:val="1"/>
    <w:link w:val="40"/>
    <w:qFormat/>
    <w:uiPriority w:val="99"/>
    <w:rPr>
      <w:sz w:val="24"/>
      <w:szCs w:val="24"/>
    </w:rPr>
  </w:style>
  <w:style w:type="paragraph" w:styleId="15">
    <w:name w:val="Body Text Indent"/>
    <w:basedOn w:val="1"/>
    <w:link w:val="60"/>
    <w:qFormat/>
    <w:uiPriority w:val="0"/>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link w:val="41"/>
    <w:qFormat/>
    <w:uiPriority w:val="0"/>
    <w:rPr>
      <w:rFonts w:hAnsi="Courier New" w:cs="Courier New"/>
      <w:szCs w:val="21"/>
    </w:rPr>
  </w:style>
  <w:style w:type="paragraph" w:styleId="18">
    <w:name w:val="Date"/>
    <w:basedOn w:val="1"/>
    <w:next w:val="1"/>
    <w:link w:val="48"/>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9">
    <w:name w:val="Body Text Indent 2"/>
    <w:basedOn w:val="1"/>
    <w:link w:val="58"/>
    <w:qFormat/>
    <w:uiPriority w:val="0"/>
    <w:pPr>
      <w:spacing w:after="120" w:line="480" w:lineRule="auto"/>
      <w:ind w:left="420" w:leftChars="200"/>
    </w:pPr>
  </w:style>
  <w:style w:type="paragraph" w:styleId="20">
    <w:name w:val="Balloon Text"/>
    <w:basedOn w:val="1"/>
    <w:link w:val="52"/>
    <w:qFormat/>
    <w:uiPriority w:val="0"/>
    <w:rPr>
      <w:sz w:val="18"/>
      <w:szCs w:val="18"/>
    </w:rPr>
  </w:style>
  <w:style w:type="paragraph" w:styleId="21">
    <w:name w:val="footer"/>
    <w:basedOn w:val="1"/>
    <w:link w:val="42"/>
    <w:qFormat/>
    <w:uiPriority w:val="99"/>
    <w:pPr>
      <w:tabs>
        <w:tab w:val="center" w:pos="4153"/>
        <w:tab w:val="right" w:pos="8306"/>
      </w:tabs>
      <w:snapToGrid w:val="0"/>
    </w:pPr>
    <w:rPr>
      <w:sz w:val="18"/>
      <w:szCs w:val="18"/>
    </w:rPr>
  </w:style>
  <w:style w:type="paragraph" w:styleId="22">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3">
    <w:name w:val="List"/>
    <w:basedOn w:val="1"/>
    <w:qFormat/>
    <w:uiPriority w:val="0"/>
    <w:pPr>
      <w:widowControl/>
      <w:autoSpaceDE/>
      <w:autoSpaceDN/>
      <w:ind w:left="420" w:hanging="420"/>
    </w:pPr>
    <w:rPr>
      <w:rFonts w:hAnsi="Times New Roman" w:cs="Times New Roman"/>
      <w:szCs w:val="20"/>
      <w:lang w:eastAsia="zh-CN"/>
    </w:rPr>
  </w:style>
  <w:style w:type="paragraph" w:styleId="24">
    <w:name w:val="Body Text Indent 3"/>
    <w:basedOn w:val="1"/>
    <w:link w:val="72"/>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5">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6">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27">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8">
    <w:name w:val="annotation subject"/>
    <w:basedOn w:val="12"/>
    <w:next w:val="12"/>
    <w:link w:val="61"/>
    <w:qFormat/>
    <w:uiPriority w:val="0"/>
    <w:pPr>
      <w:adjustRightInd w:val="0"/>
      <w:spacing w:line="360" w:lineRule="atLeast"/>
      <w:jc w:val="left"/>
      <w:textAlignment w:val="baseline"/>
    </w:pPr>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basedOn w:val="31"/>
    <w:qFormat/>
    <w:uiPriority w:val="0"/>
    <w:rPr>
      <w:color w:val="800080"/>
      <w:u w:val="single"/>
    </w:rPr>
  </w:style>
  <w:style w:type="character" w:styleId="35">
    <w:name w:val="Hyperlink"/>
    <w:basedOn w:val="31"/>
    <w:qFormat/>
    <w:uiPriority w:val="99"/>
    <w:rPr>
      <w:color w:val="0000FF"/>
      <w:u w:val="single"/>
    </w:rPr>
  </w:style>
  <w:style w:type="character" w:customStyle="1" w:styleId="36">
    <w:name w:val="标题 1 Char"/>
    <w:link w:val="3"/>
    <w:uiPriority w:val="0"/>
    <w:rPr>
      <w:rFonts w:ascii="宋体" w:hAnsi="宋体" w:cs="宋体"/>
      <w:b/>
      <w:bCs/>
      <w:sz w:val="28"/>
      <w:szCs w:val="28"/>
      <w:lang w:eastAsia="en-US"/>
    </w:rPr>
  </w:style>
  <w:style w:type="character" w:customStyle="1" w:styleId="37">
    <w:name w:val="标题 2 Char"/>
    <w:basedOn w:val="31"/>
    <w:link w:val="4"/>
    <w:uiPriority w:val="0"/>
    <w:rPr>
      <w:rFonts w:ascii="宋体" w:hAnsi="宋体" w:cs="宋体"/>
      <w:b/>
      <w:bCs/>
      <w:sz w:val="24"/>
      <w:szCs w:val="24"/>
      <w:lang w:eastAsia="en-US"/>
    </w:rPr>
  </w:style>
  <w:style w:type="character" w:customStyle="1" w:styleId="38">
    <w:name w:val="标题 3 Char"/>
    <w:basedOn w:val="31"/>
    <w:link w:val="5"/>
    <w:uiPriority w:val="0"/>
    <w:rPr>
      <w:rFonts w:ascii="宋体" w:hAnsi="宋体" w:cs="宋体"/>
      <w:b/>
      <w:bCs/>
      <w:sz w:val="32"/>
      <w:szCs w:val="32"/>
      <w:lang w:eastAsia="en-US"/>
    </w:rPr>
  </w:style>
  <w:style w:type="character" w:customStyle="1" w:styleId="39">
    <w:name w:val="标题 4 Char"/>
    <w:basedOn w:val="31"/>
    <w:link w:val="6"/>
    <w:semiHidden/>
    <w:uiPriority w:val="0"/>
    <w:rPr>
      <w:rFonts w:asciiTheme="majorHAnsi" w:hAnsiTheme="majorHAnsi" w:eastAsiaTheme="majorEastAsia" w:cstheme="majorBidi"/>
      <w:b/>
      <w:bCs/>
      <w:sz w:val="28"/>
      <w:szCs w:val="28"/>
      <w:lang w:eastAsia="en-US"/>
    </w:rPr>
  </w:style>
  <w:style w:type="character" w:customStyle="1" w:styleId="40">
    <w:name w:val="正文文本 Char"/>
    <w:basedOn w:val="31"/>
    <w:link w:val="14"/>
    <w:uiPriority w:val="0"/>
    <w:rPr>
      <w:rFonts w:ascii="宋体" w:hAnsi="宋体" w:cs="宋体"/>
      <w:sz w:val="24"/>
      <w:szCs w:val="24"/>
      <w:lang w:eastAsia="en-US"/>
    </w:rPr>
  </w:style>
  <w:style w:type="character" w:customStyle="1" w:styleId="41">
    <w:name w:val="纯文本 Char1"/>
    <w:link w:val="17"/>
    <w:qFormat/>
    <w:uiPriority w:val="0"/>
    <w:rPr>
      <w:rFonts w:ascii="宋体" w:hAnsi="Courier New" w:cs="Courier New"/>
      <w:sz w:val="22"/>
      <w:szCs w:val="21"/>
      <w:lang w:eastAsia="en-US"/>
    </w:rPr>
  </w:style>
  <w:style w:type="character" w:customStyle="1" w:styleId="42">
    <w:name w:val="页脚 Char"/>
    <w:basedOn w:val="31"/>
    <w:link w:val="21"/>
    <w:qFormat/>
    <w:uiPriority w:val="99"/>
    <w:rPr>
      <w:rFonts w:ascii="宋体" w:hAnsi="宋体" w:cs="宋体"/>
      <w:sz w:val="18"/>
      <w:szCs w:val="18"/>
      <w:lang w:eastAsia="en-US"/>
    </w:rPr>
  </w:style>
  <w:style w:type="character" w:customStyle="1" w:styleId="43">
    <w:name w:val="页眉 Char"/>
    <w:basedOn w:val="31"/>
    <w:link w:val="10"/>
    <w:qFormat/>
    <w:uiPriority w:val="0"/>
    <w:rPr>
      <w:rFonts w:ascii="宋体" w:hAnsi="宋体" w:cs="宋体"/>
      <w:sz w:val="18"/>
      <w:szCs w:val="22"/>
      <w:lang w:eastAsia="en-US"/>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styleId="45">
    <w:name w:val="List Paragraph"/>
    <w:basedOn w:val="1"/>
    <w:qFormat/>
    <w:uiPriority w:val="1"/>
    <w:pPr>
      <w:spacing w:before="206"/>
      <w:ind w:left="959" w:hanging="361"/>
    </w:pPr>
  </w:style>
  <w:style w:type="paragraph" w:customStyle="1" w:styleId="46">
    <w:name w:val="Table Paragraph"/>
    <w:basedOn w:val="1"/>
    <w:qFormat/>
    <w:uiPriority w:val="1"/>
  </w:style>
  <w:style w:type="paragraph" w:customStyle="1" w:styleId="4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8">
    <w:name w:val="日期 Char"/>
    <w:basedOn w:val="31"/>
    <w:link w:val="18"/>
    <w:qFormat/>
    <w:uiPriority w:val="0"/>
    <w:rPr>
      <w:rFonts w:asciiTheme="minorHAnsi" w:hAnsiTheme="minorHAnsi" w:eastAsiaTheme="minorEastAsia" w:cstheme="minorBidi"/>
      <w:kern w:val="2"/>
      <w:sz w:val="21"/>
      <w:szCs w:val="22"/>
    </w:rPr>
  </w:style>
  <w:style w:type="paragraph" w:customStyle="1" w:styleId="49">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0">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1">
    <w:name w:val="xdrichtextbox2"/>
    <w:basedOn w:val="31"/>
    <w:qFormat/>
    <w:uiPriority w:val="0"/>
    <w:rPr>
      <w:color w:val="0000FF"/>
      <w:sz w:val="18"/>
      <w:szCs w:val="18"/>
      <w:u w:val="none"/>
      <w:bdr w:val="single" w:color="DCDCDC" w:sz="8" w:space="0"/>
      <w:shd w:val="clear" w:color="auto" w:fill="FFFFFF"/>
    </w:rPr>
  </w:style>
  <w:style w:type="character" w:customStyle="1" w:styleId="52">
    <w:name w:val="批注框文本 Char"/>
    <w:basedOn w:val="31"/>
    <w:link w:val="20"/>
    <w:qFormat/>
    <w:uiPriority w:val="0"/>
    <w:rPr>
      <w:rFonts w:ascii="宋体" w:hAnsi="宋体" w:cs="宋体"/>
      <w:sz w:val="18"/>
      <w:szCs w:val="18"/>
      <w:lang w:eastAsia="en-US"/>
    </w:rPr>
  </w:style>
  <w:style w:type="paragraph" w:customStyle="1" w:styleId="53">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4">
    <w:name w:val="apple-converted-space"/>
    <w:basedOn w:val="31"/>
    <w:qFormat/>
    <w:uiPriority w:val="0"/>
  </w:style>
  <w:style w:type="paragraph" w:customStyle="1" w:styleId="55">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6">
    <w:name w:val="批注文字 Char"/>
    <w:basedOn w:val="31"/>
    <w:link w:val="12"/>
    <w:qFormat/>
    <w:uiPriority w:val="0"/>
    <w:rPr>
      <w:kern w:val="2"/>
      <w:sz w:val="21"/>
    </w:rPr>
  </w:style>
  <w:style w:type="paragraph" w:customStyle="1" w:styleId="57">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8">
    <w:name w:val="正文文本缩进 2 Char"/>
    <w:basedOn w:val="31"/>
    <w:link w:val="19"/>
    <w:qFormat/>
    <w:uiPriority w:val="0"/>
    <w:rPr>
      <w:rFonts w:ascii="宋体" w:hAnsi="宋体" w:cs="宋体"/>
      <w:sz w:val="22"/>
      <w:szCs w:val="22"/>
      <w:lang w:eastAsia="en-US"/>
    </w:rPr>
  </w:style>
  <w:style w:type="character" w:customStyle="1" w:styleId="59">
    <w:name w:val="结束语 Char"/>
    <w:basedOn w:val="31"/>
    <w:link w:val="13"/>
    <w:qFormat/>
    <w:uiPriority w:val="99"/>
    <w:rPr>
      <w:b/>
      <w:kern w:val="2"/>
      <w:sz w:val="21"/>
    </w:rPr>
  </w:style>
  <w:style w:type="character" w:customStyle="1" w:styleId="60">
    <w:name w:val="正文文本缩进 Char"/>
    <w:basedOn w:val="31"/>
    <w:link w:val="15"/>
    <w:qFormat/>
    <w:uiPriority w:val="0"/>
    <w:rPr>
      <w:rFonts w:ascii="宋体" w:hAnsi="宋体" w:cs="宋体"/>
      <w:sz w:val="22"/>
      <w:szCs w:val="22"/>
      <w:lang w:eastAsia="en-US"/>
    </w:rPr>
  </w:style>
  <w:style w:type="character" w:customStyle="1" w:styleId="61">
    <w:name w:val="批注主题 Char"/>
    <w:basedOn w:val="56"/>
    <w:link w:val="28"/>
    <w:qFormat/>
    <w:uiPriority w:val="0"/>
    <w:rPr>
      <w:b/>
      <w:bCs/>
    </w:rPr>
  </w:style>
  <w:style w:type="character" w:customStyle="1" w:styleId="62">
    <w:name w:val="Book Title"/>
    <w:basedOn w:val="31"/>
    <w:qFormat/>
    <w:uiPriority w:val="33"/>
    <w:rPr>
      <w:b/>
      <w:bCs/>
      <w:smallCaps/>
      <w:spacing w:val="5"/>
    </w:rPr>
  </w:style>
  <w:style w:type="paragraph" w:customStyle="1" w:styleId="63">
    <w:name w:val="xl26"/>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4">
    <w:name w:val="文档结构图 Char"/>
    <w:basedOn w:val="31"/>
    <w:link w:val="11"/>
    <w:qFormat/>
    <w:uiPriority w:val="0"/>
    <w:rPr>
      <w:kern w:val="2"/>
      <w:sz w:val="21"/>
      <w:szCs w:val="24"/>
      <w:shd w:val="clear" w:color="auto" w:fill="000080"/>
    </w:rPr>
  </w:style>
  <w:style w:type="paragraph" w:customStyle="1" w:styleId="65">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6">
    <w:name w:val="Char Char Char Char"/>
    <w:basedOn w:val="1"/>
    <w:qFormat/>
    <w:uiPriority w:val="0"/>
    <w:pPr>
      <w:autoSpaceDE/>
      <w:autoSpaceDN/>
      <w:jc w:val="both"/>
    </w:pPr>
    <w:rPr>
      <w:rFonts w:ascii="Times New Roman" w:hAnsi="Times New Roman" w:eastAsia="Times New Roman" w:cs="Times New Roman"/>
      <w:sz w:val="20"/>
      <w:szCs w:val="20"/>
      <w:lang w:eastAsia="zh-CN"/>
    </w:rPr>
  </w:style>
  <w:style w:type="paragraph" w:customStyle="1" w:styleId="67">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8">
    <w:name w:val="Char Char Char"/>
    <w:basedOn w:val="1"/>
    <w:uiPriority w:val="0"/>
    <w:pPr>
      <w:autoSpaceDE/>
      <w:autoSpaceDN/>
      <w:jc w:val="both"/>
    </w:pPr>
    <w:rPr>
      <w:rFonts w:ascii="Tahoma" w:hAnsi="Tahoma" w:cs="Times New Roman"/>
      <w:kern w:val="2"/>
      <w:sz w:val="24"/>
      <w:szCs w:val="20"/>
      <w:lang w:eastAsia="zh-CN"/>
    </w:rPr>
  </w:style>
  <w:style w:type="paragraph" w:customStyle="1" w:styleId="69">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70">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1">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2">
    <w:name w:val="正文文本缩进 3 Char"/>
    <w:basedOn w:val="31"/>
    <w:link w:val="24"/>
    <w:uiPriority w:val="0"/>
    <w:rPr>
      <w:rFonts w:ascii="宋体" w:hAnsi="宋体"/>
      <w:kern w:val="2"/>
      <w:sz w:val="24"/>
      <w:szCs w:val="24"/>
    </w:rPr>
  </w:style>
  <w:style w:type="paragraph" w:customStyle="1" w:styleId="73">
    <w:name w:val="Char"/>
    <w:basedOn w:val="1"/>
    <w:uiPriority w:val="0"/>
    <w:pPr>
      <w:autoSpaceDE/>
      <w:autoSpaceDN/>
      <w:jc w:val="both"/>
    </w:pPr>
    <w:rPr>
      <w:rFonts w:ascii="Times New Roman" w:hAnsi="Times New Roman" w:cs="Times New Roman"/>
      <w:kern w:val="2"/>
      <w:sz w:val="21"/>
      <w:szCs w:val="24"/>
      <w:lang w:eastAsia="zh-CN"/>
    </w:rPr>
  </w:style>
  <w:style w:type="character" w:customStyle="1" w:styleId="74">
    <w:name w:val="font21"/>
    <w:uiPriority w:val="0"/>
    <w:rPr>
      <w:rFonts w:hint="eastAsia" w:ascii="宋体" w:hAnsi="宋体" w:eastAsia="宋体" w:cs="宋体"/>
      <w:color w:val="000000"/>
      <w:sz w:val="20"/>
      <w:szCs w:val="20"/>
      <w:u w:val="none"/>
    </w:rPr>
  </w:style>
  <w:style w:type="character" w:customStyle="1" w:styleId="75">
    <w:name w:val="font01"/>
    <w:basedOn w:val="31"/>
    <w:uiPriority w:val="0"/>
    <w:rPr>
      <w:rFonts w:hint="eastAsia" w:ascii="宋体" w:hAnsi="宋体" w:eastAsia="宋体" w:cs="宋体"/>
      <w:color w:val="000000"/>
      <w:sz w:val="24"/>
      <w:szCs w:val="24"/>
      <w:u w:val="single"/>
    </w:rPr>
  </w:style>
  <w:style w:type="character" w:customStyle="1" w:styleId="76">
    <w:name w:val="普通文字 Char2"/>
    <w:basedOn w:val="31"/>
    <w:uiPriority w:val="99"/>
    <w:rPr>
      <w:rFonts w:ascii="宋体" w:hAnsi="Courier New" w:cs="Courier New"/>
      <w:sz w:val="22"/>
      <w:szCs w:val="21"/>
      <w:lang w:eastAsia="en-US"/>
    </w:rPr>
  </w:style>
  <w:style w:type="character" w:customStyle="1" w:styleId="77">
    <w:name w:val="正文文本 Char1"/>
    <w:basedOn w:val="31"/>
    <w:uiPriority w:val="1"/>
    <w:rPr>
      <w:rFonts w:ascii="宋体" w:hAnsi="宋体" w:cs="宋体"/>
      <w:sz w:val="24"/>
      <w:szCs w:val="24"/>
      <w:lang w:eastAsia="en-US"/>
    </w:rPr>
  </w:style>
  <w:style w:type="character" w:customStyle="1" w:styleId="78">
    <w:name w:val="正文缩进 Char"/>
    <w:link w:val="9"/>
    <w:qFormat/>
    <w:uiPriority w:val="0"/>
    <w:rPr>
      <w:kern w:val="2"/>
      <w:sz w:val="21"/>
    </w:rPr>
  </w:style>
  <w:style w:type="character" w:customStyle="1" w:styleId="79">
    <w:name w:val="标题 5 Char"/>
    <w:basedOn w:val="31"/>
    <w:link w:val="7"/>
    <w:uiPriority w:val="0"/>
    <w:rPr>
      <w:rFonts w:ascii="宋体" w:hAnsi="宋体" w:cs="宋体"/>
      <w:b/>
      <w:bCs/>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EF60E-FDC4-4994-A90A-312C0981987C}">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3137</Words>
  <Characters>17886</Characters>
  <Lines>149</Lines>
  <Paragraphs>41</Paragraphs>
  <TotalTime>171</TotalTime>
  <ScaleCrop>false</ScaleCrop>
  <LinksUpToDate>false</LinksUpToDate>
  <CharactersWithSpaces>20982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2020-12-03T06:10:00Z</dcterms:created>
  <dc:creator>CGC</dc:creator>
  <cp:lastModifiedBy>panpan</cp:lastModifiedBy>
  <dcterms:modified xsi:type="dcterms:W3CDTF">2020-12-14T07:02:50Z</dcterms:modified>
  <dc:title>公开招标文件（货物服务类）</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2052-11.1.0.10132</vt:lpwstr>
  </property>
</Properties>
</file>