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142"/>
        </w:tabs>
        <w:rPr>
          <w:rFonts w:ascii="Times New Roman"/>
          <w:sz w:val="20"/>
          <w:lang w:eastAsia="zh-CN"/>
        </w:rPr>
      </w:pPr>
    </w:p>
    <w:p>
      <w:pPr>
        <w:pStyle w:val="17"/>
        <w:rPr>
          <w:rFonts w:ascii="Times New Roman"/>
          <w:sz w:val="20"/>
        </w:rPr>
      </w:pPr>
    </w:p>
    <w:p>
      <w:pPr>
        <w:pStyle w:val="17"/>
        <w:spacing w:before="5"/>
        <w:rPr>
          <w:rFonts w:ascii="Times New Roman"/>
          <w:sz w:val="20"/>
          <w:lang w:eastAsia="zh-CN"/>
        </w:rPr>
      </w:pPr>
    </w:p>
    <w:p>
      <w:pPr>
        <w:pStyle w:val="17"/>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17"/>
        <w:spacing w:line="960" w:lineRule="exact"/>
        <w:jc w:val="center"/>
        <w:rPr>
          <w:rFonts w:asciiTheme="minorEastAsia" w:hAnsiTheme="minorEastAsia" w:eastAsiaTheme="minorEastAsia"/>
          <w:b/>
          <w:sz w:val="44"/>
          <w:szCs w:val="44"/>
          <w:u w:val="single"/>
          <w:lang w:eastAsia="zh-CN"/>
        </w:rPr>
      </w:pPr>
    </w:p>
    <w:p>
      <w:pPr>
        <w:jc w:val="center"/>
        <w:rPr>
          <w:rFonts w:asciiTheme="minorEastAsia" w:hAnsiTheme="minorEastAsia" w:eastAsiaTheme="minorEastAsia"/>
          <w:b/>
          <w:bCs/>
          <w:sz w:val="44"/>
          <w:szCs w:val="44"/>
          <w:lang w:eastAsia="zh-CN"/>
        </w:rPr>
      </w:pPr>
      <w:r>
        <w:rPr>
          <w:rFonts w:hint="eastAsia" w:asciiTheme="minorEastAsia" w:hAnsiTheme="minorEastAsia" w:eastAsiaTheme="minorEastAsia"/>
          <w:b/>
          <w:bCs/>
          <w:sz w:val="44"/>
          <w:szCs w:val="44"/>
          <w:lang w:eastAsia="zh-CN"/>
        </w:rPr>
        <w:t>2021年油品化验外委分析</w:t>
      </w:r>
      <w:r>
        <w:rPr>
          <w:rFonts w:hint="eastAsia" w:asciiTheme="minorEastAsia" w:hAnsiTheme="minorEastAsia" w:eastAsiaTheme="minorEastAsia"/>
          <w:b/>
          <w:sz w:val="44"/>
          <w:szCs w:val="44"/>
          <w:lang w:eastAsia="zh-CN"/>
        </w:rPr>
        <w:t>服务</w:t>
      </w:r>
    </w:p>
    <w:p>
      <w:pPr>
        <w:pStyle w:val="77"/>
        <w:spacing w:line="360" w:lineRule="auto"/>
        <w:jc w:val="center"/>
        <w:rPr>
          <w:rFonts w:hAnsi="宋体"/>
          <w:b/>
          <w:bCs/>
          <w:sz w:val="44"/>
          <w:szCs w:val="44"/>
        </w:rPr>
      </w:pP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FHC-PTCG20201110003</w:t>
      </w:r>
      <w:r>
        <w:rPr>
          <w:rFonts w:hint="eastAsia"/>
          <w:sz w:val="28"/>
          <w:szCs w:val="28"/>
        </w:rPr>
        <w:t>）</w:t>
      </w:r>
    </w:p>
    <w:p>
      <w:pPr>
        <w:pStyle w:val="17"/>
        <w:rPr>
          <w:rFonts w:ascii="微软雅黑"/>
          <w:b/>
          <w:sz w:val="94"/>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2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20" w:lineRule="exact"/>
        <w:ind w:firstLine="480" w:firstLineChars="200"/>
        <w:rPr>
          <w:sz w:val="24"/>
          <w:szCs w:val="24"/>
          <w:lang w:eastAsia="zh-CN"/>
        </w:rPr>
      </w:pPr>
      <w:r>
        <w:rPr>
          <w:sz w:val="24"/>
          <w:szCs w:val="24"/>
          <w:lang w:eastAsia="zh-CN"/>
        </w:rPr>
        <w:t>附件二：参选文件（范本）</w:t>
      </w:r>
    </w:p>
    <w:p>
      <w:pPr>
        <w:spacing w:line="62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46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“2021年油品化验外委分析服务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FHC-PTCG20201110003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项目名称：2021年油品化验外委分析服务</w:t>
      </w:r>
    </w:p>
    <w:p>
      <w:pPr>
        <w:pStyle w:val="2"/>
        <w:numPr>
          <w:ilvl w:val="0"/>
          <w:numId w:val="8"/>
        </w:numPr>
        <w:spacing w:line="46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比选控制价：45,000</w:t>
      </w:r>
      <w:r>
        <w:rPr>
          <w:rFonts w:hint="eastAsia" w:asciiTheme="minorEastAsia" w:hAnsiTheme="minorEastAsia" w:eastAsiaTheme="minorEastAsia"/>
          <w:sz w:val="24"/>
          <w:szCs w:val="24"/>
        </w:rPr>
        <w:t>.00</w:t>
      </w:r>
      <w:r>
        <w:rPr>
          <w:rFonts w:hint="eastAsia" w:asciiTheme="minorEastAsia" w:hAnsiTheme="minorEastAsia" w:eastAsiaTheme="minorEastAsia"/>
          <w:bCs/>
          <w:sz w:val="24"/>
          <w:szCs w:val="24"/>
        </w:rPr>
        <w:t>元</w:t>
      </w:r>
      <w:r>
        <w:rPr>
          <w:rFonts w:hint="eastAsia" w:asciiTheme="minorEastAsia" w:hAnsiTheme="minorEastAsia" w:eastAsiaTheme="minorEastAsia"/>
          <w:sz w:val="24"/>
          <w:szCs w:val="24"/>
        </w:rPr>
        <w:t>。</w:t>
      </w:r>
    </w:p>
    <w:p>
      <w:pPr>
        <w:pStyle w:val="2"/>
        <w:numPr>
          <w:ilvl w:val="0"/>
          <w:numId w:val="7"/>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2、参选单位必须</w:t>
      </w:r>
      <w:r>
        <w:rPr>
          <w:rFonts w:hint="eastAsia" w:asciiTheme="minorEastAsia" w:hAnsiTheme="minorEastAsia" w:eastAsiaTheme="minorEastAsia"/>
          <w:snapToGrid w:val="0"/>
          <w:sz w:val="24"/>
          <w:szCs w:val="24"/>
        </w:rPr>
        <w:t>具有CMA检验检测机构资质认证书；CNAS中国合格评定国家认可委员会实验室认可证书</w:t>
      </w:r>
      <w:r>
        <w:rPr>
          <w:rFonts w:hint="eastAsia" w:cs="微软雅黑"/>
          <w:sz w:val="24"/>
        </w:rPr>
        <w:t>。</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（共10天）</w:t>
      </w:r>
    </w:p>
    <w:p>
      <w:pPr>
        <w:spacing w:line="46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3"/>
          <w:rFonts w:hint="eastAsia" w:asciiTheme="minorEastAsia" w:hAnsiTheme="minorEastAsia" w:eastAsiaTheme="minorEastAsia"/>
          <w:snapToGrid w:val="0"/>
          <w:spacing w:val="8"/>
          <w:sz w:val="24"/>
          <w:szCs w:val="24"/>
        </w:rPr>
        <w:t>http://www.fjpec.com/</w:t>
      </w:r>
      <w:r>
        <w:rPr>
          <w:rStyle w:val="53"/>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6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6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6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w:t>
      </w:r>
      <w:r>
        <w:rPr>
          <w:rFonts w:hint="eastAsia" w:asciiTheme="minorEastAsia" w:hAnsiTheme="minorEastAsia" w:eastAsiaTheme="minorEastAsia"/>
          <w:spacing w:val="8"/>
          <w:sz w:val="24"/>
          <w:szCs w:val="24"/>
          <w:u w:val="single"/>
          <w:lang w:val="en-US" w:eastAsia="zh-CN"/>
        </w:rPr>
        <w:t>12</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7</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6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3"/>
          <w:rFonts w:cs="宋体" w:asciiTheme="minorEastAsia" w:hAnsiTheme="minorEastAsia" w:eastAsiaTheme="minorEastAsia"/>
          <w:bCs/>
          <w:color w:val="000000" w:themeColor="text1"/>
          <w:szCs w:val="24"/>
        </w:rPr>
        <w:t>qlin@fhcpec.com.cn</w:t>
      </w:r>
      <w:r>
        <w:rPr>
          <w:rStyle w:val="53"/>
          <w:rFonts w:cs="宋体" w:asciiTheme="minorEastAsia" w:hAnsiTheme="minorEastAsia" w:eastAsiaTheme="minorEastAsia"/>
          <w:bCs/>
          <w:color w:val="000000" w:themeColor="text1"/>
          <w:szCs w:val="24"/>
        </w:rPr>
        <w:fldChar w:fldCharType="end"/>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460" w:lineRule="exact"/>
        <w:ind w:right="121" w:firstLine="360" w:firstLineChars="150"/>
        <w:jc w:val="both"/>
        <w:rPr>
          <w:rFonts w:hint="eastAsia"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2021年油品化验外委分析服务</w:t>
      </w:r>
    </w:p>
    <w:p>
      <w:pPr>
        <w:pStyle w:val="17"/>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17"/>
        <w:spacing w:line="460" w:lineRule="exact"/>
        <w:ind w:left="723" w:leftChars="165" w:right="121" w:hanging="360" w:hangingChars="150"/>
        <w:jc w:val="both"/>
        <w:rPr>
          <w:lang w:eastAsia="zh-CN"/>
        </w:rPr>
      </w:pPr>
      <w:r>
        <w:rPr>
          <w:rFonts w:hint="eastAsia"/>
          <w:lang w:eastAsia="zh-CN"/>
        </w:rPr>
        <w:t>3、承包方式：</w:t>
      </w:r>
      <w:r>
        <w:rPr>
          <w:lang w:eastAsia="zh-CN"/>
        </w:rPr>
        <w:t xml:space="preserve"> </w:t>
      </w:r>
      <w:r>
        <w:rPr>
          <w:rFonts w:hint="eastAsia"/>
          <w:lang w:eastAsia="zh-CN"/>
        </w:rPr>
        <w:t>无</w:t>
      </w:r>
    </w:p>
    <w:p>
      <w:pPr>
        <w:spacing w:line="460" w:lineRule="exact"/>
        <w:ind w:firstLine="330" w:firstLineChars="150"/>
        <w:rPr>
          <w:rFonts w:ascii="微软雅黑" w:hAnsi="微软雅黑" w:eastAsia="微软雅黑"/>
          <w:b/>
          <w:sz w:val="32"/>
          <w:szCs w:val="32"/>
          <w:lang w:eastAsia="zh-CN"/>
        </w:rPr>
      </w:pPr>
      <w:r>
        <w:rPr>
          <w:rFonts w:hint="eastAsia"/>
          <w:lang w:eastAsia="zh-CN"/>
        </w:rPr>
        <w:t>4、项目工作范围及技术要求：</w:t>
      </w:r>
      <w:r>
        <w:rPr>
          <w:lang w:eastAsia="zh-CN"/>
        </w:rPr>
        <w:t xml:space="preserve"> </w:t>
      </w:r>
      <w:r>
        <w:rPr>
          <w:rFonts w:hint="eastAsia"/>
          <w:lang w:eastAsia="zh-CN"/>
        </w:rPr>
        <w:t>无</w:t>
      </w:r>
    </w:p>
    <w:p>
      <w:pPr>
        <w:pStyle w:val="77"/>
        <w:spacing w:line="460" w:lineRule="exact"/>
        <w:ind w:firstLine="360" w:firstLineChars="150"/>
        <w:rPr>
          <w:rFonts w:hAnsi="宋体"/>
          <w:bCs/>
        </w:rPr>
      </w:pPr>
      <w:r>
        <w:rPr>
          <w:rFonts w:hint="eastAsia"/>
        </w:rPr>
        <w:t>5、项目联系人</w:t>
      </w:r>
    </w:p>
    <w:p>
      <w:pPr>
        <w:pStyle w:val="17"/>
        <w:spacing w:line="460" w:lineRule="exact"/>
        <w:ind w:right="121" w:firstLine="720" w:firstLineChars="300"/>
        <w:jc w:val="both"/>
        <w:rPr>
          <w:lang w:eastAsia="zh-CN"/>
        </w:rPr>
      </w:pPr>
      <w:r>
        <w:rPr>
          <w:rFonts w:hint="eastAsia"/>
          <w:lang w:eastAsia="zh-CN"/>
        </w:rPr>
        <w:t>技术联系人：</w:t>
      </w:r>
      <w:r>
        <w:rPr>
          <w:rFonts w:hint="eastAsia" w:asciiTheme="minorEastAsia" w:hAnsiTheme="minorEastAsia" w:eastAsiaTheme="minorEastAsia"/>
          <w:lang w:eastAsia="zh-CN"/>
        </w:rPr>
        <w:t>何欣  0596-6311226</w:t>
      </w:r>
    </w:p>
    <w:p>
      <w:pPr>
        <w:pStyle w:val="17"/>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2、参选单位必须</w:t>
      </w:r>
      <w:r>
        <w:rPr>
          <w:rFonts w:hint="eastAsia" w:asciiTheme="minorEastAsia" w:hAnsiTheme="minorEastAsia" w:eastAsiaTheme="minorEastAsia"/>
          <w:snapToGrid w:val="0"/>
          <w:sz w:val="24"/>
          <w:szCs w:val="24"/>
        </w:rPr>
        <w:t>具有CMA检验检测机构资质认证书；CNAS中国合格评定国家认可委员会实验室认可证书</w:t>
      </w:r>
      <w:r>
        <w:rPr>
          <w:rFonts w:hint="eastAsia" w:cs="微软雅黑"/>
          <w:sz w:val="24"/>
        </w:rPr>
        <w:t>。</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38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38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38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360" w:firstLineChars="150"/>
        <w:jc w:val="both"/>
        <w:rPr>
          <w:lang w:eastAsia="zh-CN"/>
        </w:rPr>
      </w:pPr>
      <w:r>
        <w:rPr>
          <w:rFonts w:hint="eastAsia"/>
          <w:lang w:eastAsia="zh-CN"/>
        </w:rPr>
        <w:t>2、商务参选文件</w:t>
      </w:r>
    </w:p>
    <w:p>
      <w:pPr>
        <w:pStyle w:val="17"/>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17"/>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45,000.00元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3"/>
          <w:rFonts w:hint="eastAsia"/>
          <w:lang w:eastAsia="zh-CN"/>
        </w:rPr>
        <w:t>如参选人对控制价存疑请于报价截止前发邮件至ybchen@fhcpec.com.cn</w:t>
      </w:r>
      <w:r>
        <w:rPr>
          <w:rStyle w:val="53"/>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ind w:firstLine="883" w:firstLineChars="200"/>
        <w:rPr>
          <w:rFonts w:hint="eastAsia"/>
          <w:b/>
          <w:sz w:val="44"/>
          <w:szCs w:val="44"/>
          <w:lang w:eastAsia="zh-CN"/>
        </w:rPr>
      </w:pPr>
    </w:p>
    <w:p>
      <w:pPr>
        <w:ind w:firstLine="883" w:firstLineChars="200"/>
        <w:rPr>
          <w:rFonts w:hint="eastAsia"/>
          <w:b/>
          <w:sz w:val="44"/>
          <w:szCs w:val="44"/>
          <w:lang w:eastAsia="zh-CN"/>
        </w:rPr>
      </w:pPr>
    </w:p>
    <w:p>
      <w:pPr>
        <w:ind w:firstLine="1533" w:firstLineChars="347"/>
        <w:rPr>
          <w:b/>
          <w:sz w:val="44"/>
          <w:szCs w:val="44"/>
          <w:lang w:eastAsia="zh-CN"/>
        </w:rPr>
      </w:pPr>
      <w:r>
        <w:rPr>
          <w:rFonts w:hint="eastAsia"/>
          <w:b/>
          <w:sz w:val="44"/>
          <w:szCs w:val="44"/>
          <w:lang w:eastAsia="zh-CN"/>
        </w:rPr>
        <w:t>油品化验外委分析项目合同</w:t>
      </w:r>
    </w:p>
    <w:p>
      <w:pPr>
        <w:rPr>
          <w:b/>
          <w:sz w:val="48"/>
          <w:szCs w:val="48"/>
          <w:lang w:eastAsia="zh-CN"/>
        </w:rPr>
      </w:pPr>
    </w:p>
    <w:p>
      <w:pPr>
        <w:rPr>
          <w:b/>
          <w:sz w:val="48"/>
          <w:szCs w:val="48"/>
          <w:lang w:eastAsia="zh-CN"/>
        </w:rPr>
      </w:pPr>
    </w:p>
    <w:p>
      <w:pPr>
        <w:rPr>
          <w:b/>
          <w:sz w:val="48"/>
          <w:szCs w:val="48"/>
          <w:lang w:eastAsia="zh-CN"/>
        </w:rPr>
      </w:pPr>
    </w:p>
    <w:p>
      <w:pPr>
        <w:rPr>
          <w:b/>
          <w:sz w:val="48"/>
          <w:szCs w:val="48"/>
          <w:lang w:eastAsia="zh-CN"/>
        </w:rPr>
      </w:pPr>
    </w:p>
    <w:p>
      <w:pPr>
        <w:rPr>
          <w:b/>
          <w:sz w:val="32"/>
          <w:szCs w:val="32"/>
          <w:lang w:eastAsia="zh-CN"/>
        </w:rPr>
      </w:pPr>
      <w:r>
        <w:rPr>
          <w:rFonts w:hint="eastAsia"/>
          <w:b/>
          <w:sz w:val="32"/>
          <w:szCs w:val="32"/>
          <w:lang w:eastAsia="zh-CN"/>
        </w:rPr>
        <w:t>甲方：腾龙芳烃（漳州）有限公司</w:t>
      </w:r>
    </w:p>
    <w:p>
      <w:pPr>
        <w:rPr>
          <w:b/>
          <w:sz w:val="32"/>
          <w:szCs w:val="32"/>
          <w:lang w:eastAsia="zh-CN"/>
        </w:rPr>
      </w:pPr>
      <w:r>
        <w:rPr>
          <w:rFonts w:hint="eastAsia"/>
          <w:b/>
          <w:sz w:val="32"/>
          <w:szCs w:val="32"/>
          <w:lang w:eastAsia="zh-CN"/>
        </w:rPr>
        <w:t>乙方：</w:t>
      </w:r>
      <w:r>
        <w:rPr>
          <w:b/>
          <w:sz w:val="32"/>
          <w:szCs w:val="32"/>
          <w:lang w:eastAsia="zh-CN"/>
        </w:rPr>
        <w:t xml:space="preserve"> </w:t>
      </w:r>
    </w:p>
    <w:p>
      <w:pPr>
        <w:rPr>
          <w:b/>
          <w:sz w:val="32"/>
          <w:szCs w:val="32"/>
          <w:lang w:eastAsia="zh-CN"/>
        </w:rPr>
      </w:pPr>
      <w:r>
        <w:rPr>
          <w:rFonts w:hint="eastAsia"/>
          <w:b/>
          <w:sz w:val="32"/>
          <w:szCs w:val="32"/>
          <w:lang w:eastAsia="zh-CN"/>
        </w:rPr>
        <w:t xml:space="preserve"> </w:t>
      </w:r>
    </w:p>
    <w:p>
      <w:pPr>
        <w:rPr>
          <w:b/>
          <w:sz w:val="32"/>
          <w:szCs w:val="32"/>
          <w:lang w:eastAsia="zh-CN"/>
        </w:rPr>
      </w:pPr>
      <w:r>
        <w:rPr>
          <w:rFonts w:hint="eastAsia"/>
          <w:b/>
          <w:sz w:val="32"/>
          <w:szCs w:val="32"/>
          <w:lang w:eastAsia="zh-CN"/>
        </w:rPr>
        <w:t xml:space="preserve">        </w:t>
      </w:r>
    </w:p>
    <w:p>
      <w:pPr>
        <w:rPr>
          <w:b/>
          <w:sz w:val="32"/>
          <w:szCs w:val="32"/>
          <w:lang w:eastAsia="zh-CN"/>
        </w:rPr>
      </w:pPr>
    </w:p>
    <w:p>
      <w:pPr>
        <w:rPr>
          <w:b/>
          <w:sz w:val="32"/>
          <w:szCs w:val="32"/>
          <w:lang w:eastAsia="zh-CN"/>
        </w:rPr>
      </w:pPr>
    </w:p>
    <w:p>
      <w:pPr>
        <w:rPr>
          <w:b/>
          <w:sz w:val="32"/>
          <w:szCs w:val="32"/>
          <w:lang w:eastAsia="zh-CN"/>
        </w:rPr>
      </w:pPr>
      <w:r>
        <w:rPr>
          <w:rFonts w:hint="eastAsia"/>
          <w:b/>
          <w:sz w:val="32"/>
          <w:szCs w:val="32"/>
          <w:lang w:eastAsia="zh-CN"/>
        </w:rPr>
        <w:t>签订地点：福建古雷</w:t>
      </w:r>
    </w:p>
    <w:p>
      <w:pPr>
        <w:rPr>
          <w:b/>
          <w:sz w:val="32"/>
          <w:szCs w:val="32"/>
          <w:lang w:eastAsia="zh-CN"/>
        </w:rPr>
      </w:pPr>
      <w:r>
        <w:rPr>
          <w:rFonts w:hint="eastAsia"/>
          <w:b/>
          <w:sz w:val="32"/>
          <w:szCs w:val="32"/>
          <w:lang w:eastAsia="zh-CN"/>
        </w:rPr>
        <w:t>签订时间：</w:t>
      </w:r>
      <w:r>
        <w:rPr>
          <w:b/>
          <w:sz w:val="32"/>
          <w:szCs w:val="32"/>
          <w:lang w:eastAsia="zh-CN"/>
        </w:rPr>
        <w:t xml:space="preserve"> </w:t>
      </w:r>
    </w:p>
    <w:p>
      <w:pPr>
        <w:rPr>
          <w:b/>
          <w:sz w:val="32"/>
          <w:szCs w:val="32"/>
          <w:lang w:eastAsia="zh-CN"/>
        </w:rPr>
      </w:pPr>
    </w:p>
    <w:p>
      <w:pPr>
        <w:rPr>
          <w:b/>
          <w:sz w:val="32"/>
          <w:szCs w:val="32"/>
          <w:lang w:eastAsia="zh-CN"/>
        </w:rPr>
      </w:pPr>
    </w:p>
    <w:p>
      <w:pPr>
        <w:rPr>
          <w:rFonts w:hint="eastAsia"/>
          <w:b/>
          <w:sz w:val="32"/>
          <w:szCs w:val="32"/>
          <w:lang w:eastAsia="zh-CN"/>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rPr>
          <w:rFonts w:hint="eastAsia" w:asciiTheme="minorEastAsia" w:hAnsiTheme="minorEastAsia"/>
          <w:sz w:val="24"/>
          <w:szCs w:val="24"/>
          <w:lang w:eastAsia="zh-CN"/>
        </w:rPr>
      </w:pPr>
      <w:r>
        <w:rPr>
          <w:rFonts w:hint="eastAsia" w:asciiTheme="minorEastAsia" w:hAnsiTheme="minorEastAsia"/>
          <w:sz w:val="24"/>
          <w:szCs w:val="24"/>
          <w:u w:val="single"/>
          <w:lang w:eastAsia="zh-CN"/>
        </w:rPr>
        <w:t>腾龙芳烃（漳州）有限公司</w:t>
      </w:r>
      <w:r>
        <w:rPr>
          <w:rFonts w:hint="eastAsia" w:asciiTheme="minorEastAsia" w:hAnsiTheme="minorEastAsia"/>
          <w:sz w:val="24"/>
          <w:szCs w:val="24"/>
          <w:lang w:eastAsia="zh-CN"/>
        </w:rPr>
        <w:t>（以下称为“甲方” ）和</w:t>
      </w:r>
      <w:r>
        <w:rPr>
          <w:rFonts w:hint="eastAsia" w:asciiTheme="minorEastAsia" w:hAnsiTheme="minorEastAsia"/>
          <w:sz w:val="24"/>
          <w:szCs w:val="24"/>
          <w:u w:val="single"/>
          <w:lang w:eastAsia="zh-CN"/>
        </w:rPr>
        <w:t xml:space="preserve">                </w:t>
      </w:r>
      <w:r>
        <w:rPr>
          <w:rFonts w:hint="eastAsia" w:asciiTheme="minorEastAsia" w:hAnsiTheme="minorEastAsia"/>
          <w:sz w:val="24"/>
          <w:szCs w:val="24"/>
          <w:lang w:eastAsia="zh-CN"/>
        </w:rPr>
        <w:t xml:space="preserve"> (以下称为“乙方”)就甲方对</w:t>
      </w:r>
      <w:r>
        <w:rPr>
          <w:rFonts w:hint="eastAsia"/>
          <w:sz w:val="24"/>
          <w:szCs w:val="24"/>
          <w:u w:val="single"/>
          <w:lang w:eastAsia="zh-CN"/>
        </w:rPr>
        <w:t>油品化验外委分析项目年约</w:t>
      </w:r>
      <w:r>
        <w:rPr>
          <w:rFonts w:hint="eastAsia" w:asciiTheme="minorEastAsia" w:hAnsiTheme="minorEastAsia"/>
          <w:sz w:val="24"/>
          <w:szCs w:val="24"/>
          <w:lang w:eastAsia="zh-CN"/>
        </w:rPr>
        <w:t>事宜，经过双方充分友好的协商，签订本合。</w:t>
      </w:r>
    </w:p>
    <w:p>
      <w:pPr>
        <w:rPr>
          <w:rFonts w:asciiTheme="minorEastAsia" w:hAnsiTheme="minorEastAsia"/>
          <w:sz w:val="24"/>
          <w:szCs w:val="24"/>
          <w:lang w:eastAsia="zh-CN"/>
        </w:rPr>
      </w:pPr>
      <w:r>
        <w:rPr>
          <w:rFonts w:hint="eastAsia" w:asciiTheme="minorEastAsia" w:hAnsiTheme="minorEastAsia"/>
          <w:b/>
          <w:sz w:val="28"/>
          <w:szCs w:val="28"/>
          <w:lang w:eastAsia="zh-CN"/>
        </w:rPr>
        <w:t xml:space="preserve"> </w:t>
      </w:r>
      <w:r>
        <w:rPr>
          <w:rFonts w:hint="eastAsia" w:asciiTheme="minorEastAsia" w:hAnsiTheme="minorEastAsia"/>
          <w:b/>
          <w:sz w:val="24"/>
          <w:szCs w:val="24"/>
          <w:lang w:eastAsia="zh-CN"/>
        </w:rPr>
        <w:t>第一章  产品名称、数量、规格及供货范围</w:t>
      </w:r>
    </w:p>
    <w:p>
      <w:pPr>
        <w:rPr>
          <w:rFonts w:asciiTheme="minorEastAsia" w:hAnsiTheme="minorEastAsia"/>
          <w:sz w:val="24"/>
          <w:szCs w:val="24"/>
          <w:lang w:eastAsia="zh-CN"/>
        </w:rPr>
      </w:pPr>
      <w:r>
        <w:rPr>
          <w:rFonts w:hint="eastAsia" w:asciiTheme="minorEastAsia" w:hAnsiTheme="minorEastAsia"/>
          <w:sz w:val="24"/>
          <w:szCs w:val="24"/>
          <w:lang w:eastAsia="zh-CN"/>
        </w:rPr>
        <w:t>1、1合同货物名称、数量、规格、品牌：</w:t>
      </w:r>
    </w:p>
    <w:tbl>
      <w:tblPr>
        <w:tblStyle w:val="57"/>
        <w:tblW w:w="9513" w:type="dxa"/>
        <w:tblInd w:w="93" w:type="dxa"/>
        <w:tblLayout w:type="fixed"/>
        <w:tblCellMar>
          <w:top w:w="0" w:type="dxa"/>
          <w:left w:w="108" w:type="dxa"/>
          <w:bottom w:w="0" w:type="dxa"/>
          <w:right w:w="108" w:type="dxa"/>
        </w:tblCellMar>
      </w:tblPr>
      <w:tblGrid>
        <w:gridCol w:w="1008"/>
        <w:gridCol w:w="1080"/>
        <w:gridCol w:w="762"/>
        <w:gridCol w:w="1080"/>
        <w:gridCol w:w="826"/>
        <w:gridCol w:w="254"/>
        <w:gridCol w:w="887"/>
        <w:gridCol w:w="729"/>
        <w:gridCol w:w="925"/>
        <w:gridCol w:w="936"/>
        <w:gridCol w:w="1026"/>
      </w:tblGrid>
      <w:tr>
        <w:tblPrEx>
          <w:tblLayout w:type="fixed"/>
          <w:tblCellMar>
            <w:top w:w="0" w:type="dxa"/>
            <w:left w:w="108" w:type="dxa"/>
            <w:bottom w:w="0" w:type="dxa"/>
            <w:right w:w="108" w:type="dxa"/>
          </w:tblCellMar>
        </w:tblPrEx>
        <w:trPr>
          <w:trHeight w:val="450"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样品名称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分析项目</w:t>
            </w:r>
          </w:p>
        </w:tc>
        <w:tc>
          <w:tcPr>
            <w:tcW w:w="762"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范围</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方法</w:t>
            </w:r>
          </w:p>
        </w:tc>
        <w:tc>
          <w:tcPr>
            <w:tcW w:w="887"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频次</w:t>
            </w:r>
          </w:p>
        </w:tc>
        <w:tc>
          <w:tcPr>
            <w:tcW w:w="729"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样品个数</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预估计划外委频次</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单价（元）</w:t>
            </w:r>
          </w:p>
        </w:tc>
        <w:tc>
          <w:tcPr>
            <w:tcW w:w="1026"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18"/>
                <w:szCs w:val="18"/>
              </w:rPr>
            </w:pPr>
            <w:r>
              <w:rPr>
                <w:rFonts w:hint="eastAsia"/>
                <w:sz w:val="18"/>
                <w:szCs w:val="18"/>
              </w:rPr>
              <w:t>预估费用小计(元)</w:t>
            </w:r>
          </w:p>
        </w:tc>
      </w:tr>
      <w:tr>
        <w:tblPrEx>
          <w:tblLayout w:type="fixed"/>
          <w:tblCellMar>
            <w:top w:w="0" w:type="dxa"/>
            <w:left w:w="108" w:type="dxa"/>
            <w:bottom w:w="0" w:type="dxa"/>
            <w:right w:w="108" w:type="dxa"/>
          </w:tblCellMar>
        </w:tblPrEx>
        <w:trPr>
          <w:trHeight w:val="450" w:hRule="atLeast"/>
        </w:trPr>
        <w:tc>
          <w:tcPr>
            <w:tcW w:w="10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762"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887"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729"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925"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r>
      <w:tr>
        <w:tblPrEx>
          <w:tblLayout w:type="fixed"/>
          <w:tblCellMar>
            <w:top w:w="0" w:type="dxa"/>
            <w:left w:w="108" w:type="dxa"/>
            <w:bottom w:w="0" w:type="dxa"/>
            <w:right w:w="108" w:type="dxa"/>
          </w:tblCellMar>
        </w:tblPrEx>
        <w:trPr>
          <w:trHeight w:val="450"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rPr>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762"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887"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729"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925"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936"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sz w:val="18"/>
                <w:szCs w:val="18"/>
              </w:rPr>
            </w:pPr>
          </w:p>
        </w:tc>
      </w:tr>
      <w:tr>
        <w:tblPrEx>
          <w:tblLayout w:type="fixed"/>
          <w:tblCellMar>
            <w:top w:w="0" w:type="dxa"/>
            <w:left w:w="108" w:type="dxa"/>
            <w:bottom w:w="0" w:type="dxa"/>
            <w:right w:w="108" w:type="dxa"/>
          </w:tblCellMar>
        </w:tblPrEx>
        <w:trPr>
          <w:trHeight w:val="450" w:hRule="atLeast"/>
        </w:trPr>
        <w:tc>
          <w:tcPr>
            <w:tcW w:w="475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预估总价</w:t>
            </w:r>
          </w:p>
        </w:tc>
        <w:tc>
          <w:tcPr>
            <w:tcW w:w="475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p>
        </w:tc>
      </w:tr>
    </w:tbl>
    <w:p>
      <w:pPr>
        <w:rPr>
          <w:rFonts w:asciiTheme="minorEastAsia" w:hAnsiTheme="minorEastAsia"/>
          <w:sz w:val="24"/>
          <w:szCs w:val="24"/>
        </w:rPr>
      </w:pPr>
    </w:p>
    <w:p>
      <w:pPr>
        <w:rPr>
          <w:rFonts w:asciiTheme="minorEastAsia" w:hAnsiTheme="minorEastAsia"/>
          <w:sz w:val="24"/>
          <w:szCs w:val="24"/>
          <w:lang w:eastAsia="zh-CN"/>
        </w:rPr>
      </w:pPr>
      <w:r>
        <w:rPr>
          <w:rFonts w:hint="eastAsia" w:asciiTheme="minorEastAsia" w:hAnsiTheme="minorEastAsia"/>
          <w:sz w:val="24"/>
          <w:szCs w:val="24"/>
          <w:lang w:eastAsia="zh-CN"/>
        </w:rPr>
        <w:t>1.2实际结算数量：上述计划外委频率为预估次数，不视为甲方对外委数量的承诺，本合同实际结算数量以最终实际发生的委外分析数作为结算依据。</w:t>
      </w:r>
    </w:p>
    <w:p>
      <w:pPr>
        <w:rPr>
          <w:rFonts w:asciiTheme="minorEastAsia" w:hAnsiTheme="minorEastAsia"/>
          <w:sz w:val="24"/>
          <w:szCs w:val="24"/>
          <w:lang w:eastAsia="zh-CN"/>
        </w:rPr>
      </w:pPr>
      <w:r>
        <w:rPr>
          <w:rFonts w:hint="eastAsia" w:asciiTheme="minorEastAsia" w:hAnsiTheme="minorEastAsia"/>
          <w:sz w:val="24"/>
          <w:szCs w:val="24"/>
          <w:lang w:eastAsia="zh-CN"/>
        </w:rPr>
        <w:t>1.3送检方式：</w:t>
      </w:r>
      <w:r>
        <w:rPr>
          <w:rFonts w:asciiTheme="minorEastAsia" w:hAnsiTheme="minorEastAsia"/>
          <w:sz w:val="24"/>
          <w:szCs w:val="24"/>
          <w:lang w:eastAsia="zh-CN"/>
        </w:rPr>
        <w:t xml:space="preserve"> </w:t>
      </w:r>
    </w:p>
    <w:p>
      <w:pPr>
        <w:rPr>
          <w:rFonts w:asciiTheme="minorEastAsia" w:hAnsiTheme="minorEastAsia"/>
          <w:b/>
          <w:sz w:val="24"/>
          <w:szCs w:val="24"/>
          <w:lang w:eastAsia="zh-CN"/>
        </w:rPr>
      </w:pPr>
      <w:r>
        <w:rPr>
          <w:rFonts w:hint="eastAsia" w:asciiTheme="minorEastAsia" w:hAnsiTheme="minorEastAsia"/>
          <w:b/>
          <w:sz w:val="24"/>
          <w:szCs w:val="24"/>
          <w:lang w:eastAsia="zh-CN"/>
        </w:rPr>
        <w:t>第二章   质量要求</w:t>
      </w:r>
    </w:p>
    <w:p>
      <w:pPr>
        <w:rPr>
          <w:rFonts w:asciiTheme="minorEastAsia" w:hAnsiTheme="minorEastAsia"/>
          <w:sz w:val="24"/>
          <w:szCs w:val="24"/>
          <w:lang w:eastAsia="zh-CN"/>
        </w:rPr>
      </w:pPr>
      <w:r>
        <w:rPr>
          <w:rFonts w:hint="eastAsia" w:asciiTheme="minorEastAsia" w:hAnsiTheme="minorEastAsia"/>
          <w:sz w:val="24"/>
          <w:szCs w:val="24"/>
          <w:lang w:eastAsia="zh-CN"/>
        </w:rPr>
        <w:t>2.1质量要求：乙方化验分析操作必须符合国家相关标准、行业标准及双方确认的要求，乙方所提交分析报告需满足甲方的要求，否则甲方有权拒收报告，所造成损失由乙方承担。</w:t>
      </w:r>
    </w:p>
    <w:p>
      <w:pPr>
        <w:rPr>
          <w:rFonts w:asciiTheme="minorEastAsia" w:hAnsiTheme="minorEastAsia"/>
          <w:b/>
          <w:sz w:val="24"/>
          <w:szCs w:val="24"/>
          <w:lang w:eastAsia="zh-CN"/>
        </w:rPr>
      </w:pPr>
      <w:r>
        <w:rPr>
          <w:rFonts w:hint="eastAsia" w:asciiTheme="minorEastAsia" w:hAnsiTheme="minorEastAsia"/>
          <w:b/>
          <w:sz w:val="24"/>
          <w:szCs w:val="24"/>
          <w:lang w:eastAsia="zh-CN"/>
        </w:rPr>
        <w:t>第三章  合同价格</w:t>
      </w:r>
    </w:p>
    <w:p>
      <w:pPr>
        <w:rPr>
          <w:rFonts w:asciiTheme="minorEastAsia" w:hAnsiTheme="minorEastAsia"/>
          <w:sz w:val="24"/>
          <w:szCs w:val="24"/>
          <w:lang w:eastAsia="zh-CN"/>
        </w:rPr>
      </w:pPr>
      <w:r>
        <w:rPr>
          <w:rFonts w:hint="eastAsia" w:asciiTheme="minorEastAsia" w:hAnsiTheme="minorEastAsia"/>
          <w:sz w:val="24"/>
          <w:szCs w:val="24"/>
          <w:lang w:eastAsia="zh-CN"/>
        </w:rPr>
        <w:t>3.1 本合同单价为固定价格，含产品包装费、运输费、运输保险费、质量检测费等相关费用。在履约期内不因任何因素（包括原材料成本、运输成本、政策性因素的价格的增减）做任何调整。</w:t>
      </w:r>
    </w:p>
    <w:p>
      <w:pPr>
        <w:rPr>
          <w:rFonts w:asciiTheme="minorEastAsia" w:hAnsiTheme="minorEastAsia"/>
          <w:sz w:val="24"/>
          <w:szCs w:val="24"/>
          <w:lang w:eastAsia="zh-CN"/>
        </w:rPr>
      </w:pPr>
      <w:r>
        <w:rPr>
          <w:rFonts w:hint="eastAsia" w:asciiTheme="minorEastAsia" w:hAnsiTheme="minorEastAsia"/>
          <w:sz w:val="24"/>
          <w:szCs w:val="24"/>
          <w:lang w:eastAsia="zh-CN"/>
        </w:rPr>
        <w:t>3.2本合同项下价格均为含税价格，乙方全额开具6%增值税专用发票。</w:t>
      </w:r>
    </w:p>
    <w:p>
      <w:pPr>
        <w:rPr>
          <w:rFonts w:asciiTheme="minorEastAsia" w:hAnsiTheme="minorEastAsia"/>
          <w:b/>
          <w:sz w:val="24"/>
          <w:szCs w:val="24"/>
          <w:lang w:eastAsia="zh-CN"/>
        </w:rPr>
      </w:pPr>
      <w:r>
        <w:rPr>
          <w:rFonts w:hint="eastAsia" w:asciiTheme="minorEastAsia" w:hAnsiTheme="minorEastAsia"/>
          <w:b/>
          <w:sz w:val="24"/>
          <w:szCs w:val="24"/>
          <w:lang w:eastAsia="zh-CN"/>
        </w:rPr>
        <w:t>第四章  货款支付方式</w:t>
      </w:r>
    </w:p>
    <w:p>
      <w:pPr>
        <w:rPr>
          <w:rFonts w:asciiTheme="minorEastAsia" w:hAnsiTheme="minorEastAsia"/>
          <w:sz w:val="24"/>
          <w:szCs w:val="24"/>
          <w:lang w:eastAsia="zh-CN"/>
        </w:rPr>
      </w:pPr>
      <w:r>
        <w:rPr>
          <w:rFonts w:hint="eastAsia" w:asciiTheme="minorEastAsia" w:hAnsiTheme="minorEastAsia"/>
          <w:sz w:val="24"/>
          <w:szCs w:val="24"/>
          <w:lang w:eastAsia="zh-CN"/>
        </w:rPr>
        <w:t>4.1月结，按实际发生分析项目次数进行结算。乙方按合同约定内容进行样品的化验分析，并提出合格的化验分析报告。每月初甲方按照上月实际发生的外委分析次数，依照合同约定单价进行结算费用确认，双方核对确认后乙方开具全额增值税专用发票。甲方收到乙方开具的全额的6%增值税专用发票后15个工作日内付清上月费用。</w:t>
      </w:r>
    </w:p>
    <w:p>
      <w:pPr>
        <w:rPr>
          <w:rFonts w:asciiTheme="minorEastAsia" w:hAnsiTheme="minorEastAsia"/>
          <w:sz w:val="24"/>
          <w:szCs w:val="24"/>
          <w:lang w:eastAsia="zh-CN"/>
        </w:rPr>
      </w:pPr>
      <w:r>
        <w:rPr>
          <w:rFonts w:hint="eastAsia" w:asciiTheme="minorEastAsia" w:hAnsiTheme="minorEastAsia"/>
          <w:sz w:val="24"/>
          <w:szCs w:val="24"/>
          <w:lang w:eastAsia="zh-CN"/>
        </w:rPr>
        <w:t>4.2所有支付的款项均以人民币支付，付款方式为电汇或银行转帐。</w:t>
      </w:r>
    </w:p>
    <w:p>
      <w:pPr>
        <w:rPr>
          <w:rFonts w:asciiTheme="minorEastAsia" w:hAnsiTheme="minorEastAsia"/>
          <w:b/>
          <w:sz w:val="24"/>
          <w:szCs w:val="24"/>
          <w:lang w:eastAsia="zh-CN"/>
        </w:rPr>
      </w:pPr>
      <w:r>
        <w:rPr>
          <w:rFonts w:hint="eastAsia" w:asciiTheme="minorEastAsia" w:hAnsiTheme="minorEastAsia"/>
          <w:b/>
          <w:sz w:val="24"/>
          <w:szCs w:val="24"/>
          <w:lang w:eastAsia="zh-CN"/>
        </w:rPr>
        <w:t>第五章 送样时间及送样地点</w:t>
      </w:r>
    </w:p>
    <w:p>
      <w:pPr>
        <w:rPr>
          <w:rFonts w:asciiTheme="minorEastAsia" w:hAnsiTheme="minorEastAsia"/>
          <w:sz w:val="24"/>
          <w:szCs w:val="24"/>
          <w:lang w:eastAsia="zh-CN"/>
        </w:rPr>
      </w:pPr>
      <w:r>
        <w:rPr>
          <w:rFonts w:hint="eastAsia" w:asciiTheme="minorEastAsia" w:hAnsiTheme="minorEastAsia"/>
          <w:sz w:val="24"/>
          <w:szCs w:val="24"/>
          <w:lang w:eastAsia="zh-CN"/>
        </w:rPr>
        <w:t>5.1送样时间：合同签订后甲方根据实际需求情况进行取样外委分析，并提前与乙方沟通确认送样时间。</w:t>
      </w:r>
    </w:p>
    <w:p>
      <w:pPr>
        <w:rPr>
          <w:rFonts w:asciiTheme="minorEastAsia" w:hAnsiTheme="minorEastAsia"/>
          <w:sz w:val="24"/>
          <w:szCs w:val="24"/>
          <w:lang w:eastAsia="zh-CN"/>
        </w:rPr>
      </w:pPr>
      <w:r>
        <w:rPr>
          <w:rFonts w:hint="eastAsia" w:asciiTheme="minorEastAsia" w:hAnsiTheme="minorEastAsia"/>
          <w:sz w:val="24"/>
          <w:szCs w:val="24"/>
          <w:lang w:eastAsia="zh-CN"/>
        </w:rPr>
        <w:t>5.2送样地点：甲方负责取样并送厦门市指定地点交付乙方，并由乙方负责后续安排送样化验分析。</w:t>
      </w:r>
    </w:p>
    <w:p>
      <w:pPr>
        <w:rPr>
          <w:rFonts w:asciiTheme="minorEastAsia" w:hAnsiTheme="minorEastAsia"/>
          <w:sz w:val="24"/>
          <w:szCs w:val="24"/>
          <w:lang w:eastAsia="zh-CN"/>
        </w:rPr>
      </w:pPr>
      <w:r>
        <w:rPr>
          <w:rFonts w:hint="eastAsia" w:asciiTheme="minorEastAsia" w:hAnsiTheme="minorEastAsia"/>
          <w:sz w:val="24"/>
          <w:szCs w:val="24"/>
          <w:lang w:eastAsia="zh-CN"/>
        </w:rPr>
        <w:t>5.3运输方式：甲方负责由甲方工厂至厦门的运输安全，余下区域由乙方负责样品的安全运输。</w:t>
      </w:r>
    </w:p>
    <w:p>
      <w:pPr>
        <w:rPr>
          <w:rFonts w:asciiTheme="minorEastAsia" w:hAnsiTheme="minorEastAsia"/>
          <w:b/>
          <w:sz w:val="24"/>
          <w:szCs w:val="24"/>
          <w:lang w:eastAsia="zh-CN"/>
        </w:rPr>
      </w:pPr>
      <w:r>
        <w:rPr>
          <w:rFonts w:hint="eastAsia" w:asciiTheme="minorEastAsia" w:hAnsiTheme="minorEastAsia"/>
          <w:b/>
          <w:sz w:val="24"/>
          <w:szCs w:val="24"/>
          <w:lang w:eastAsia="zh-CN"/>
        </w:rPr>
        <w:t>第六章 质量保证</w:t>
      </w:r>
    </w:p>
    <w:p>
      <w:pPr>
        <w:rPr>
          <w:rFonts w:asciiTheme="minorEastAsia" w:hAnsiTheme="minorEastAsia"/>
          <w:sz w:val="24"/>
          <w:szCs w:val="24"/>
          <w:lang w:eastAsia="zh-CN"/>
        </w:rPr>
      </w:pPr>
      <w:r>
        <w:rPr>
          <w:rFonts w:hint="eastAsia" w:asciiTheme="minorEastAsia" w:hAnsiTheme="minorEastAsia"/>
          <w:sz w:val="24"/>
          <w:szCs w:val="24"/>
          <w:lang w:eastAsia="zh-CN"/>
        </w:rPr>
        <w:t>6.1质量保证：乙方应保证样品的化验分析过程完全符合国家及合同规定的质量、规格和性能的要求。</w:t>
      </w:r>
    </w:p>
    <w:p>
      <w:pPr>
        <w:rPr>
          <w:rFonts w:asciiTheme="minorEastAsia" w:hAnsiTheme="minorEastAsia"/>
          <w:sz w:val="24"/>
          <w:szCs w:val="24"/>
          <w:lang w:eastAsia="zh-CN"/>
        </w:rPr>
      </w:pPr>
      <w:r>
        <w:rPr>
          <w:rFonts w:hint="eastAsia" w:asciiTheme="minorEastAsia" w:hAnsiTheme="minorEastAsia"/>
          <w:sz w:val="24"/>
          <w:szCs w:val="24"/>
          <w:lang w:eastAsia="zh-CN"/>
        </w:rPr>
        <w:t>6.2因化验分析问题导致甲方、乙方人员或第三方人身、财产损失的，由乙方承担一切赔偿责任（包括但不限于由此产生的律师费、诉讼费、鉴定等）。</w:t>
      </w:r>
    </w:p>
    <w:p>
      <w:pPr>
        <w:rPr>
          <w:rFonts w:asciiTheme="minorEastAsia" w:hAnsiTheme="minorEastAsia"/>
          <w:b/>
          <w:sz w:val="24"/>
          <w:szCs w:val="24"/>
          <w:lang w:eastAsia="zh-CN"/>
        </w:rPr>
      </w:pPr>
      <w:r>
        <w:rPr>
          <w:rFonts w:hint="eastAsia" w:asciiTheme="minorEastAsia" w:hAnsiTheme="minorEastAsia"/>
          <w:b/>
          <w:sz w:val="24"/>
          <w:szCs w:val="24"/>
          <w:lang w:eastAsia="zh-CN"/>
        </w:rPr>
        <w:t>第七章 违约责任</w:t>
      </w:r>
    </w:p>
    <w:p>
      <w:pPr>
        <w:rPr>
          <w:rFonts w:asciiTheme="minorEastAsia" w:hAnsiTheme="minorEastAsia"/>
          <w:sz w:val="24"/>
          <w:szCs w:val="24"/>
          <w:lang w:eastAsia="zh-CN"/>
        </w:rPr>
      </w:pPr>
      <w:r>
        <w:rPr>
          <w:rFonts w:hint="eastAsia" w:asciiTheme="minorEastAsia" w:hAnsiTheme="minorEastAsia"/>
          <w:sz w:val="24"/>
          <w:szCs w:val="24"/>
          <w:lang w:eastAsia="zh-CN"/>
        </w:rPr>
        <w:t>7.1乙方所交付的化验分析报告不符合合同规定的，甲方有权拒收并要求乙方修改。如乙方提供的报告存在虚假行为，一经证实，乙方履约保证金（若有）将被甲方没收、乙方还应向甲方支付年度合同总价款20%的违约金。</w:t>
      </w:r>
    </w:p>
    <w:p>
      <w:pPr>
        <w:rPr>
          <w:rFonts w:asciiTheme="minorEastAsia" w:hAnsiTheme="minorEastAsia"/>
          <w:sz w:val="24"/>
          <w:szCs w:val="24"/>
          <w:lang w:eastAsia="zh-CN"/>
        </w:rPr>
      </w:pPr>
      <w:r>
        <w:rPr>
          <w:rFonts w:hint="eastAsia" w:asciiTheme="minorEastAsia" w:hAnsiTheme="minorEastAsia"/>
          <w:sz w:val="24"/>
          <w:szCs w:val="24"/>
          <w:lang w:eastAsia="zh-CN"/>
        </w:rPr>
        <w:t>7.2合同解除：</w:t>
      </w:r>
    </w:p>
    <w:p>
      <w:pPr>
        <w:rPr>
          <w:rFonts w:asciiTheme="minorEastAsia" w:hAnsiTheme="minorEastAsia"/>
          <w:sz w:val="24"/>
          <w:szCs w:val="24"/>
          <w:lang w:eastAsia="zh-CN"/>
        </w:rPr>
      </w:pPr>
      <w:r>
        <w:rPr>
          <w:rFonts w:hint="eastAsia" w:asciiTheme="minorEastAsia" w:hAnsiTheme="minorEastAsia"/>
          <w:sz w:val="24"/>
          <w:szCs w:val="24"/>
          <w:lang w:eastAsia="zh-CN"/>
        </w:rPr>
        <w:t>出现下列情形之一者，甲方除有权要求乙方按前述逾期违约责任条款承担责任外，亦有权要求解除合同：</w:t>
      </w:r>
    </w:p>
    <w:p>
      <w:pPr>
        <w:pStyle w:val="74"/>
        <w:numPr>
          <w:ilvl w:val="0"/>
          <w:numId w:val="10"/>
        </w:numPr>
        <w:autoSpaceDE/>
        <w:autoSpaceDN/>
        <w:spacing w:before="0"/>
        <w:jc w:val="both"/>
        <w:rPr>
          <w:rFonts w:asciiTheme="minorEastAsia" w:hAnsiTheme="minorEastAsia"/>
          <w:sz w:val="24"/>
          <w:szCs w:val="24"/>
          <w:lang w:eastAsia="zh-CN"/>
        </w:rPr>
      </w:pPr>
      <w:r>
        <w:rPr>
          <w:rFonts w:hint="eastAsia" w:asciiTheme="minorEastAsia" w:hAnsiTheme="minorEastAsia"/>
          <w:sz w:val="24"/>
          <w:szCs w:val="24"/>
          <w:lang w:eastAsia="zh-CN"/>
        </w:rPr>
        <w:t>乙方所交付报告与合同规定不符，并于接到甲方合格通知之日起逾二十日仍未能更换合格报告，或经乙方更换/修理一次后的报告仍不能符合合同约定或满足甲方使用要求的。</w:t>
      </w:r>
    </w:p>
    <w:p>
      <w:pPr>
        <w:pStyle w:val="74"/>
        <w:numPr>
          <w:ilvl w:val="0"/>
          <w:numId w:val="10"/>
        </w:numPr>
        <w:autoSpaceDE/>
        <w:autoSpaceDN/>
        <w:spacing w:before="0"/>
        <w:jc w:val="both"/>
        <w:rPr>
          <w:rFonts w:asciiTheme="minorEastAsia" w:hAnsiTheme="minorEastAsia"/>
          <w:sz w:val="24"/>
          <w:szCs w:val="24"/>
          <w:lang w:eastAsia="zh-CN"/>
        </w:rPr>
      </w:pPr>
      <w:r>
        <w:rPr>
          <w:rFonts w:hint="eastAsia" w:asciiTheme="minorEastAsia" w:hAnsiTheme="minorEastAsia"/>
          <w:sz w:val="24"/>
          <w:szCs w:val="24"/>
          <w:lang w:eastAsia="zh-CN"/>
        </w:rPr>
        <w:t>乙方不履行合同约定，造成本合同无法继续执行的。</w:t>
      </w:r>
    </w:p>
    <w:p>
      <w:pPr>
        <w:pStyle w:val="74"/>
        <w:numPr>
          <w:ilvl w:val="0"/>
          <w:numId w:val="10"/>
        </w:numPr>
        <w:autoSpaceDE/>
        <w:autoSpaceDN/>
        <w:spacing w:before="0"/>
        <w:jc w:val="both"/>
        <w:rPr>
          <w:rFonts w:asciiTheme="minorEastAsia" w:hAnsiTheme="minorEastAsia"/>
          <w:sz w:val="24"/>
          <w:szCs w:val="24"/>
          <w:lang w:eastAsia="zh-CN"/>
        </w:rPr>
      </w:pPr>
      <w:r>
        <w:rPr>
          <w:rFonts w:hint="eastAsia" w:asciiTheme="minorEastAsia" w:hAnsiTheme="minorEastAsia"/>
          <w:sz w:val="24"/>
          <w:szCs w:val="24"/>
          <w:lang w:eastAsia="zh-CN"/>
        </w:rPr>
        <w:t>出现其他法定解除合同的情形。</w:t>
      </w:r>
    </w:p>
    <w:p>
      <w:pPr>
        <w:rPr>
          <w:rFonts w:asciiTheme="minorEastAsia" w:hAnsiTheme="minorEastAsia"/>
          <w:sz w:val="24"/>
          <w:szCs w:val="24"/>
          <w:lang w:eastAsia="zh-CN"/>
        </w:rPr>
      </w:pPr>
      <w:r>
        <w:rPr>
          <w:rFonts w:hint="eastAsia" w:asciiTheme="minorEastAsia" w:hAnsiTheme="minorEastAsia"/>
          <w:sz w:val="24"/>
          <w:szCs w:val="24"/>
          <w:lang w:eastAsia="zh-CN"/>
        </w:rPr>
        <w:t>7.3甲方根据本合同约定或法律规定提出解除合同，合同自发出解除合同通知之日起解除。乙方对解除合同有异议的，应在异议有效期内向本合同第10.1条约定的人民法院提出诉讼，异议有效期为自接到解除通知之日起十个日历日。</w:t>
      </w:r>
    </w:p>
    <w:p>
      <w:pPr>
        <w:rPr>
          <w:rFonts w:asciiTheme="minorEastAsia" w:hAnsiTheme="minorEastAsia"/>
          <w:sz w:val="24"/>
          <w:szCs w:val="24"/>
          <w:lang w:eastAsia="zh-CN"/>
        </w:rPr>
      </w:pPr>
      <w:r>
        <w:rPr>
          <w:rFonts w:hint="eastAsia" w:asciiTheme="minorEastAsia" w:hAnsiTheme="minorEastAsia"/>
          <w:sz w:val="24"/>
          <w:szCs w:val="24"/>
          <w:lang w:eastAsia="zh-CN"/>
        </w:rPr>
        <w:t>7.4合同被解除后，乙方须退还甲方己支付的款项及支付占用期间利息，并按合同总金额的百分之二十支付违约金。违约金不足以弥补损失的，乙方还须赔偿由此给甲方造成的一切损失。</w:t>
      </w:r>
    </w:p>
    <w:p>
      <w:pPr>
        <w:rPr>
          <w:rFonts w:asciiTheme="minorEastAsia" w:hAnsiTheme="minorEastAsia"/>
          <w:b/>
          <w:sz w:val="24"/>
          <w:szCs w:val="24"/>
          <w:lang w:eastAsia="zh-CN"/>
        </w:rPr>
      </w:pPr>
      <w:r>
        <w:rPr>
          <w:rFonts w:hint="eastAsia" w:asciiTheme="minorEastAsia" w:hAnsiTheme="minorEastAsia"/>
          <w:b/>
          <w:sz w:val="24"/>
          <w:szCs w:val="24"/>
          <w:lang w:eastAsia="zh-CN"/>
        </w:rPr>
        <w:t>第八章  廉洁条款</w:t>
      </w:r>
    </w:p>
    <w:p>
      <w:pPr>
        <w:rPr>
          <w:rFonts w:asciiTheme="minorEastAsia" w:hAnsiTheme="minorEastAsia"/>
          <w:sz w:val="24"/>
          <w:szCs w:val="24"/>
          <w:lang w:eastAsia="zh-CN"/>
        </w:rPr>
      </w:pPr>
      <w:r>
        <w:rPr>
          <w:rFonts w:hint="eastAsia" w:asciiTheme="minorEastAsia" w:hAnsiTheme="minorEastAsia"/>
          <w:sz w:val="24"/>
          <w:szCs w:val="24"/>
          <w:lang w:eastAsia="zh-CN"/>
        </w:rPr>
        <w:t>8.1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pPr>
        <w:rPr>
          <w:rFonts w:asciiTheme="minorEastAsia" w:hAnsiTheme="minorEastAsia"/>
          <w:b/>
          <w:sz w:val="24"/>
          <w:szCs w:val="24"/>
          <w:lang w:eastAsia="zh-CN"/>
        </w:rPr>
      </w:pPr>
      <w:r>
        <w:rPr>
          <w:rFonts w:hint="eastAsia" w:asciiTheme="minorEastAsia" w:hAnsiTheme="minorEastAsia"/>
          <w:b/>
          <w:sz w:val="24"/>
          <w:szCs w:val="24"/>
          <w:lang w:eastAsia="zh-CN"/>
        </w:rPr>
        <w:t>第十章 争议解决</w:t>
      </w:r>
    </w:p>
    <w:p>
      <w:pPr>
        <w:rPr>
          <w:rFonts w:asciiTheme="minorEastAsia" w:hAnsiTheme="minorEastAsia"/>
          <w:sz w:val="24"/>
          <w:szCs w:val="24"/>
          <w:lang w:eastAsia="zh-CN"/>
        </w:rPr>
      </w:pPr>
      <w:r>
        <w:rPr>
          <w:rFonts w:hint="eastAsia" w:asciiTheme="minorEastAsia" w:hAnsiTheme="minorEastAsia"/>
          <w:sz w:val="24"/>
          <w:szCs w:val="24"/>
          <w:lang w:eastAsia="zh-CN"/>
        </w:rPr>
        <w:t>10.1合同双方因执行本合同所生的或本合同有关的一切争执首先应通过友好协商解决。如协商不能达成协议的，双方均应向甲方所在地人民法院起诉。诉讼费用（包括律师费）由败诉方承担。</w:t>
      </w:r>
    </w:p>
    <w:p>
      <w:pPr>
        <w:rPr>
          <w:rFonts w:asciiTheme="minorEastAsia" w:hAnsiTheme="minorEastAsia"/>
          <w:b/>
          <w:sz w:val="24"/>
          <w:szCs w:val="24"/>
          <w:lang w:eastAsia="zh-CN"/>
        </w:rPr>
      </w:pPr>
      <w:r>
        <w:rPr>
          <w:rFonts w:hint="eastAsia" w:asciiTheme="minorEastAsia" w:hAnsiTheme="minorEastAsia"/>
          <w:b/>
          <w:sz w:val="24"/>
          <w:szCs w:val="24"/>
          <w:lang w:eastAsia="zh-CN"/>
        </w:rPr>
        <w:t>第十一章  合同的生效、变更及其他</w:t>
      </w:r>
    </w:p>
    <w:p>
      <w:pPr>
        <w:rPr>
          <w:rFonts w:asciiTheme="minorEastAsia" w:hAnsiTheme="minorEastAsia"/>
          <w:sz w:val="24"/>
          <w:szCs w:val="24"/>
          <w:lang w:eastAsia="zh-CN"/>
        </w:rPr>
      </w:pPr>
      <w:r>
        <w:rPr>
          <w:rFonts w:hint="eastAsia" w:asciiTheme="minorEastAsia" w:hAnsiTheme="minorEastAsia"/>
          <w:sz w:val="24"/>
          <w:szCs w:val="24"/>
          <w:lang w:eastAsia="zh-CN"/>
        </w:rPr>
        <w:t>11.1本合同经甲方加盖公章及法定代表人章，乙方盖章后合同立即生效。</w:t>
      </w:r>
    </w:p>
    <w:p>
      <w:pPr>
        <w:rPr>
          <w:rFonts w:asciiTheme="minorEastAsia" w:hAnsiTheme="minorEastAsia"/>
          <w:sz w:val="24"/>
          <w:szCs w:val="24"/>
          <w:lang w:eastAsia="zh-CN"/>
        </w:rPr>
      </w:pPr>
      <w:r>
        <w:rPr>
          <w:rFonts w:hint="eastAsia" w:asciiTheme="minorEastAsia" w:hAnsiTheme="minorEastAsia"/>
          <w:sz w:val="24"/>
          <w:szCs w:val="24"/>
          <w:lang w:eastAsia="zh-CN"/>
        </w:rPr>
        <w:t>11.2本合同履约期限：有效期限一年，自合同签订日2019年1月3日至2020年1月2日止。</w:t>
      </w:r>
    </w:p>
    <w:p>
      <w:pPr>
        <w:rPr>
          <w:rFonts w:asciiTheme="minorEastAsia" w:hAnsiTheme="minorEastAsia"/>
          <w:sz w:val="24"/>
          <w:szCs w:val="24"/>
          <w:lang w:eastAsia="zh-CN"/>
        </w:rPr>
      </w:pPr>
      <w:r>
        <w:rPr>
          <w:rFonts w:hint="eastAsia" w:asciiTheme="minorEastAsia" w:hAnsiTheme="minorEastAsia"/>
          <w:sz w:val="24"/>
          <w:szCs w:val="24"/>
          <w:lang w:eastAsia="zh-CN"/>
        </w:rPr>
        <w:t>11.3合同生效后，未经双方书面同意，不得对合同条款做任何修改，对本合同条款的任何变更或修改都须双方协商同意，由双方盖章确认后执行。</w:t>
      </w:r>
    </w:p>
    <w:p>
      <w:pPr>
        <w:rPr>
          <w:rFonts w:asciiTheme="minorEastAsia" w:hAnsiTheme="minorEastAsia"/>
          <w:sz w:val="24"/>
          <w:szCs w:val="24"/>
          <w:lang w:eastAsia="zh-CN"/>
        </w:rPr>
      </w:pPr>
      <w:r>
        <w:rPr>
          <w:rFonts w:hint="eastAsia" w:asciiTheme="minorEastAsia" w:hAnsiTheme="minorEastAsia"/>
          <w:sz w:val="24"/>
          <w:szCs w:val="24"/>
          <w:lang w:eastAsia="zh-CN"/>
        </w:rPr>
        <w:t>11.4任何一方未经另一方书面盖章同意，不得将本合同规定的双方所承担的任何权利或义务权利或义务转让给第三方。</w:t>
      </w:r>
    </w:p>
    <w:p>
      <w:pPr>
        <w:rPr>
          <w:rFonts w:asciiTheme="minorEastAsia" w:hAnsiTheme="minorEastAsia"/>
          <w:sz w:val="24"/>
          <w:szCs w:val="24"/>
          <w:lang w:eastAsia="zh-CN"/>
        </w:rPr>
      </w:pPr>
      <w:r>
        <w:rPr>
          <w:rFonts w:hint="eastAsia" w:asciiTheme="minorEastAsia" w:hAnsiTheme="minorEastAsia"/>
          <w:sz w:val="24"/>
          <w:szCs w:val="24"/>
          <w:lang w:eastAsia="zh-CN"/>
        </w:rPr>
        <w:t>11.5投标书及其附件、合同履行中双方补充、变更等书面协议或文件均为本合同的组成部分。投标书及其附件与本合同冲突时，以本合同为准。合同履行中的书面协议及文件内容相冲突时，以时间在后的为准。</w:t>
      </w:r>
    </w:p>
    <w:p>
      <w:pPr>
        <w:rPr>
          <w:rFonts w:asciiTheme="minorEastAsia" w:hAnsiTheme="minorEastAsia"/>
          <w:sz w:val="24"/>
          <w:szCs w:val="24"/>
          <w:lang w:eastAsia="zh-CN"/>
        </w:rPr>
      </w:pPr>
      <w:r>
        <w:rPr>
          <w:rFonts w:hint="eastAsia" w:asciiTheme="minorEastAsia" w:hAnsiTheme="minorEastAsia"/>
          <w:sz w:val="24"/>
          <w:szCs w:val="24"/>
          <w:lang w:eastAsia="zh-CN"/>
        </w:rPr>
        <w:t>11.6本合同正本一式伍份，甲方执肆份，乙方执壹份，具有同等法律效力。</w:t>
      </w:r>
    </w:p>
    <w:p>
      <w:pPr>
        <w:rPr>
          <w:rFonts w:asciiTheme="minorEastAsia" w:hAnsiTheme="minorEastAsia"/>
          <w:sz w:val="24"/>
          <w:szCs w:val="24"/>
          <w:lang w:eastAsia="zh-CN"/>
        </w:rPr>
      </w:pPr>
      <w:r>
        <w:rPr>
          <w:rFonts w:hint="eastAsia" w:asciiTheme="minorEastAsia" w:hAnsiTheme="minorEastAsia"/>
          <w:sz w:val="24"/>
          <w:szCs w:val="24"/>
          <w:lang w:eastAsia="zh-CN"/>
        </w:rPr>
        <w:t>11.7乙方联系人：，联系方式：，传真号码：，收件邮箱：；乙方同意本合同项下甲方对乙方的通知可以传真、邮寄、邮件或公告方式送达。以传真送达的，甲方按本合同所载乙方的传真号码发送传真当日即为送达日子；以邮寄送达的，甲方按本合同所载地址向乙方以特快专递方式发出通知后的第2个日历日即为送达日。乙方送变其传真号码或地址必须提前五个工作日以上书面通知甲方，否则甲方按本合同所载的传真号码或地址发出通知后视为送达，送达日按本款前述约定。乙方拒收对方传真或邮件的，拒收即视为己送达，送达日按本款前述约定。</w:t>
      </w:r>
    </w:p>
    <w:p>
      <w:pPr>
        <w:rPr>
          <w:rFonts w:asciiTheme="minorEastAsia" w:hAnsiTheme="minorEastAsia"/>
          <w:sz w:val="24"/>
          <w:szCs w:val="24"/>
          <w:lang w:eastAsia="zh-CN"/>
        </w:rPr>
      </w:pPr>
    </w:p>
    <w:p>
      <w:pPr>
        <w:spacing w:line="320" w:lineRule="exact"/>
        <w:ind w:left="5160" w:hanging="5160" w:hangingChars="2150"/>
        <w:rPr>
          <w:rFonts w:asciiTheme="minorEastAsia" w:hAnsiTheme="minorEastAsia"/>
          <w:sz w:val="24"/>
          <w:szCs w:val="24"/>
          <w:lang w:eastAsia="zh-CN"/>
        </w:rPr>
      </w:pPr>
      <w:r>
        <w:rPr>
          <w:rFonts w:hint="eastAsia" w:asciiTheme="minorEastAsia" w:hAnsiTheme="minorEastAsia"/>
          <w:sz w:val="24"/>
          <w:szCs w:val="24"/>
          <w:lang w:eastAsia="zh-CN"/>
        </w:rPr>
        <w:t>甲方：                                     乙方：</w:t>
      </w:r>
      <w:r>
        <w:rPr>
          <w:rFonts w:asciiTheme="minorEastAsia" w:hAnsiTheme="minorEastAsia"/>
          <w:sz w:val="24"/>
          <w:szCs w:val="24"/>
          <w:lang w:eastAsia="zh-CN"/>
        </w:rPr>
        <w:t xml:space="preserve"> </w:t>
      </w:r>
    </w:p>
    <w:p>
      <w:pPr>
        <w:spacing w:line="320" w:lineRule="exact"/>
        <w:ind w:left="5280" w:hanging="5280" w:hangingChars="2200"/>
        <w:rPr>
          <w:rFonts w:asciiTheme="minorEastAsia" w:hAnsiTheme="minorEastAsia"/>
          <w:sz w:val="24"/>
          <w:szCs w:val="24"/>
          <w:lang w:eastAsia="zh-CN"/>
        </w:rPr>
      </w:pPr>
    </w:p>
    <w:p>
      <w:pPr>
        <w:spacing w:line="320" w:lineRule="exact"/>
        <w:ind w:left="5280" w:hanging="5280" w:hangingChars="2200"/>
        <w:rPr>
          <w:rFonts w:asciiTheme="minorEastAsia" w:hAnsiTheme="minorEastAsia"/>
          <w:sz w:val="24"/>
          <w:szCs w:val="24"/>
          <w:lang w:eastAsia="zh-CN"/>
        </w:rPr>
      </w:pPr>
      <w:r>
        <w:rPr>
          <w:rFonts w:hint="eastAsia" w:asciiTheme="minorEastAsia" w:hAnsiTheme="minorEastAsia"/>
          <w:sz w:val="24"/>
          <w:szCs w:val="24"/>
          <w:lang w:eastAsia="zh-CN"/>
        </w:rPr>
        <w:t>地址：                                     地址：</w:t>
      </w:r>
      <w:r>
        <w:rPr>
          <w:rFonts w:asciiTheme="minorEastAsia" w:hAnsiTheme="minorEastAsia"/>
          <w:sz w:val="24"/>
          <w:szCs w:val="24"/>
          <w:lang w:eastAsia="zh-CN"/>
        </w:rPr>
        <w:t xml:space="preserve"> </w:t>
      </w:r>
    </w:p>
    <w:p>
      <w:pPr>
        <w:spacing w:line="320" w:lineRule="exact"/>
        <w:rPr>
          <w:rFonts w:asciiTheme="minorEastAsia" w:hAnsiTheme="minorEastAsia"/>
          <w:sz w:val="24"/>
          <w:szCs w:val="24"/>
          <w:lang w:eastAsia="zh-CN"/>
        </w:rPr>
      </w:pPr>
    </w:p>
    <w:p>
      <w:pPr>
        <w:spacing w:line="320" w:lineRule="exact"/>
        <w:ind w:left="5880" w:hanging="5880" w:hangingChars="2450"/>
        <w:rPr>
          <w:rFonts w:asciiTheme="minorEastAsia" w:hAnsiTheme="minorEastAsia"/>
          <w:sz w:val="24"/>
          <w:szCs w:val="24"/>
          <w:lang w:eastAsia="zh-CN"/>
        </w:rPr>
      </w:pPr>
      <w:r>
        <w:rPr>
          <w:rFonts w:hint="eastAsia" w:asciiTheme="minorEastAsia" w:hAnsiTheme="minorEastAsia"/>
          <w:sz w:val="24"/>
          <w:szCs w:val="24"/>
          <w:lang w:eastAsia="zh-CN"/>
        </w:rPr>
        <w:t>开户行：                                   开户行：</w:t>
      </w:r>
      <w:r>
        <w:rPr>
          <w:rFonts w:asciiTheme="minorEastAsia" w:hAnsiTheme="minorEastAsia"/>
          <w:sz w:val="24"/>
          <w:szCs w:val="24"/>
          <w:lang w:eastAsia="zh-CN"/>
        </w:rPr>
        <w:t xml:space="preserve"> </w:t>
      </w:r>
    </w:p>
    <w:p>
      <w:pPr>
        <w:spacing w:line="320" w:lineRule="exact"/>
        <w:rPr>
          <w:rFonts w:asciiTheme="minorEastAsia" w:hAnsiTheme="minorEastAsia"/>
          <w:sz w:val="24"/>
          <w:szCs w:val="24"/>
          <w:lang w:eastAsia="zh-CN"/>
        </w:rPr>
      </w:pPr>
    </w:p>
    <w:p>
      <w:pPr>
        <w:spacing w:line="320" w:lineRule="exact"/>
        <w:rPr>
          <w:rFonts w:asciiTheme="minorEastAsia" w:hAnsiTheme="minorEastAsia"/>
          <w:sz w:val="24"/>
          <w:szCs w:val="24"/>
          <w:lang w:eastAsia="zh-CN"/>
        </w:rPr>
      </w:pPr>
      <w:r>
        <w:rPr>
          <w:rFonts w:hint="eastAsia" w:asciiTheme="minorEastAsia" w:hAnsiTheme="minorEastAsia"/>
          <w:sz w:val="24"/>
          <w:szCs w:val="24"/>
          <w:lang w:eastAsia="zh-CN"/>
        </w:rPr>
        <w:t>帐号：                                     帐号：</w:t>
      </w:r>
      <w:r>
        <w:rPr>
          <w:rFonts w:asciiTheme="minorEastAsia" w:hAnsiTheme="minorEastAsia"/>
          <w:sz w:val="24"/>
          <w:szCs w:val="24"/>
          <w:lang w:eastAsia="zh-CN"/>
        </w:rPr>
        <w:t xml:space="preserve"> </w:t>
      </w:r>
    </w:p>
    <w:p>
      <w:pPr>
        <w:spacing w:line="320" w:lineRule="exact"/>
        <w:rPr>
          <w:rFonts w:hint="eastAsia" w:asciiTheme="minorEastAsia" w:hAnsiTheme="minorEastAsia"/>
          <w:sz w:val="24"/>
          <w:szCs w:val="24"/>
          <w:lang w:eastAsia="zh-CN"/>
        </w:rPr>
      </w:pPr>
    </w:p>
    <w:p>
      <w:pPr>
        <w:spacing w:line="320" w:lineRule="exact"/>
        <w:rPr>
          <w:rFonts w:asciiTheme="minorEastAsia" w:hAnsiTheme="minorEastAsia"/>
          <w:sz w:val="24"/>
          <w:szCs w:val="24"/>
          <w:lang w:eastAsia="zh-CN"/>
        </w:rPr>
      </w:pPr>
      <w:r>
        <w:rPr>
          <w:rFonts w:hint="eastAsia" w:asciiTheme="minorEastAsia" w:hAnsiTheme="minorEastAsia"/>
          <w:sz w:val="24"/>
          <w:szCs w:val="24"/>
          <w:lang w:eastAsia="zh-CN"/>
        </w:rPr>
        <w:t>税号：                                     税号：</w:t>
      </w:r>
      <w:r>
        <w:rPr>
          <w:rFonts w:asciiTheme="minorEastAsia" w:hAnsiTheme="minorEastAsia"/>
          <w:sz w:val="24"/>
          <w:szCs w:val="24"/>
          <w:lang w:eastAsia="zh-CN"/>
        </w:rPr>
        <w:t xml:space="preserve"> </w:t>
      </w:r>
    </w:p>
    <w:p>
      <w:pPr>
        <w:jc w:val="center"/>
        <w:rPr>
          <w:sz w:val="36"/>
          <w:szCs w:val="36"/>
          <w:lang w:eastAsia="zh-CN"/>
        </w:rPr>
      </w:pPr>
    </w:p>
    <w:p>
      <w:pPr>
        <w:pStyle w:val="2"/>
        <w:rPr>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hint="eastAsia" w:ascii="方正小标宋简体" w:hAnsi="方正小标宋简体" w:eastAsia="方正小标宋简体" w:cs="方正小标宋简体"/>
          <w:b/>
          <w:sz w:val="48"/>
          <w:szCs w:val="48"/>
          <w:lang w:eastAsia="zh-CN"/>
        </w:rPr>
      </w:pPr>
    </w:p>
    <w:p>
      <w:pPr>
        <w:pStyle w:val="27"/>
        <w:spacing w:line="615" w:lineRule="exact"/>
        <w:jc w:val="center"/>
        <w:rPr>
          <w:rFonts w:ascii="方正小标宋简体" w:hAnsi="方正小标宋简体" w:eastAsia="方正小标宋简体" w:cs="方正小标宋简体"/>
          <w:b/>
          <w:sz w:val="48"/>
          <w:szCs w:val="48"/>
          <w:lang w:eastAsia="zh-CN"/>
        </w:rPr>
      </w:pPr>
    </w:p>
    <w:p>
      <w:pPr>
        <w:pStyle w:val="17"/>
        <w:jc w:val="center"/>
        <w:rPr>
          <w:rFonts w:ascii="微软雅黑" w:eastAsia="微软雅黑"/>
          <w:b/>
          <w:sz w:val="48"/>
          <w:szCs w:val="48"/>
          <w:u w:val="single"/>
          <w:lang w:eastAsia="zh-CN"/>
        </w:rPr>
      </w:pPr>
      <w:r>
        <w:rPr>
          <w:rFonts w:hint="eastAsia" w:asciiTheme="minorEastAsia" w:hAnsiTheme="minorEastAsia" w:eastAsiaTheme="minorEastAsia"/>
          <w:sz w:val="48"/>
          <w:szCs w:val="48"/>
          <w:lang w:eastAsia="zh-CN"/>
        </w:rPr>
        <w:t>2021年油品化验外委分析服务</w:t>
      </w:r>
    </w:p>
    <w:p>
      <w:pPr>
        <w:pStyle w:val="27"/>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hint="eastAsia" w:ascii="Times New Roman" w:hAnsi="Times New Roman"/>
          <w:b/>
          <w:bCs/>
          <w:sz w:val="32"/>
          <w:szCs w:val="32"/>
          <w:lang w:eastAsia="zh-CN"/>
        </w:rPr>
      </w:pPr>
    </w:p>
    <w:p>
      <w:pPr>
        <w:pStyle w:val="27"/>
        <w:rPr>
          <w:rFonts w:hint="eastAsia"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600" w:lineRule="exact"/>
        <w:rPr>
          <w:rFonts w:asciiTheme="minorEastAsia" w:hAnsiTheme="minorEastAsia" w:eastAsiaTheme="minorEastAsia"/>
          <w:bCs/>
          <w:sz w:val="24"/>
          <w:szCs w:val="24"/>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lang w:eastAsia="zh-CN"/>
        </w:rPr>
        <w:t>2021年油品化验外委分析服务</w:t>
      </w:r>
      <w:r>
        <w:rPr>
          <w:rFonts w:hint="eastAsia"/>
          <w:lang w:eastAsia="zh-CN"/>
        </w:rPr>
        <w:t>公开自主比选，以本公司名义参与报价、合同执行并处理与之有关的其他事务，相关责任及后果由本公司承担。</w:t>
      </w:r>
    </w:p>
    <w:p>
      <w:pPr>
        <w:spacing w:line="6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年11月   日</w:t>
      </w:r>
      <w:r>
        <w:rPr>
          <w:rFonts w:hint="eastAsia"/>
          <w:sz w:val="24"/>
          <w:lang w:eastAsia="zh-CN"/>
        </w:rPr>
        <w:t>生效，本授权书有效期至此次报价，以及合同履行完毕时止。</w:t>
      </w:r>
    </w:p>
    <w:p>
      <w:pPr>
        <w:spacing w:line="600" w:lineRule="exact"/>
        <w:ind w:firstLine="480" w:firstLineChars="200"/>
        <w:rPr>
          <w:sz w:val="24"/>
          <w:lang w:eastAsia="zh-CN"/>
        </w:rPr>
      </w:pPr>
      <w:r>
        <w:rPr>
          <w:rFonts w:hint="eastAsia"/>
          <w:sz w:val="24"/>
          <w:lang w:eastAsia="zh-CN"/>
        </w:rPr>
        <w:t>特此声明。</w:t>
      </w:r>
    </w:p>
    <w:p>
      <w:pPr>
        <w:pStyle w:val="2"/>
        <w:spacing w:line="60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bookmarkEnd w:id="0"/>
    <w:p>
      <w:pPr>
        <w:snapToGrid w:val="0"/>
        <w:spacing w:line="400" w:lineRule="exact"/>
        <w:rPr>
          <w:b/>
          <w:bCs/>
          <w:sz w:val="32"/>
          <w:szCs w:val="32"/>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DB61BB4"/>
    <w:multiLevelType w:val="multilevel"/>
    <w:tmpl w:val="6DB61BB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063E0"/>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2853"/>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5F8"/>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A3E3F"/>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4593"/>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8F3984"/>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9F6AA0"/>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D7A67"/>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10F"/>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4EC00C0"/>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semiHidden/>
    <w:unhideWhenUsed/>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102"/>
    <w:uiPriority w:val="0"/>
    <w:pPr>
      <w:widowControl/>
    </w:pPr>
    <w:rPr>
      <w:b/>
      <w:bCs/>
      <w:sz w:val="24"/>
      <w:szCs w:val="24"/>
    </w:rPr>
  </w:style>
  <w:style w:type="paragraph" w:styleId="14">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101"/>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9"/>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0"/>
    <w:qFormat/>
    <w:uiPriority w:val="0"/>
    <w:rPr>
      <w:rFonts w:hAnsi="Courier New" w:cs="Courier New"/>
      <w:szCs w:val="21"/>
    </w:rPr>
  </w:style>
  <w:style w:type="paragraph" w:styleId="28">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2">
    <w:name w:val="footer"/>
    <w:basedOn w:val="1"/>
    <w:link w:val="71"/>
    <w:qFormat/>
    <w:uiPriority w:val="99"/>
    <w:pPr>
      <w:tabs>
        <w:tab w:val="center" w:pos="4153"/>
        <w:tab w:val="right" w:pos="8306"/>
      </w:tabs>
      <w:snapToGrid w:val="0"/>
    </w:pPr>
    <w:rPr>
      <w:sz w:val="18"/>
      <w:szCs w:val="18"/>
    </w:rPr>
  </w:style>
  <w:style w:type="paragraph" w:styleId="33">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3">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4">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7">
    <w:name w:val="Strong"/>
    <w:basedOn w:val="46"/>
    <w:qFormat/>
    <w:uiPriority w:val="22"/>
    <w:rPr>
      <w:b/>
      <w:bCs/>
    </w:rPr>
  </w:style>
  <w:style w:type="character" w:styleId="48">
    <w:name w:val="page number"/>
    <w:basedOn w:val="46"/>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qFormat/>
    <w:uiPriority w:val="0"/>
    <w:rPr>
      <w:sz w:val="21"/>
      <w:szCs w:val="21"/>
    </w:rPr>
  </w:style>
  <w:style w:type="character" w:styleId="56">
    <w:name w:val="HTML Cite"/>
    <w:basedOn w:val="46"/>
    <w:unhideWhenUsed/>
    <w:qFormat/>
    <w:uiPriority w:val="99"/>
  </w:style>
  <w:style w:type="table" w:styleId="58">
    <w:name w:val="Table Grid"/>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cs="宋体"/>
      <w:b/>
      <w:bCs/>
      <w:sz w:val="28"/>
      <w:szCs w:val="28"/>
      <w:lang w:eastAsia="en-US"/>
    </w:rPr>
  </w:style>
  <w:style w:type="character" w:customStyle="1" w:styleId="60">
    <w:name w:val="标题 2 Char"/>
    <w:basedOn w:val="46"/>
    <w:link w:val="4"/>
    <w:uiPriority w:val="0"/>
    <w:rPr>
      <w:rFonts w:ascii="宋体" w:hAnsi="宋体" w:cs="宋体"/>
      <w:b/>
      <w:bCs/>
      <w:sz w:val="24"/>
      <w:szCs w:val="24"/>
      <w:lang w:eastAsia="en-US"/>
    </w:rPr>
  </w:style>
  <w:style w:type="character" w:customStyle="1" w:styleId="61">
    <w:name w:val="标题 3 Char"/>
    <w:basedOn w:val="46"/>
    <w:link w:val="5"/>
    <w:uiPriority w:val="0"/>
    <w:rPr>
      <w:b/>
      <w:bCs/>
      <w:kern w:val="2"/>
      <w:sz w:val="32"/>
      <w:szCs w:val="32"/>
    </w:rPr>
  </w:style>
  <w:style w:type="character" w:customStyle="1" w:styleId="62">
    <w:name w:val="标题 4 Char"/>
    <w:basedOn w:val="46"/>
    <w:link w:val="6"/>
    <w:uiPriority w:val="0"/>
    <w:rPr>
      <w:b/>
      <w:kern w:val="2"/>
      <w:sz w:val="24"/>
      <w:szCs w:val="24"/>
    </w:rPr>
  </w:style>
  <w:style w:type="character" w:customStyle="1" w:styleId="63">
    <w:name w:val="标题 5 Char"/>
    <w:basedOn w:val="46"/>
    <w:link w:val="7"/>
    <w:uiPriority w:val="0"/>
    <w:rPr>
      <w:b/>
      <w:bCs/>
      <w:kern w:val="2"/>
      <w:sz w:val="28"/>
      <w:szCs w:val="28"/>
    </w:rPr>
  </w:style>
  <w:style w:type="character" w:customStyle="1" w:styleId="64">
    <w:name w:val="标题 6 Char"/>
    <w:basedOn w:val="46"/>
    <w:link w:val="8"/>
    <w:uiPriority w:val="0"/>
    <w:rPr>
      <w:b/>
      <w:sz w:val="24"/>
    </w:rPr>
  </w:style>
  <w:style w:type="character" w:customStyle="1" w:styleId="65">
    <w:name w:val="正文缩进 Char"/>
    <w:basedOn w:val="46"/>
    <w:link w:val="10"/>
    <w:qFormat/>
    <w:uiPriority w:val="0"/>
    <w:rPr>
      <w:sz w:val="24"/>
    </w:rPr>
  </w:style>
  <w:style w:type="character" w:customStyle="1" w:styleId="66">
    <w:name w:val="标题 7 Char"/>
    <w:basedOn w:val="46"/>
    <w:link w:val="9"/>
    <w:uiPriority w:val="0"/>
    <w:rPr>
      <w:b/>
      <w:kern w:val="2"/>
      <w:sz w:val="24"/>
    </w:rPr>
  </w:style>
  <w:style w:type="character" w:customStyle="1" w:styleId="67">
    <w:name w:val="标题 8 Char"/>
    <w:basedOn w:val="46"/>
    <w:link w:val="11"/>
    <w:uiPriority w:val="0"/>
    <w:rPr>
      <w:rFonts w:ascii="Arial" w:hAnsi="Arial" w:eastAsia="黑体"/>
      <w:kern w:val="2"/>
      <w:sz w:val="24"/>
    </w:rPr>
  </w:style>
  <w:style w:type="character" w:customStyle="1" w:styleId="68">
    <w:name w:val="标题 9 Char"/>
    <w:basedOn w:val="46"/>
    <w:link w:val="12"/>
    <w:uiPriority w:val="0"/>
    <w:rPr>
      <w:rFonts w:ascii="Arial" w:hAnsi="Arial" w:eastAsia="黑体"/>
      <w:kern w:val="2"/>
      <w:sz w:val="21"/>
    </w:rPr>
  </w:style>
  <w:style w:type="character" w:customStyle="1" w:styleId="69">
    <w:name w:val="正文文本 Char1"/>
    <w:basedOn w:val="46"/>
    <w:link w:val="17"/>
    <w:uiPriority w:val="0"/>
    <w:rPr>
      <w:rFonts w:ascii="宋体" w:hAnsi="宋体" w:cs="宋体"/>
      <w:sz w:val="24"/>
      <w:szCs w:val="24"/>
      <w:lang w:eastAsia="en-US"/>
    </w:rPr>
  </w:style>
  <w:style w:type="character" w:customStyle="1" w:styleId="70">
    <w:name w:val="纯文本 Char"/>
    <w:basedOn w:val="46"/>
    <w:link w:val="27"/>
    <w:qFormat/>
    <w:uiPriority w:val="0"/>
    <w:rPr>
      <w:rFonts w:ascii="宋体" w:hAnsi="Courier New" w:cs="Courier New"/>
      <w:sz w:val="22"/>
      <w:szCs w:val="21"/>
      <w:lang w:eastAsia="en-US"/>
    </w:rPr>
  </w:style>
  <w:style w:type="character" w:customStyle="1" w:styleId="71">
    <w:name w:val="页脚 Char"/>
    <w:basedOn w:val="46"/>
    <w:link w:val="32"/>
    <w:qFormat/>
    <w:uiPriority w:val="99"/>
    <w:rPr>
      <w:rFonts w:ascii="宋体" w:hAnsi="宋体" w:cs="宋体"/>
      <w:sz w:val="18"/>
      <w:szCs w:val="18"/>
      <w:lang w:eastAsia="en-US"/>
    </w:rPr>
  </w:style>
  <w:style w:type="character" w:customStyle="1" w:styleId="72">
    <w:name w:val="页眉 Char"/>
    <w:basedOn w:val="46"/>
    <w:link w:val="33"/>
    <w:qFormat/>
    <w:uiPriority w:val="99"/>
    <w:rPr>
      <w:rFonts w:ascii="宋体" w:hAnsi="宋体" w:cs="宋体"/>
      <w:sz w:val="18"/>
      <w:szCs w:val="22"/>
      <w:lang w:eastAsia="en-US"/>
    </w:rPr>
  </w:style>
  <w:style w:type="table" w:customStyle="1" w:styleId="73">
    <w:name w:val="Table Normal"/>
    <w:semiHidden/>
    <w:unhideWhenUsed/>
    <w:qFormat/>
    <w:uiPriority w:val="2"/>
    <w:tblPr>
      <w:tblLayout w:type="fixed"/>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6"/>
    <w:link w:val="22"/>
    <w:uiPriority w:val="0"/>
    <w:rPr>
      <w:b/>
      <w:kern w:val="2"/>
      <w:sz w:val="21"/>
    </w:rPr>
  </w:style>
  <w:style w:type="character" w:customStyle="1" w:styleId="80">
    <w:name w:val="普通(网站) Char"/>
    <w:basedOn w:val="46"/>
    <w:link w:val="43"/>
    <w:locked/>
    <w:uiPriority w:val="0"/>
    <w:rPr>
      <w:rFonts w:ascii="宋体" w:hAnsi="宋体" w:cs="宋体"/>
      <w:sz w:val="24"/>
      <w:szCs w:val="24"/>
    </w:rPr>
  </w:style>
  <w:style w:type="character" w:customStyle="1" w:styleId="81">
    <w:name w:val="xdrichtextbox2"/>
    <w:basedOn w:val="46"/>
    <w:qFormat/>
    <w:uiPriority w:val="0"/>
    <w:rPr>
      <w:color w:val="0000FF"/>
      <w:sz w:val="18"/>
      <w:szCs w:val="18"/>
      <w:u w:val="none"/>
      <w:bdr w:val="single" w:color="DCDCDC" w:sz="8" w:space="0"/>
      <w:shd w:val="clear" w:color="auto" w:fill="FFFFFF"/>
    </w:rPr>
  </w:style>
  <w:style w:type="character" w:customStyle="1" w:styleId="82">
    <w:name w:val="apple-converted-space"/>
    <w:basedOn w:val="46"/>
    <w:qFormat/>
    <w:uiPriority w:val="0"/>
  </w:style>
  <w:style w:type="character" w:customStyle="1" w:styleId="83">
    <w:name w:val="无间隔 Char"/>
    <w:basedOn w:val="46"/>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6"/>
    <w:link w:val="14"/>
    <w:uiPriority w:val="0"/>
    <w:rPr>
      <w:kern w:val="2"/>
      <w:sz w:val="21"/>
    </w:rPr>
  </w:style>
  <w:style w:type="character" w:customStyle="1" w:styleId="86">
    <w:name w:val="批注框文本 Char"/>
    <w:basedOn w:val="46"/>
    <w:link w:val="31"/>
    <w:qFormat/>
    <w:uiPriority w:val="99"/>
    <w:rPr>
      <w:kern w:val="2"/>
      <w:sz w:val="18"/>
      <w:szCs w:val="18"/>
    </w:rPr>
  </w:style>
  <w:style w:type="character" w:customStyle="1" w:styleId="87">
    <w:name w:val="正文文本缩进 3 Char"/>
    <w:basedOn w:val="46"/>
    <w:link w:val="37"/>
    <w:uiPriority w:val="0"/>
    <w:rPr>
      <w:kern w:val="2"/>
      <w:sz w:val="28"/>
    </w:rPr>
  </w:style>
  <w:style w:type="character" w:customStyle="1" w:styleId="88">
    <w:name w:val="正文文本缩进 2 Char"/>
    <w:basedOn w:val="46"/>
    <w:link w:val="30"/>
    <w:uiPriority w:val="0"/>
    <w:rPr>
      <w:rFonts w:ascii="宋体" w:hAnsi="宋体"/>
      <w:iCs/>
      <w:kern w:val="2"/>
      <w:sz w:val="24"/>
      <w:szCs w:val="24"/>
    </w:rPr>
  </w:style>
  <w:style w:type="character" w:customStyle="1" w:styleId="89">
    <w:name w:val="正文文本 Char"/>
    <w:basedOn w:val="46"/>
    <w:qFormat/>
    <w:uiPriority w:val="0"/>
    <w:rPr>
      <w:rFonts w:eastAsia="宋体"/>
      <w:sz w:val="24"/>
      <w:szCs w:val="24"/>
      <w:lang w:val="en-US" w:eastAsia="zh-CN" w:bidi="ar-SA"/>
    </w:rPr>
  </w:style>
  <w:style w:type="character" w:customStyle="1" w:styleId="90">
    <w:name w:val="en1"/>
    <w:basedOn w:val="46"/>
    <w:uiPriority w:val="0"/>
    <w:rPr>
      <w:b/>
      <w:bCs/>
      <w:color w:val="154C7F"/>
      <w:sz w:val="24"/>
      <w:szCs w:val="24"/>
    </w:rPr>
  </w:style>
  <w:style w:type="character" w:customStyle="1" w:styleId="91">
    <w:name w:val="font01"/>
    <w:basedOn w:val="46"/>
    <w:uiPriority w:val="0"/>
    <w:rPr>
      <w:rFonts w:hint="eastAsia" w:ascii="宋体" w:hAnsi="宋体" w:eastAsia="宋体" w:cs="宋体"/>
      <w:color w:val="000000"/>
      <w:sz w:val="20"/>
      <w:szCs w:val="20"/>
      <w:u w:val="none"/>
    </w:rPr>
  </w:style>
  <w:style w:type="character" w:customStyle="1" w:styleId="92">
    <w:name w:val="标题 Char"/>
    <w:basedOn w:val="46"/>
    <w:link w:val="45"/>
    <w:uiPriority w:val="0"/>
    <w:rPr>
      <w:rFonts w:ascii="Arial" w:hAnsi="Arial" w:cs="Arial"/>
      <w:b/>
      <w:bCs/>
      <w:sz w:val="44"/>
      <w:szCs w:val="32"/>
    </w:rPr>
  </w:style>
  <w:style w:type="character" w:customStyle="1" w:styleId="93">
    <w:name w:val="正文文本缩进 Char"/>
    <w:basedOn w:val="46"/>
    <w:link w:val="23"/>
    <w:uiPriority w:val="0"/>
    <w:rPr>
      <w:i/>
      <w:iCs/>
      <w:kern w:val="2"/>
      <w:sz w:val="21"/>
    </w:rPr>
  </w:style>
  <w:style w:type="character" w:customStyle="1" w:styleId="94">
    <w:name w:val="正文文本 3 Char"/>
    <w:basedOn w:val="46"/>
    <w:link w:val="21"/>
    <w:uiPriority w:val="0"/>
    <w:rPr>
      <w:color w:val="0000FF"/>
      <w:kern w:val="2"/>
      <w:sz w:val="24"/>
      <w:szCs w:val="24"/>
    </w:rPr>
  </w:style>
  <w:style w:type="character" w:customStyle="1" w:styleId="95">
    <w:name w:val="font11"/>
    <w:basedOn w:val="46"/>
    <w:qFormat/>
    <w:uiPriority w:val="0"/>
    <w:rPr>
      <w:rFonts w:hint="default" w:ascii="Times New Roman" w:hAnsi="Times New Roman" w:cs="Times New Roman"/>
      <w:color w:val="000000"/>
      <w:sz w:val="20"/>
      <w:szCs w:val="20"/>
      <w:u w:val="none"/>
    </w:rPr>
  </w:style>
  <w:style w:type="character" w:customStyle="1" w:styleId="96">
    <w:name w:val="glossaryitem"/>
    <w:basedOn w:val="46"/>
    <w:uiPriority w:val="0"/>
    <w:rPr>
      <w:u w:val="none"/>
    </w:rPr>
  </w:style>
  <w:style w:type="character" w:customStyle="1" w:styleId="97">
    <w:name w:val="HTML 预设格式 Char"/>
    <w:basedOn w:val="46"/>
    <w:link w:val="42"/>
    <w:uiPriority w:val="0"/>
    <w:rPr>
      <w:rFonts w:ascii="Arial Unicode MS" w:hAnsi="Arial Unicode MS" w:eastAsia="Courier New" w:cs="Courier New"/>
    </w:rPr>
  </w:style>
  <w:style w:type="character" w:customStyle="1" w:styleId="98">
    <w:name w:val="文档结构图 Char"/>
    <w:basedOn w:val="46"/>
    <w:link w:val="20"/>
    <w:qFormat/>
    <w:uiPriority w:val="0"/>
    <w:rPr>
      <w:rFonts w:ascii="宋体"/>
      <w:sz w:val="28"/>
      <w:shd w:val="clear" w:color="auto" w:fill="000080"/>
    </w:rPr>
  </w:style>
  <w:style w:type="character" w:customStyle="1" w:styleId="99">
    <w:name w:val="日期 Char"/>
    <w:basedOn w:val="46"/>
    <w:link w:val="29"/>
    <w:uiPriority w:val="99"/>
    <w:rPr>
      <w:kern w:val="2"/>
      <w:sz w:val="21"/>
      <w:szCs w:val="24"/>
    </w:rPr>
  </w:style>
  <w:style w:type="character" w:customStyle="1" w:styleId="100">
    <w:name w:val="正文文本 2 Char"/>
    <w:basedOn w:val="46"/>
    <w:link w:val="40"/>
    <w:uiPriority w:val="0"/>
    <w:rPr>
      <w:kern w:val="2"/>
      <w:sz w:val="21"/>
      <w:szCs w:val="24"/>
    </w:rPr>
  </w:style>
  <w:style w:type="character" w:customStyle="1" w:styleId="101">
    <w:name w:val="正文首行缩进 Char"/>
    <w:basedOn w:val="89"/>
    <w:link w:val="16"/>
    <w:uiPriority w:val="0"/>
    <w:rPr>
      <w:sz w:val="21"/>
      <w:szCs w:val="21"/>
    </w:rPr>
  </w:style>
  <w:style w:type="character" w:customStyle="1" w:styleId="102">
    <w:name w:val="批注主题 Char"/>
    <w:basedOn w:val="85"/>
    <w:link w:val="13"/>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6"/>
    <w:link w:val="41"/>
    <w:uiPriority w:val="0"/>
    <w:rPr>
      <w:rFonts w:ascii="Arial" w:hAnsi="Arial" w:cs="Arial"/>
      <w:kern w:val="2"/>
      <w:sz w:val="24"/>
      <w:szCs w:val="24"/>
      <w:shd w:val="pct20" w:color="auto" w:fill="auto"/>
    </w:rPr>
  </w:style>
  <w:style w:type="character" w:customStyle="1" w:styleId="107">
    <w:name w:val="正文文本 3 Char1"/>
    <w:basedOn w:val="46"/>
    <w:uiPriority w:val="0"/>
    <w:rPr>
      <w:rFonts w:ascii="宋体" w:hAnsi="宋体" w:cs="宋体"/>
      <w:sz w:val="16"/>
      <w:szCs w:val="16"/>
      <w:lang w:eastAsia="en-US"/>
    </w:rPr>
  </w:style>
  <w:style w:type="paragraph" w:customStyle="1" w:styleId="108">
    <w:name w:val="封面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6"/>
    <w:uiPriority w:val="0"/>
    <w:rPr>
      <w:rFonts w:ascii="宋体" w:hAnsi="宋体" w:cs="宋体"/>
      <w:sz w:val="22"/>
      <w:szCs w:val="22"/>
      <w:lang w:eastAsia="en-US"/>
    </w:rPr>
  </w:style>
  <w:style w:type="character" w:customStyle="1" w:styleId="111">
    <w:name w:val="批注文字 Char1"/>
    <w:basedOn w:val="46"/>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6"/>
    <w:uiPriority w:val="0"/>
    <w:rPr>
      <w:rFonts w:ascii="宋体" w:hAnsi="宋体" w:cs="宋体"/>
      <w:sz w:val="18"/>
      <w:szCs w:val="18"/>
      <w:lang w:eastAsia="en-US"/>
    </w:rPr>
  </w:style>
  <w:style w:type="character" w:customStyle="1" w:styleId="116">
    <w:name w:val="日期 Char1"/>
    <w:basedOn w:val="46"/>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6"/>
    <w:uiPriority w:val="0"/>
    <w:rPr>
      <w:rFonts w:ascii="Courier New" w:hAnsi="Courier New" w:cs="Courier New"/>
      <w:lang w:eastAsia="en-US"/>
    </w:rPr>
  </w:style>
  <w:style w:type="character" w:customStyle="1" w:styleId="121">
    <w:name w:val="正文文本缩进 Char1"/>
    <w:basedOn w:val="46"/>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6"/>
    <w:uiPriority w:val="0"/>
    <w:rPr>
      <w:rFonts w:ascii="宋体" w:hAnsi="宋体" w:cs="宋体"/>
      <w:sz w:val="22"/>
      <w:szCs w:val="22"/>
      <w:lang w:eastAsia="en-US"/>
    </w:rPr>
  </w:style>
  <w:style w:type="character" w:customStyle="1" w:styleId="129">
    <w:name w:val="标题 Char1"/>
    <w:basedOn w:val="46"/>
    <w:uiPriority w:val="0"/>
    <w:rPr>
      <w:rFonts w:asciiTheme="majorHAnsi" w:hAnsiTheme="majorHAnsi" w:cstheme="majorBidi"/>
      <w:b/>
      <w:bCs/>
      <w:sz w:val="32"/>
      <w:szCs w:val="32"/>
      <w:lang w:eastAsia="en-US"/>
    </w:rPr>
  </w:style>
  <w:style w:type="character" w:customStyle="1" w:styleId="130">
    <w:name w:val="正文文本缩进 3 Char1"/>
    <w:basedOn w:val="46"/>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6"/>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41"/>
    <w:next w:val="41"/>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3"/>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6"/>
    <w:qFormat/>
    <w:uiPriority w:val="0"/>
  </w:style>
  <w:style w:type="character" w:customStyle="1" w:styleId="207">
    <w:name w:val="xdrichtextbox3"/>
    <w:basedOn w:val="46"/>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6"/>
    <w:qFormat/>
    <w:uiPriority w:val="0"/>
  </w:style>
  <w:style w:type="character" w:customStyle="1" w:styleId="210">
    <w:name w:val="xdrichtextbox"/>
    <w:basedOn w:val="46"/>
    <w:qFormat/>
    <w:uiPriority w:val="0"/>
    <w:rPr>
      <w:color w:val="auto"/>
      <w:sz w:val="18"/>
      <w:szCs w:val="18"/>
      <w:u w:val="none"/>
      <w:bdr w:val="single" w:color="DCDCDC" w:sz="8" w:space="0"/>
      <w:shd w:val="clear" w:color="auto" w:fill="auto"/>
    </w:rPr>
  </w:style>
  <w:style w:type="character" w:customStyle="1" w:styleId="211">
    <w:name w:val="drapbtn"/>
    <w:basedOn w:val="46"/>
    <w:qFormat/>
    <w:uiPriority w:val="0"/>
  </w:style>
  <w:style w:type="character" w:customStyle="1" w:styleId="212">
    <w:name w:val="w32"/>
    <w:basedOn w:val="46"/>
    <w:qFormat/>
    <w:uiPriority w:val="0"/>
  </w:style>
  <w:style w:type="character" w:customStyle="1" w:styleId="213">
    <w:name w:val="design_class"/>
    <w:basedOn w:val="46"/>
    <w:qFormat/>
    <w:uiPriority w:val="0"/>
  </w:style>
  <w:style w:type="character" w:customStyle="1" w:styleId="214">
    <w:name w:val="cdropright"/>
    <w:basedOn w:val="46"/>
    <w:qFormat/>
    <w:uiPriority w:val="0"/>
  </w:style>
  <w:style w:type="character" w:customStyle="1" w:styleId="215">
    <w:name w:val="browse_class&gt;input"/>
    <w:basedOn w:val="46"/>
    <w:qFormat/>
    <w:uiPriority w:val="0"/>
    <w:rPr>
      <w:shd w:val="clear" w:color="auto" w:fill="F8F8F8"/>
    </w:rPr>
  </w:style>
  <w:style w:type="character" w:customStyle="1" w:styleId="216">
    <w:name w:val="biggerthanmax"/>
    <w:basedOn w:val="46"/>
    <w:qFormat/>
    <w:uiPriority w:val="0"/>
    <w:rPr>
      <w:shd w:val="clear" w:color="auto" w:fill="FFFF00"/>
    </w:rPr>
  </w:style>
  <w:style w:type="character" w:customStyle="1" w:styleId="217">
    <w:name w:val="browse_class&gt;span"/>
    <w:basedOn w:val="46"/>
    <w:qFormat/>
    <w:uiPriority w:val="0"/>
    <w:rPr>
      <w:shd w:val="clear" w:color="auto" w:fill="F8F8F8"/>
    </w:rPr>
  </w:style>
  <w:style w:type="character" w:customStyle="1" w:styleId="218">
    <w:name w:val="hilite6"/>
    <w:basedOn w:val="46"/>
    <w:qFormat/>
    <w:uiPriority w:val="0"/>
    <w:rPr>
      <w:color w:val="FFFFFF"/>
      <w:shd w:val="clear" w:color="auto" w:fill="666677"/>
    </w:rPr>
  </w:style>
  <w:style w:type="character" w:customStyle="1" w:styleId="219">
    <w:name w:val="cdropleft"/>
    <w:basedOn w:val="46"/>
    <w:qFormat/>
    <w:uiPriority w:val="0"/>
  </w:style>
  <w:style w:type="character" w:customStyle="1" w:styleId="220">
    <w:name w:val="active6"/>
    <w:basedOn w:val="46"/>
    <w:qFormat/>
    <w:uiPriority w:val="0"/>
    <w:rPr>
      <w:color w:val="00FF00"/>
      <w:shd w:val="clear" w:color="auto" w:fill="111111"/>
    </w:rPr>
  </w:style>
  <w:style w:type="character" w:customStyle="1" w:styleId="221">
    <w:name w:val="button"/>
    <w:basedOn w:val="46"/>
    <w:qFormat/>
    <w:uiPriority w:val="0"/>
  </w:style>
  <w:style w:type="character" w:customStyle="1" w:styleId="222">
    <w:name w:val="tmpztreemove_arrow"/>
    <w:basedOn w:val="46"/>
    <w:qFormat/>
    <w:uiPriority w:val="0"/>
  </w:style>
  <w:style w:type="character" w:customStyle="1" w:styleId="223">
    <w:name w:val="browse_class&gt;label"/>
    <w:basedOn w:val="46"/>
    <w:qFormat/>
    <w:uiPriority w:val="0"/>
    <w:rPr>
      <w:shd w:val="clear" w:color="auto" w:fill="F8F8F8"/>
    </w:rPr>
  </w:style>
  <w:style w:type="character" w:customStyle="1" w:styleId="224">
    <w:name w:val="pagechatarealistclose_box"/>
    <w:basedOn w:val="46"/>
    <w:qFormat/>
    <w:uiPriority w:val="0"/>
  </w:style>
  <w:style w:type="character" w:customStyle="1" w:styleId="225">
    <w:name w:val="pagechatarealistclose_box1"/>
    <w:basedOn w:val="46"/>
    <w:qFormat/>
    <w:uiPriority w:val="0"/>
  </w:style>
  <w:style w:type="character" w:customStyle="1" w:styleId="226">
    <w:name w:val="ico1652"/>
    <w:basedOn w:val="46"/>
    <w:qFormat/>
    <w:uiPriority w:val="0"/>
  </w:style>
  <w:style w:type="character" w:customStyle="1" w:styleId="227">
    <w:name w:val="ico1653"/>
    <w:basedOn w:val="46"/>
    <w:qFormat/>
    <w:uiPriority w:val="0"/>
  </w:style>
  <w:style w:type="character" w:customStyle="1" w:styleId="228">
    <w:name w:val="token-input-delete-token"/>
    <w:basedOn w:val="46"/>
    <w:qFormat/>
    <w:uiPriority w:val="0"/>
    <w:rPr>
      <w:color w:val="FFFFFF"/>
    </w:rPr>
  </w:style>
  <w:style w:type="character" w:customStyle="1" w:styleId="229">
    <w:name w:val="edit_class"/>
    <w:basedOn w:val="46"/>
    <w:qFormat/>
    <w:uiPriority w:val="0"/>
  </w:style>
  <w:style w:type="character" w:customStyle="1" w:styleId="230">
    <w:name w:val="ico1654"/>
    <w:basedOn w:val="46"/>
    <w:qFormat/>
    <w:uiPriority w:val="0"/>
  </w:style>
  <w:style w:type="character" w:customStyle="1" w:styleId="231">
    <w:name w:val="button2"/>
    <w:basedOn w:val="46"/>
    <w:qFormat/>
    <w:uiPriority w:val="0"/>
  </w:style>
  <w:style w:type="character" w:customStyle="1" w:styleId="232">
    <w:name w:val="active10"/>
    <w:basedOn w:val="46"/>
    <w:qFormat/>
    <w:uiPriority w:val="0"/>
    <w:rPr>
      <w:color w:val="00FF00"/>
      <w:shd w:val="clear" w:color="auto" w:fill="111111"/>
    </w:rPr>
  </w:style>
  <w:style w:type="character" w:customStyle="1" w:styleId="233">
    <w:name w:val="active"/>
    <w:basedOn w:val="46"/>
    <w:qFormat/>
    <w:uiPriority w:val="0"/>
    <w:rPr>
      <w:color w:val="00FF00"/>
      <w:shd w:val="clear" w:color="auto" w:fill="111111"/>
    </w:rPr>
  </w:style>
  <w:style w:type="character" w:customStyle="1" w:styleId="234">
    <w:name w:val="ico1655"/>
    <w:basedOn w:val="46"/>
    <w:qFormat/>
    <w:uiPriority w:val="0"/>
  </w:style>
  <w:style w:type="character" w:customStyle="1" w:styleId="235">
    <w:name w:val="hilite"/>
    <w:basedOn w:val="46"/>
    <w:qFormat/>
    <w:uiPriority w:val="0"/>
    <w:rPr>
      <w:color w:val="FFFFFF"/>
      <w:shd w:val="clear" w:color="auto" w:fill="666677"/>
    </w:rPr>
  </w:style>
  <w:style w:type="character" w:customStyle="1" w:styleId="236">
    <w:name w:val="active12"/>
    <w:basedOn w:val="46"/>
    <w:qFormat/>
    <w:uiPriority w:val="0"/>
    <w:rPr>
      <w:color w:val="00FF00"/>
      <w:shd w:val="clear" w:color="auto" w:fill="111111"/>
    </w:rPr>
  </w:style>
  <w:style w:type="character" w:customStyle="1" w:styleId="237">
    <w:name w:val="hilite5"/>
    <w:basedOn w:val="46"/>
    <w:qFormat/>
    <w:uiPriority w:val="0"/>
    <w:rPr>
      <w:color w:val="FFFFFF"/>
      <w:shd w:val="clear" w:color="auto" w:fill="666677"/>
    </w:rPr>
  </w:style>
  <w:style w:type="character" w:customStyle="1" w:styleId="238">
    <w:name w:val="hilite4"/>
    <w:basedOn w:val="46"/>
    <w:qFormat/>
    <w:uiPriority w:val="0"/>
    <w:rPr>
      <w:color w:val="FFFFFF"/>
      <w:shd w:val="clear" w:color="auto" w:fill="666677"/>
    </w:rPr>
  </w:style>
  <w:style w:type="character" w:customStyle="1" w:styleId="239">
    <w:name w:val="ico16"/>
    <w:basedOn w:val="46"/>
    <w:qFormat/>
    <w:uiPriority w:val="0"/>
  </w:style>
  <w:style w:type="character" w:customStyle="1" w:styleId="240">
    <w:name w:val="ico161"/>
    <w:basedOn w:val="46"/>
    <w:qFormat/>
    <w:uiPriority w:val="0"/>
  </w:style>
  <w:style w:type="character" w:customStyle="1" w:styleId="241">
    <w:name w:val="active8"/>
    <w:basedOn w:val="46"/>
    <w:qFormat/>
    <w:uiPriority w:val="0"/>
    <w:rPr>
      <w:color w:val="00FF00"/>
      <w:shd w:val="clear" w:color="auto" w:fill="111111"/>
    </w:rPr>
  </w:style>
  <w:style w:type="character" w:customStyle="1" w:styleId="242">
    <w:name w:val="active1"/>
    <w:basedOn w:val="46"/>
    <w:qFormat/>
    <w:uiPriority w:val="0"/>
    <w:rPr>
      <w:color w:val="00FF00"/>
      <w:shd w:val="clear" w:color="auto" w:fill="111111"/>
    </w:rPr>
  </w:style>
  <w:style w:type="character" w:customStyle="1" w:styleId="243">
    <w:name w:val="active11"/>
    <w:basedOn w:val="46"/>
    <w:qFormat/>
    <w:uiPriority w:val="0"/>
    <w:rPr>
      <w:color w:val="00FF00"/>
      <w:shd w:val="clear" w:color="auto" w:fill="111111"/>
    </w:rPr>
  </w:style>
  <w:style w:type="character" w:customStyle="1" w:styleId="244">
    <w:name w:val="active9"/>
    <w:basedOn w:val="46"/>
    <w:qFormat/>
    <w:uiPriority w:val="0"/>
    <w:rPr>
      <w:color w:val="00FF00"/>
      <w:shd w:val="clear" w:color="auto" w:fill="111111"/>
    </w:rPr>
  </w:style>
  <w:style w:type="character" w:customStyle="1" w:styleId="245">
    <w:name w:val="active5"/>
    <w:basedOn w:val="46"/>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E188E-D526-4BB7-A36F-9D40FF9A0E88}">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21</Pages>
  <Words>1332</Words>
  <Characters>7597</Characters>
  <Lines>63</Lines>
  <Paragraphs>17</Paragraphs>
  <TotalTime>816</TotalTime>
  <ScaleCrop>false</ScaleCrop>
  <LinksUpToDate>false</LinksUpToDate>
  <CharactersWithSpaces>8912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李若桑</cp:lastModifiedBy>
  <dcterms:modified xsi:type="dcterms:W3CDTF">2020-11-27T08:30:42Z</dcterms:modified>
  <dc:title>公开招标文件（货物服务类）</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