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lang w:eastAsia="zh-CN"/>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5"/>
        <w:rPr>
          <w:rFonts w:ascii="Times New Roman"/>
          <w:sz w:val="20"/>
        </w:rPr>
      </w:pPr>
    </w:p>
    <w:p>
      <w:pPr>
        <w:spacing w:line="788" w:lineRule="exact"/>
        <w:ind w:left="167"/>
        <w:jc w:val="center"/>
        <w:rPr>
          <w:rFonts w:ascii="微软雅黑" w:eastAsia="微软雅黑"/>
          <w:b/>
          <w:sz w:val="52"/>
          <w:lang w:eastAsia="zh-CN"/>
        </w:rPr>
      </w:pPr>
      <w:r>
        <w:rPr>
          <w:rFonts w:hint="eastAsia" w:ascii="微软雅黑" w:eastAsia="微软雅黑"/>
          <w:b/>
          <w:sz w:val="52"/>
          <w:lang w:eastAsia="zh-CN"/>
        </w:rPr>
        <w:t>福建福海创石油化工有限公司</w:t>
      </w:r>
    </w:p>
    <w:p>
      <w:pPr>
        <w:spacing w:before="38"/>
        <w:ind w:left="172"/>
        <w:jc w:val="center"/>
        <w:rPr>
          <w:rFonts w:asciiTheme="majorEastAsia" w:hAnsiTheme="majorEastAsia" w:eastAsiaTheme="majorEastAsia"/>
          <w:b/>
          <w:bCs/>
          <w:sz w:val="44"/>
          <w:szCs w:val="44"/>
          <w:u w:val="single"/>
          <w:lang w:eastAsia="zh-CN"/>
        </w:rPr>
      </w:pPr>
      <w:r>
        <w:rPr>
          <w:rFonts w:hint="eastAsia" w:ascii="微软雅黑" w:eastAsia="微软雅黑"/>
          <w:b/>
          <w:sz w:val="52"/>
          <w:u w:val="single"/>
          <w:lang w:eastAsia="zh-CN"/>
        </w:rPr>
        <w:t xml:space="preserve"> </w:t>
      </w:r>
      <w:r>
        <w:rPr>
          <w:rFonts w:hint="eastAsia" w:asciiTheme="majorEastAsia" w:hAnsiTheme="majorEastAsia" w:eastAsiaTheme="majorEastAsia"/>
          <w:b/>
          <w:bCs/>
          <w:sz w:val="44"/>
          <w:szCs w:val="44"/>
          <w:u w:val="single"/>
          <w:lang w:eastAsia="zh-CN"/>
        </w:rPr>
        <w:t>220KV GIS、35KV气体绝缘封闭式开关柜</w:t>
      </w:r>
    </w:p>
    <w:p>
      <w:pPr>
        <w:spacing w:before="38"/>
        <w:ind w:left="172"/>
        <w:jc w:val="center"/>
        <w:rPr>
          <w:rFonts w:ascii="微软雅黑" w:eastAsia="微软雅黑"/>
          <w:b/>
          <w:sz w:val="52"/>
          <w:lang w:eastAsia="zh-CN"/>
        </w:rPr>
      </w:pPr>
      <w:r>
        <w:rPr>
          <w:rFonts w:hint="eastAsia" w:asciiTheme="majorEastAsia" w:hAnsiTheme="majorEastAsia" w:eastAsiaTheme="majorEastAsia"/>
          <w:b/>
          <w:bCs/>
          <w:sz w:val="44"/>
          <w:szCs w:val="44"/>
          <w:u w:val="single"/>
          <w:lang w:eastAsia="zh-CN"/>
        </w:rPr>
        <w:t>维修及预防性试验</w:t>
      </w:r>
      <w:r>
        <w:rPr>
          <w:rFonts w:hint="eastAsia" w:ascii="微软雅黑" w:eastAsia="微软雅黑"/>
          <w:b/>
          <w:sz w:val="52"/>
          <w:u w:val="single"/>
          <w:lang w:eastAsia="zh-CN"/>
        </w:rPr>
        <w:t xml:space="preserve"> </w:t>
      </w:r>
      <w:r>
        <w:rPr>
          <w:rFonts w:hint="eastAsia" w:ascii="微软雅黑" w:eastAsia="微软雅黑"/>
          <w:b/>
          <w:sz w:val="52"/>
          <w:lang w:eastAsia="zh-CN"/>
        </w:rPr>
        <w:t>项目</w:t>
      </w:r>
    </w:p>
    <w:p>
      <w:pPr>
        <w:pStyle w:val="6"/>
        <w:rPr>
          <w:rFonts w:ascii="微软雅黑"/>
          <w:b/>
          <w:sz w:val="68"/>
          <w:lang w:eastAsia="zh-CN"/>
        </w:rPr>
      </w:pPr>
    </w:p>
    <w:p>
      <w:pPr>
        <w:pStyle w:val="6"/>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FHC-PTCG20201014004 </w:t>
      </w:r>
      <w:r>
        <w:rPr>
          <w:rFonts w:hint="eastAsia"/>
          <w:sz w:val="28"/>
          <w:szCs w:val="28"/>
        </w:rPr>
        <w:t>）</w:t>
      </w:r>
    </w:p>
    <w:p>
      <w:pPr>
        <w:pStyle w:val="6"/>
        <w:rPr>
          <w:rFonts w:ascii="微软雅黑"/>
          <w:b/>
          <w:sz w:val="94"/>
          <w:lang w:eastAsia="zh-CN"/>
        </w:rPr>
      </w:pPr>
    </w:p>
    <w:p>
      <w:pPr>
        <w:pStyle w:val="6"/>
        <w:rPr>
          <w:rFonts w:ascii="微软雅黑"/>
          <w:b/>
          <w:sz w:val="94"/>
          <w:lang w:eastAsia="zh-CN"/>
        </w:rPr>
      </w:pPr>
    </w:p>
    <w:p>
      <w:pPr>
        <w:pStyle w:val="6"/>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二零二零年十月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6"/>
        <w:rPr>
          <w:rFonts w:ascii="黑体"/>
          <w:sz w:val="20"/>
          <w:lang w:eastAsia="zh-CN"/>
        </w:rPr>
      </w:pPr>
    </w:p>
    <w:p>
      <w:pPr>
        <w:pStyle w:val="6"/>
        <w:rPr>
          <w:rFonts w:ascii="黑体"/>
          <w:sz w:val="20"/>
          <w:lang w:eastAsia="zh-CN"/>
        </w:rPr>
      </w:pPr>
    </w:p>
    <w:p>
      <w:pPr>
        <w:pStyle w:val="6"/>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6"/>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6"/>
        <w:spacing w:before="10"/>
        <w:rPr>
          <w:sz w:val="35"/>
          <w:lang w:eastAsia="zh-CN"/>
        </w:rPr>
      </w:pP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附件一：合同条款</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附件二：发包说明</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附件三：参选文件格式</w:t>
      </w:r>
    </w:p>
    <w:p>
      <w:pPr>
        <w:spacing w:line="360" w:lineRule="auto"/>
        <w:ind w:left="360" w:firstLine="480" w:firstLineChars="200"/>
        <w:rPr>
          <w:sz w:val="24"/>
          <w:szCs w:val="24"/>
          <w:lang w:eastAsia="zh-CN"/>
        </w:rPr>
      </w:pPr>
      <w:r>
        <w:rPr>
          <w:rFonts w:hint="eastAsia"/>
          <w:sz w:val="24"/>
          <w:szCs w:val="24"/>
          <w:lang w:eastAsia="zh-CN"/>
        </w:rPr>
        <w:t>附件1：参选单位企业概况</w:t>
      </w:r>
    </w:p>
    <w:p>
      <w:pPr>
        <w:spacing w:line="360" w:lineRule="auto"/>
        <w:ind w:left="360" w:firstLine="480" w:firstLineChars="200"/>
        <w:rPr>
          <w:color w:val="000000"/>
          <w:sz w:val="24"/>
          <w:szCs w:val="24"/>
          <w:lang w:eastAsia="zh-CN"/>
        </w:rPr>
      </w:pPr>
      <w:r>
        <w:rPr>
          <w:rFonts w:hint="eastAsia"/>
          <w:color w:val="000000"/>
          <w:sz w:val="24"/>
          <w:szCs w:val="24"/>
          <w:lang w:eastAsia="zh-CN"/>
        </w:rPr>
        <w:t>附件2：参选书</w:t>
      </w:r>
    </w:p>
    <w:p>
      <w:pPr>
        <w:spacing w:line="360" w:lineRule="auto"/>
        <w:ind w:left="360" w:firstLine="480" w:firstLineChars="200"/>
        <w:rPr>
          <w:sz w:val="24"/>
          <w:szCs w:val="24"/>
          <w:lang w:eastAsia="zh-CN"/>
        </w:rPr>
      </w:pPr>
      <w:r>
        <w:rPr>
          <w:rFonts w:hint="eastAsia"/>
          <w:color w:val="000000"/>
          <w:sz w:val="24"/>
          <w:szCs w:val="24"/>
          <w:lang w:eastAsia="zh-CN"/>
        </w:rPr>
        <w:t>附件3：法定代表人授权委托书</w:t>
      </w:r>
    </w:p>
    <w:p>
      <w:pPr>
        <w:spacing w:line="360" w:lineRule="auto"/>
        <w:ind w:left="360" w:firstLine="480" w:firstLineChars="200"/>
        <w:rPr>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pPr>
        <w:spacing w:line="408" w:lineRule="auto"/>
        <w:ind w:firstLine="840" w:firstLineChars="350"/>
        <w:rPr>
          <w:sz w:val="28"/>
          <w:lang w:eastAsia="zh-CN"/>
        </w:rPr>
        <w:sectPr>
          <w:footerReference r:id="rId3" w:type="default"/>
          <w:pgSz w:w="11910" w:h="16840"/>
          <w:pgMar w:top="1480" w:right="1340" w:bottom="740" w:left="1680" w:header="0" w:footer="551" w:gutter="0"/>
          <w:pgNumType w:start="1"/>
          <w:cols w:space="720" w:num="1"/>
        </w:sectPr>
      </w:pPr>
      <w:r>
        <w:rPr>
          <w:rFonts w:hint="eastAsia"/>
          <w:color w:val="000000"/>
          <w:sz w:val="24"/>
          <w:szCs w:val="24"/>
          <w:lang w:eastAsia="zh-CN"/>
        </w:rPr>
        <w:t>附件5：报价单</w:t>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6"/>
        <w:spacing w:line="360" w:lineRule="auto"/>
        <w:ind w:left="118" w:right="121"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“220KV GIS、35KV气体绝缘封闭式开关柜维修及预防性试验项目（项目编号：</w:t>
      </w:r>
      <w:r>
        <w:rPr>
          <w:rFonts w:hint="eastAsia" w:asciiTheme="majorEastAsia" w:hAnsiTheme="majorEastAsia" w:eastAsiaTheme="majorEastAsia"/>
          <w:u w:val="single"/>
          <w:lang w:eastAsia="zh-CN"/>
        </w:rPr>
        <w:t>FHC-PTCG20201014004</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220KV GIS、35KV气体绝缘封闭式开关柜维修及预防性试验</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比选项目简要说明：220KV GIS、35KV气体绝缘封闭式开关柜维修，220KV GIS、35KV气体绝缘封闭式开关柜、35KV保护测控装置预防性试验，主厂房0米层凝汽器泵坑、16米除氧层电缆槽盒整改</w:t>
      </w:r>
      <w:r>
        <w:rPr>
          <w:rFonts w:hint="eastAsia" w:asciiTheme="majorEastAsia" w:hAnsiTheme="majorEastAsia" w:eastAsiaTheme="majorEastAsia"/>
          <w:sz w:val="24"/>
          <w:szCs w:val="24"/>
          <w:lang w:eastAsia="zh-CN"/>
        </w:rPr>
        <w:t>等。</w:t>
      </w:r>
    </w:p>
    <w:p>
      <w:pPr>
        <w:pStyle w:val="4"/>
        <w:spacing w:line="360" w:lineRule="auto"/>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比选控制价：190万元</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left="1207" w:leftChars="385" w:hanging="360" w:hangingChars="1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，具有完善质量保证体系及质量认证证明等，营业执照年检合格</w:t>
      </w:r>
      <w:r>
        <w:rPr>
          <w:rFonts w:hint="eastAsia" w:cs="Arial" w:asciiTheme="majorEastAsia" w:hAnsiTheme="majorEastAsia" w:eastAsiaTheme="majorEastAsia"/>
          <w:sz w:val="24"/>
          <w:szCs w:val="24"/>
          <w:lang w:eastAsia="zh-CN"/>
        </w:rPr>
        <w:t xml:space="preserve">； </w:t>
      </w:r>
    </w:p>
    <w:p>
      <w:pPr>
        <w:spacing w:line="360" w:lineRule="auto"/>
        <w:ind w:left="1207" w:leftChars="385" w:hanging="360" w:hangingChars="150"/>
        <w:rPr>
          <w:rFonts w:asciiTheme="majorEastAsia" w:hAnsiTheme="majorEastAsia" w:eastAsiaTheme="majorEastAsia"/>
          <w:bCs/>
          <w:sz w:val="24"/>
          <w:szCs w:val="24"/>
          <w:lang w:eastAsia="zh-CN"/>
        </w:rPr>
      </w:pPr>
      <w:r>
        <w:rPr>
          <w:rFonts w:hint="eastAsia" w:cs="Arial" w:asciiTheme="majorEastAsia" w:hAnsiTheme="majorEastAsia" w:eastAsiaTheme="majorEastAsia"/>
          <w:sz w:val="24"/>
          <w:szCs w:val="24"/>
          <w:lang w:eastAsia="zh-CN"/>
        </w:rPr>
        <w:t xml:space="preserve">2. </w:t>
      </w:r>
      <w:r>
        <w:rPr>
          <w:rFonts w:hint="eastAsia" w:asciiTheme="majorEastAsia" w:hAnsiTheme="majorEastAsia" w:eastAsiaTheme="majorEastAsia"/>
          <w:kern w:val="59"/>
          <w:sz w:val="24"/>
          <w:szCs w:val="24"/>
          <w:lang w:eastAsia="zh-CN"/>
        </w:rPr>
        <w:t>参选人应具备能源局电缆监管机构颁发的有效《中华人民共和国承装（修、试）电缆设施许可证》，且承装类、承修类、承试类等级均为一级及以上；</w:t>
      </w:r>
    </w:p>
    <w:p>
      <w:pPr>
        <w:pStyle w:val="20"/>
        <w:snapToGrid w:val="0"/>
        <w:spacing w:before="0" w:line="360" w:lineRule="auto"/>
        <w:ind w:left="1207" w:leftChars="385" w:hanging="360" w:hangingChars="15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pStyle w:val="20"/>
        <w:snapToGrid w:val="0"/>
        <w:spacing w:before="0" w:line="360" w:lineRule="auto"/>
        <w:ind w:left="1207" w:leftChars="385" w:hanging="360" w:hangingChars="15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left="832" w:leftChars="378"/>
        <w:rPr>
          <w:sz w:val="24"/>
          <w:szCs w:val="24"/>
        </w:rPr>
      </w:pPr>
      <w:r>
        <w:rPr>
          <w:rFonts w:hint="eastAsia"/>
          <w:sz w:val="24"/>
          <w:szCs w:val="24"/>
        </w:rPr>
        <w:t xml:space="preserve">5. </w:t>
      </w:r>
      <w:r>
        <w:rPr>
          <w:rFonts w:hint="eastAsia" w:asciiTheme="majorEastAsia" w:hAnsiTheme="majorEastAsia" w:eastAsiaTheme="majorEastAsia"/>
          <w:sz w:val="24"/>
          <w:szCs w:val="24"/>
        </w:rPr>
        <w:t>本项目不接受联合体参选</w:t>
      </w:r>
      <w:r>
        <w:rPr>
          <w:rFonts w:hint="eastAsia"/>
          <w:sz w:val="24"/>
          <w:szCs w:val="24"/>
        </w:rPr>
        <w:t>。</w:t>
      </w:r>
    </w:p>
    <w:p>
      <w:pPr>
        <w:pStyle w:val="20"/>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2020年10月</w:t>
      </w:r>
      <w:r>
        <w:rPr>
          <w:rFonts w:hint="eastAsia" w:asciiTheme="majorEastAsia" w:hAnsiTheme="majorEastAsia" w:eastAsiaTheme="majorEastAsia"/>
          <w:sz w:val="24"/>
          <w:szCs w:val="24"/>
          <w:lang w:val="en-US" w:eastAsia="zh-CN"/>
        </w:rPr>
        <w:t>29</w:t>
      </w:r>
      <w:r>
        <w:rPr>
          <w:rFonts w:hint="eastAsia" w:asciiTheme="majorEastAsia" w:hAnsiTheme="majorEastAsia" w:eastAsiaTheme="majorEastAsia"/>
          <w:sz w:val="24"/>
          <w:szCs w:val="24"/>
          <w:lang w:eastAsia="zh-CN"/>
        </w:rPr>
        <w:t>日至2020年11月</w:t>
      </w:r>
      <w:r>
        <w:rPr>
          <w:rFonts w:hint="eastAsia" w:asciiTheme="majorEastAsia" w:hAnsiTheme="majorEastAsia" w:eastAsiaTheme="majorEastAsia"/>
          <w:sz w:val="24"/>
          <w:szCs w:val="24"/>
          <w:lang w:val="en-US" w:eastAsia="zh-CN"/>
        </w:rPr>
        <w:t>7</w:t>
      </w:r>
      <w:bookmarkStart w:id="10" w:name="_GoBack"/>
      <w:bookmarkEnd w:id="10"/>
      <w:r>
        <w:rPr>
          <w:rFonts w:hint="eastAsia" w:asciiTheme="majorEastAsia" w:hAnsiTheme="majorEastAsia" w:eastAsiaTheme="majorEastAsia"/>
          <w:sz w:val="24"/>
          <w:szCs w:val="24"/>
          <w:lang w:eastAsia="zh-CN"/>
        </w:rPr>
        <w:t>日（共10天）</w:t>
      </w:r>
    </w:p>
    <w:p>
      <w:pPr>
        <w:pStyle w:val="20"/>
        <w:autoSpaceDE/>
        <w:autoSpaceDN/>
        <w:spacing w:before="0" w:line="360" w:lineRule="auto"/>
        <w:ind w:left="1192" w:leftChars="378" w:hanging="360" w:hangingChars="15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w:t>
      </w:r>
      <w:r>
        <w:rPr>
          <w:rFonts w:asciiTheme="majorEastAsia" w:hAnsiTheme="majorEastAsia" w:eastAsiaTheme="majorEastAsia"/>
          <w:kern w:val="59"/>
          <w:sz w:val="24"/>
          <w:szCs w:val="24"/>
        </w:rPr>
        <w:t>资质等级证书</w:t>
      </w:r>
      <w:r>
        <w:rPr>
          <w:rFonts w:hint="eastAsia" w:asciiTheme="majorEastAsia" w:hAnsiTheme="majorEastAsia" w:eastAsiaTheme="majorEastAsia"/>
          <w:bCs/>
          <w:sz w:val="24"/>
          <w:szCs w:val="24"/>
          <w:lang w:eastAsia="zh-CN"/>
        </w:rPr>
        <w:t>及营业执照扫描件），邮件发至：</w:t>
      </w:r>
      <w:r>
        <w:fldChar w:fldCharType="begin"/>
      </w:r>
      <w:r>
        <w:instrText xml:space="preserve"> HYPERLINK "mailto:hzji@fhcpec.com.cn" </w:instrText>
      </w:r>
      <w:r>
        <w:fldChar w:fldCharType="separate"/>
      </w:r>
      <w:r>
        <w:rPr>
          <w:rStyle w:val="15"/>
          <w:rFonts w:hint="eastAsia" w:asciiTheme="majorEastAsia" w:hAnsiTheme="majorEastAsia" w:eastAsiaTheme="majorEastAsia"/>
          <w:bCs/>
          <w:sz w:val="24"/>
          <w:szCs w:val="24"/>
          <w:lang w:eastAsia="zh-CN"/>
        </w:rPr>
        <w:t>hzji@fhcpec.com.cn</w:t>
      </w:r>
      <w:r>
        <w:rPr>
          <w:rStyle w:val="15"/>
          <w:rFonts w:hint="eastAsia" w:asciiTheme="majorEastAsia" w:hAnsiTheme="majorEastAsia" w:eastAsiaTheme="majorEastAsia"/>
          <w:bCs/>
          <w:sz w:val="24"/>
          <w:szCs w:val="24"/>
          <w:lang w:eastAsia="zh-CN"/>
        </w:rPr>
        <w:fldChar w:fldCharType="end"/>
      </w:r>
    </w:p>
    <w:p>
      <w:pPr>
        <w:pStyle w:val="20"/>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pStyle w:val="20"/>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15"/>
          <w:rFonts w:asciiTheme="majorEastAsia" w:hAnsiTheme="majorEastAsia" w:eastAsiaTheme="majorEastAsia"/>
          <w:bCs/>
          <w:sz w:val="24"/>
          <w:szCs w:val="24"/>
        </w:rPr>
        <w:t>qlin@fhcpec.com.cn</w:t>
      </w:r>
      <w:r>
        <w:rPr>
          <w:rStyle w:val="15"/>
          <w:rFonts w:asciiTheme="majorEastAsia" w:hAnsiTheme="majorEastAsia" w:eastAsiaTheme="majorEastAsia"/>
          <w:bCs/>
          <w:sz w:val="24"/>
          <w:szCs w:val="24"/>
        </w:rPr>
        <w:fldChar w:fldCharType="end"/>
      </w:r>
    </w:p>
    <w:p>
      <w:pPr>
        <w:pStyle w:val="5"/>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5160" w:firstLineChars="2150"/>
        <w:rPr>
          <w:sz w:val="24"/>
          <w:szCs w:val="24"/>
          <w:lang w:eastAsia="zh-CN"/>
        </w:rPr>
      </w:pPr>
      <w:r>
        <w:rPr>
          <w:rFonts w:hint="eastAsia"/>
          <w:sz w:val="24"/>
          <w:szCs w:val="24"/>
          <w:lang w:eastAsia="zh-CN"/>
        </w:rPr>
        <w:t xml:space="preserve">2020.10.29 </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ind w:left="680"/>
        <w:rPr>
          <w:b/>
          <w:sz w:val="28"/>
          <w:lang w:eastAsia="zh-CN"/>
        </w:rPr>
      </w:pPr>
      <w:r>
        <w:rPr>
          <w:b/>
          <w:w w:val="95"/>
          <w:sz w:val="28"/>
          <w:lang w:eastAsia="zh-CN"/>
        </w:rPr>
        <w:t>一、比选内容</w:t>
      </w:r>
    </w:p>
    <w:p>
      <w:pPr>
        <w:pStyle w:val="6"/>
        <w:spacing w:line="360" w:lineRule="auto"/>
        <w:ind w:left="598"/>
        <w:rPr>
          <w:lang w:eastAsia="zh-CN"/>
        </w:rPr>
      </w:pPr>
      <w:r>
        <w:rPr>
          <w:lang w:eastAsia="zh-CN"/>
        </w:rPr>
        <w:t>(一)</w:t>
      </w:r>
      <w:r>
        <w:rPr>
          <w:rFonts w:hint="eastAsia"/>
          <w:lang w:eastAsia="zh-CN"/>
        </w:rPr>
        <w:t xml:space="preserve"> 服务</w:t>
      </w:r>
      <w:r>
        <w:rPr>
          <w:lang w:eastAsia="zh-CN"/>
        </w:rPr>
        <w:t>名称：</w:t>
      </w:r>
      <w:r>
        <w:rPr>
          <w:rFonts w:hint="eastAsia" w:asciiTheme="majorEastAsia" w:hAnsiTheme="majorEastAsia" w:eastAsiaTheme="majorEastAsia"/>
          <w:bCs/>
          <w:lang w:eastAsia="zh-CN"/>
        </w:rPr>
        <w:t>220KV GIS、35KV气体绝缘封闭式开关柜维修及预防性试验</w:t>
      </w:r>
    </w:p>
    <w:p>
      <w:pPr>
        <w:pStyle w:val="6"/>
        <w:spacing w:line="360" w:lineRule="auto"/>
        <w:ind w:left="598"/>
        <w:rPr>
          <w:lang w:eastAsia="zh-CN"/>
        </w:rPr>
      </w:pPr>
      <w:r>
        <w:rPr>
          <w:lang w:eastAsia="zh-CN"/>
        </w:rPr>
        <w:t>(二)</w:t>
      </w:r>
      <w:r>
        <w:rPr>
          <w:rFonts w:hint="eastAsia"/>
          <w:lang w:eastAsia="zh-CN"/>
        </w:rPr>
        <w:t xml:space="preserve"> 服务</w:t>
      </w:r>
      <w:r>
        <w:rPr>
          <w:lang w:eastAsia="zh-CN"/>
        </w:rPr>
        <w:t>地点：</w:t>
      </w:r>
      <w:r>
        <w:rPr>
          <w:rFonts w:hint="eastAsia"/>
          <w:lang w:eastAsia="zh-CN"/>
        </w:rPr>
        <w:t>福建漳州古雷经济开发区腾龙路84号</w:t>
      </w:r>
    </w:p>
    <w:p>
      <w:pPr>
        <w:pStyle w:val="6"/>
        <w:spacing w:line="360" w:lineRule="auto"/>
        <w:ind w:left="595"/>
        <w:rPr>
          <w:lang w:eastAsia="zh-CN"/>
        </w:rPr>
      </w:pPr>
      <w:r>
        <w:rPr>
          <w:lang w:eastAsia="zh-CN"/>
        </w:rPr>
        <w:t>(三)</w:t>
      </w:r>
      <w:r>
        <w:rPr>
          <w:rFonts w:hint="eastAsia"/>
          <w:lang w:eastAsia="zh-CN"/>
        </w:rPr>
        <w:t xml:space="preserve"> 服务方式：现场进行</w:t>
      </w:r>
    </w:p>
    <w:p>
      <w:pPr>
        <w:pStyle w:val="6"/>
        <w:spacing w:line="360" w:lineRule="auto"/>
        <w:ind w:left="598"/>
        <w:rPr>
          <w:lang w:eastAsia="zh-CN"/>
        </w:rPr>
      </w:pPr>
      <w:r>
        <w:rPr>
          <w:lang w:eastAsia="zh-CN"/>
        </w:rPr>
        <w:t>(</w:t>
      </w:r>
      <w:r>
        <w:rPr>
          <w:rFonts w:hint="eastAsia"/>
          <w:lang w:eastAsia="zh-CN"/>
        </w:rPr>
        <w:t>四</w:t>
      </w:r>
      <w:r>
        <w:rPr>
          <w:lang w:eastAsia="zh-CN"/>
        </w:rPr>
        <w:t>)</w:t>
      </w:r>
      <w:r>
        <w:rPr>
          <w:rFonts w:hint="eastAsia"/>
          <w:lang w:eastAsia="zh-CN"/>
        </w:rPr>
        <w:t xml:space="preserve"> </w:t>
      </w:r>
      <w:r>
        <w:rPr>
          <w:lang w:eastAsia="zh-CN"/>
        </w:rPr>
        <w:t>比选范围：</w:t>
      </w:r>
    </w:p>
    <w:p>
      <w:pPr>
        <w:spacing w:line="360" w:lineRule="auto"/>
        <w:ind w:firstLine="480" w:firstLineChars="200"/>
        <w:rPr>
          <w:sz w:val="24"/>
          <w:szCs w:val="24"/>
          <w:lang w:eastAsia="zh-CN"/>
        </w:rPr>
      </w:pPr>
      <w:r>
        <w:rPr>
          <w:rFonts w:hint="eastAsia"/>
          <w:sz w:val="24"/>
          <w:szCs w:val="24"/>
          <w:lang w:eastAsia="zh-CN"/>
        </w:rPr>
        <w:t>1.服务范围：福海创石油化工有限公司厂区</w:t>
      </w:r>
    </w:p>
    <w:p>
      <w:pPr>
        <w:spacing w:line="360" w:lineRule="auto"/>
        <w:ind w:firstLine="480" w:firstLineChars="200"/>
        <w:rPr>
          <w:sz w:val="24"/>
          <w:szCs w:val="24"/>
          <w:lang w:eastAsia="zh-CN"/>
        </w:rPr>
      </w:pPr>
      <w:r>
        <w:rPr>
          <w:rFonts w:hint="eastAsia"/>
          <w:sz w:val="24"/>
          <w:szCs w:val="24"/>
          <w:lang w:eastAsia="zh-CN"/>
        </w:rPr>
        <w:t>2.工作内容：</w:t>
      </w:r>
      <w:r>
        <w:rPr>
          <w:rFonts w:hint="eastAsia" w:asciiTheme="majorEastAsia" w:hAnsiTheme="majorEastAsia" w:eastAsiaTheme="majorEastAsia"/>
          <w:bCs/>
          <w:sz w:val="24"/>
          <w:szCs w:val="24"/>
          <w:lang w:eastAsia="zh-CN"/>
        </w:rPr>
        <w:t>220KV GIS、35KV气体绝缘封闭式开关柜维修，220KV GIS、35KV气体绝缘封闭式开关柜、35KV保护测控装置预防性试验，主厂房0米层凝汽器泵坑、16米除氧层电缆槽盒整改</w:t>
      </w:r>
      <w:r>
        <w:rPr>
          <w:rFonts w:hint="eastAsia" w:asciiTheme="majorEastAsia" w:hAnsiTheme="majorEastAsia" w:eastAsiaTheme="majorEastAsia"/>
          <w:sz w:val="24"/>
          <w:szCs w:val="24"/>
          <w:lang w:eastAsia="zh-CN"/>
        </w:rPr>
        <w:t>等。</w:t>
      </w:r>
    </w:p>
    <w:p>
      <w:pPr>
        <w:spacing w:line="360" w:lineRule="auto"/>
        <w:ind w:firstLine="600" w:firstLineChars="250"/>
        <w:rPr>
          <w:sz w:val="24"/>
          <w:szCs w:val="28"/>
          <w:lang w:eastAsia="zh-CN"/>
        </w:rPr>
      </w:pPr>
      <w:r>
        <w:rPr>
          <w:rFonts w:hint="eastAsia"/>
          <w:sz w:val="24"/>
          <w:szCs w:val="28"/>
          <w:lang w:eastAsia="zh-CN"/>
        </w:rPr>
        <w:t>(五) 服务质量：</w:t>
      </w:r>
      <w:r>
        <w:rPr>
          <w:rFonts w:hint="eastAsia" w:asciiTheme="majorEastAsia" w:hAnsiTheme="majorEastAsia" w:eastAsiaTheme="majorEastAsia"/>
          <w:bCs/>
          <w:sz w:val="24"/>
          <w:szCs w:val="24"/>
          <w:lang w:eastAsia="zh-CN"/>
        </w:rPr>
        <w:t>必须满足最新的国家有关标准和规范，</w:t>
      </w:r>
      <w:r>
        <w:rPr>
          <w:rFonts w:hint="eastAsia" w:asciiTheme="majorEastAsia" w:hAnsiTheme="majorEastAsia" w:eastAsiaTheme="majorEastAsia"/>
          <w:sz w:val="24"/>
          <w:szCs w:val="24"/>
          <w:lang w:eastAsia="zh-CN"/>
        </w:rPr>
        <w:t>优先选用GB标准。</w:t>
      </w:r>
    </w:p>
    <w:p>
      <w:pPr>
        <w:pStyle w:val="6"/>
        <w:spacing w:line="360" w:lineRule="auto"/>
        <w:ind w:right="222" w:firstLine="480" w:firstLineChars="200"/>
        <w:rPr>
          <w:lang w:eastAsia="zh-CN"/>
        </w:rPr>
      </w:pPr>
      <w:r>
        <w:rPr>
          <w:rFonts w:hint="eastAsia"/>
          <w:lang w:eastAsia="zh-CN"/>
        </w:rPr>
        <w:t>（六）服务要求</w:t>
      </w:r>
      <w:r>
        <w:rPr>
          <w:lang w:eastAsia="zh-CN"/>
        </w:rPr>
        <w:t>：</w:t>
      </w:r>
      <w:r>
        <w:rPr>
          <w:rFonts w:hint="eastAsia" w:asciiTheme="majorEastAsia" w:hAnsiTheme="majorEastAsia" w:eastAsiaTheme="majorEastAsia"/>
          <w:color w:val="222222"/>
          <w:shd w:val="clear" w:color="auto" w:fill="FFFFFF"/>
          <w:lang w:eastAsia="zh-CN"/>
        </w:rPr>
        <w:t>确保电气设备安全、稳定运行</w:t>
      </w:r>
      <w:r>
        <w:rPr>
          <w:rFonts w:hint="eastAsia" w:asciiTheme="majorEastAsia" w:hAnsiTheme="majorEastAsia" w:eastAsiaTheme="majorEastAsia"/>
          <w:lang w:eastAsia="zh-CN"/>
        </w:rPr>
        <w:t>。</w:t>
      </w:r>
    </w:p>
    <w:p>
      <w:pPr>
        <w:pStyle w:val="3"/>
        <w:ind w:left="680"/>
        <w:rPr>
          <w:lang w:eastAsia="zh-CN"/>
        </w:rPr>
      </w:pPr>
      <w:r>
        <w:rPr>
          <w:w w:val="95"/>
          <w:lang w:eastAsia="zh-CN"/>
        </w:rPr>
        <w:t>二、定义和解释</w:t>
      </w:r>
    </w:p>
    <w:p>
      <w:pPr>
        <w:pStyle w:val="6"/>
        <w:ind w:firstLine="480" w:firstLineChars="200"/>
        <w:rPr>
          <w:lang w:eastAsia="zh-CN"/>
        </w:rPr>
      </w:pPr>
      <w:r>
        <w:rPr>
          <w:lang w:eastAsia="zh-CN"/>
        </w:rPr>
        <w:t>1.“比选人”系</w:t>
      </w:r>
      <w:r>
        <w:rPr>
          <w:rFonts w:hint="eastAsia"/>
          <w:lang w:eastAsia="zh-CN"/>
        </w:rPr>
        <w:t>福建福海创石油化工</w:t>
      </w:r>
      <w:r>
        <w:rPr>
          <w:lang w:eastAsia="zh-CN"/>
        </w:rPr>
        <w:t>有限公司，即业主方。</w:t>
      </w:r>
    </w:p>
    <w:p>
      <w:pPr>
        <w:pStyle w:val="6"/>
        <w:spacing w:before="108" w:line="321" w:lineRule="auto"/>
        <w:ind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6"/>
        <w:spacing w:before="27" w:line="321" w:lineRule="auto"/>
        <w:ind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三</w:t>
      </w:r>
      <w:r>
        <w:rPr>
          <w:spacing w:val="-10"/>
          <w:lang w:eastAsia="zh-CN"/>
        </w:rPr>
        <w:t>。</w:t>
      </w:r>
    </w:p>
    <w:p>
      <w:pPr>
        <w:pStyle w:val="6"/>
        <w:spacing w:before="27" w:line="321" w:lineRule="auto"/>
        <w:ind w:right="222" w:firstLine="480"/>
        <w:rPr>
          <w:lang w:eastAsia="zh-CN"/>
        </w:rPr>
      </w:pPr>
      <w:r>
        <w:rPr>
          <w:rFonts w:hint="eastAsia"/>
          <w:spacing w:val="-10"/>
          <w:lang w:eastAsia="zh-CN"/>
        </w:rPr>
        <w:t>4.</w:t>
      </w:r>
      <w:r>
        <w:rPr>
          <w:rFonts w:hint="eastAsia"/>
          <w:sz w:val="28"/>
          <w:szCs w:val="28"/>
          <w:lang w:eastAsia="zh-CN"/>
        </w:rPr>
        <w:t xml:space="preserve"> </w:t>
      </w:r>
      <w:r>
        <w:rPr>
          <w:rFonts w:hint="eastAsia"/>
          <w:lang w:eastAsia="zh-CN"/>
        </w:rPr>
        <w:t>“服务”系指比选文件规定参选人为完成全部合同义务须承担的所有工作及其他类似的义务。</w:t>
      </w:r>
    </w:p>
    <w:p>
      <w:pPr>
        <w:pStyle w:val="3"/>
        <w:rPr>
          <w:lang w:eastAsia="zh-CN"/>
        </w:rPr>
      </w:pPr>
      <w:r>
        <w:rPr>
          <w:w w:val="95"/>
          <w:lang w:eastAsia="zh-CN"/>
        </w:rPr>
        <w:t>三、比选文件组成</w:t>
      </w:r>
    </w:p>
    <w:p>
      <w:pPr>
        <w:pStyle w:val="6"/>
        <w:ind w:firstLine="480" w:firstLineChars="200"/>
        <w:rPr>
          <w:lang w:eastAsia="zh-CN"/>
        </w:rPr>
      </w:pPr>
      <w:r>
        <w:rPr>
          <w:lang w:eastAsia="zh-CN"/>
        </w:rPr>
        <w:t>1.比选文件包括下列内容：</w:t>
      </w:r>
    </w:p>
    <w:p>
      <w:pPr>
        <w:pStyle w:val="6"/>
        <w:spacing w:before="105"/>
        <w:ind w:left="598"/>
        <w:rPr>
          <w:lang w:eastAsia="zh-CN"/>
        </w:rPr>
      </w:pPr>
      <w:r>
        <w:rPr>
          <w:lang w:eastAsia="zh-CN"/>
        </w:rPr>
        <w:t>比选公告、比选须知、项目内容、合同书格式、报价单、承诺函等。</w:t>
      </w:r>
    </w:p>
    <w:p>
      <w:pPr>
        <w:pStyle w:val="6"/>
        <w:spacing w:before="108" w:line="321" w:lineRule="auto"/>
        <w:ind w:right="212" w:firstLine="480" w:firstLineChars="200"/>
        <w:rPr>
          <w:lang w:eastAsia="zh-CN"/>
        </w:rPr>
      </w:pPr>
      <w:r>
        <w:rPr>
          <w:lang w:eastAsia="zh-CN"/>
        </w:rPr>
        <w:t>2.比选文件除 1 中内容外，比选人在比选期间发出的书面文件和其他修改或补充函件，均是比选文件不可分割的组成部分。</w:t>
      </w:r>
    </w:p>
    <w:p>
      <w:pPr>
        <w:pStyle w:val="6"/>
        <w:spacing w:before="26" w:line="360" w:lineRule="auto"/>
        <w:ind w:firstLine="480" w:firstLineChars="20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ind w:left="680"/>
        <w:rPr>
          <w:lang w:eastAsia="zh-CN"/>
        </w:rPr>
      </w:pPr>
      <w:r>
        <w:rPr>
          <w:w w:val="95"/>
          <w:lang w:eastAsia="zh-CN"/>
        </w:rPr>
        <w:t>四、比选文件的澄清</w:t>
      </w:r>
    </w:p>
    <w:p>
      <w:pPr>
        <w:pStyle w:val="6"/>
        <w:spacing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rPr>
          <w:lang w:eastAsia="zh-CN"/>
        </w:rPr>
      </w:pPr>
      <w:r>
        <w:rPr>
          <w:w w:val="95"/>
          <w:lang w:eastAsia="zh-CN"/>
        </w:rPr>
        <w:t>五、比选文件的修改、补充</w:t>
      </w:r>
    </w:p>
    <w:p>
      <w:pPr>
        <w:pStyle w:val="6"/>
        <w:spacing w:line="360" w:lineRule="auto"/>
        <w:ind w:right="226" w:firstLine="480" w:firstLineChars="20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6"/>
        <w:spacing w:before="27" w:line="360" w:lineRule="auto"/>
        <w:ind w:right="222" w:firstLine="480" w:firstLineChars="20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为使参选人在准备参选文件时有合理的时间考虑比选文件的修改，比选人可酌情推迟参选截止时间和开评时间，并以书面形式通知已获得比选文件每一参选人。</w:t>
      </w:r>
    </w:p>
    <w:p>
      <w:pPr>
        <w:pStyle w:val="6"/>
        <w:spacing w:before="27" w:line="360" w:lineRule="auto"/>
        <w:ind w:firstLine="480" w:firstLineChars="200"/>
        <w:rPr>
          <w:lang w:eastAsia="zh-CN"/>
        </w:rPr>
      </w:pPr>
      <w:r>
        <w:rPr>
          <w:lang w:eastAsia="zh-CN"/>
        </w:rPr>
        <w:t>3.比选文件的修改书将构成比选文件的一部分，对参选人具有约束作用。</w:t>
      </w:r>
    </w:p>
    <w:p>
      <w:pPr>
        <w:pStyle w:val="3"/>
        <w:rPr>
          <w:lang w:eastAsia="zh-CN"/>
        </w:rPr>
      </w:pPr>
      <w:r>
        <w:rPr>
          <w:w w:val="95"/>
          <w:lang w:eastAsia="zh-CN"/>
        </w:rPr>
        <w:t>六、参选人资格</w:t>
      </w:r>
    </w:p>
    <w:p>
      <w:pPr>
        <w:spacing w:line="360" w:lineRule="auto"/>
        <w:ind w:left="1" w:firstLine="480" w:firstLineChars="20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，具有完善质量保证体系及质量认证证明等，营业执照年检合格</w:t>
      </w:r>
      <w:r>
        <w:rPr>
          <w:rFonts w:hint="eastAsia" w:cs="Arial" w:asciiTheme="majorEastAsia" w:hAnsiTheme="majorEastAsia" w:eastAsiaTheme="majorEastAsia"/>
          <w:sz w:val="24"/>
          <w:szCs w:val="24"/>
          <w:lang w:eastAsia="zh-CN"/>
        </w:rPr>
        <w:t xml:space="preserve">； </w:t>
      </w:r>
    </w:p>
    <w:p>
      <w:pPr>
        <w:spacing w:line="360" w:lineRule="auto"/>
        <w:ind w:left="1" w:firstLine="480" w:firstLineChars="200"/>
        <w:rPr>
          <w:rFonts w:asciiTheme="majorEastAsia" w:hAnsiTheme="majorEastAsia" w:eastAsiaTheme="majorEastAsia"/>
          <w:bCs/>
          <w:sz w:val="24"/>
          <w:szCs w:val="24"/>
          <w:lang w:eastAsia="zh-CN"/>
        </w:rPr>
      </w:pPr>
      <w:r>
        <w:rPr>
          <w:rFonts w:hint="eastAsia" w:cs="Arial" w:asciiTheme="majorEastAsia" w:hAnsiTheme="majorEastAsia" w:eastAsiaTheme="majorEastAsia"/>
          <w:sz w:val="24"/>
          <w:szCs w:val="24"/>
          <w:lang w:eastAsia="zh-CN"/>
        </w:rPr>
        <w:t xml:space="preserve">2. </w:t>
      </w:r>
      <w:r>
        <w:rPr>
          <w:rFonts w:hint="eastAsia" w:asciiTheme="majorEastAsia" w:hAnsiTheme="majorEastAsia" w:eastAsiaTheme="majorEastAsia"/>
          <w:kern w:val="59"/>
          <w:sz w:val="24"/>
          <w:szCs w:val="24"/>
          <w:lang w:eastAsia="zh-CN"/>
        </w:rPr>
        <w:t>参选人应具备能源局电缆监管机构颁发的有效《中华人民共和国承装（修、试）电缆设施许可证》，且承装类、承修类、承试类等级均为一级及以上；</w:t>
      </w:r>
    </w:p>
    <w:p>
      <w:pPr>
        <w:pStyle w:val="20"/>
        <w:snapToGrid w:val="0"/>
        <w:spacing w:before="0" w:line="360" w:lineRule="auto"/>
        <w:ind w:left="1" w:firstLine="480" w:firstLineChars="20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pStyle w:val="20"/>
        <w:snapToGrid w:val="0"/>
        <w:spacing w:before="0" w:line="360" w:lineRule="auto"/>
        <w:ind w:left="1" w:firstLine="480" w:firstLineChars="20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3"/>
        <w:spacing w:line="360" w:lineRule="auto"/>
        <w:ind w:left="-359" w:leftChars="-163" w:firstLine="840" w:firstLineChars="350"/>
        <w:rPr>
          <w:b w:val="0"/>
          <w:sz w:val="24"/>
          <w:szCs w:val="24"/>
          <w:lang w:eastAsia="zh-CN"/>
        </w:rPr>
      </w:pPr>
      <w:r>
        <w:rPr>
          <w:rFonts w:hint="eastAsia"/>
          <w:b w:val="0"/>
          <w:sz w:val="24"/>
          <w:szCs w:val="24"/>
          <w:lang w:eastAsia="zh-CN"/>
        </w:rPr>
        <w:t xml:space="preserve">5. </w:t>
      </w:r>
      <w:r>
        <w:rPr>
          <w:rFonts w:hint="eastAsia" w:asciiTheme="majorEastAsia" w:hAnsiTheme="majorEastAsia" w:eastAsiaTheme="majorEastAsia"/>
          <w:b w:val="0"/>
          <w:sz w:val="24"/>
          <w:szCs w:val="24"/>
          <w:lang w:eastAsia="zh-CN"/>
        </w:rPr>
        <w:t>本项目不接受联合体参选</w:t>
      </w:r>
      <w:r>
        <w:rPr>
          <w:rFonts w:hint="eastAsia"/>
          <w:b w:val="0"/>
          <w:sz w:val="24"/>
          <w:szCs w:val="24"/>
          <w:lang w:eastAsia="zh-CN"/>
        </w:rPr>
        <w:t>。</w:t>
      </w:r>
    </w:p>
    <w:p>
      <w:pPr>
        <w:pStyle w:val="3"/>
        <w:spacing w:line="360" w:lineRule="auto"/>
        <w:rPr>
          <w:lang w:eastAsia="zh-CN"/>
        </w:rPr>
      </w:pPr>
      <w:r>
        <w:rPr>
          <w:w w:val="95"/>
          <w:lang w:eastAsia="zh-CN"/>
        </w:rPr>
        <w:t>七、参选保证金</w:t>
      </w:r>
    </w:p>
    <w:p>
      <w:pPr>
        <w:pStyle w:val="6"/>
        <w:spacing w:line="360" w:lineRule="auto"/>
        <w:ind w:right="121" w:firstLine="480" w:firstLineChars="200"/>
        <w:jc w:val="both"/>
        <w:rPr>
          <w:lang w:eastAsia="zh-CN"/>
        </w:rPr>
      </w:pPr>
      <w:r>
        <w:rPr>
          <w:rFonts w:hint="eastAsia"/>
          <w:lang w:eastAsia="zh-CN"/>
        </w:rPr>
        <w:t>1.参选单位应缴纳参选保证金，保证金金额30</w:t>
      </w:r>
      <w:r>
        <w:rPr>
          <w:lang w:eastAsia="zh-CN"/>
        </w:rPr>
        <w:t>000</w:t>
      </w:r>
      <w:r>
        <w:rPr>
          <w:rFonts w:hint="eastAsia"/>
          <w:lang w:eastAsia="zh-CN"/>
        </w:rPr>
        <w:t>元整，参选单位应按照要求从参选单位基本账户转入比选单位的账户，比选单位账户信息如下：</w:t>
      </w:r>
    </w:p>
    <w:p>
      <w:pPr>
        <w:pStyle w:val="6"/>
        <w:spacing w:line="360" w:lineRule="auto"/>
        <w:ind w:left="-240" w:right="121"/>
        <w:jc w:val="both"/>
        <w:rPr>
          <w:lang w:eastAsia="zh-CN"/>
        </w:rPr>
      </w:pPr>
      <w:r>
        <w:rPr>
          <w:rFonts w:hint="eastAsia"/>
          <w:lang w:eastAsia="zh-CN"/>
        </w:rPr>
        <w:t xml:space="preserve">       开户名称：腾龙芳烃（漳州）有限公司</w:t>
      </w:r>
    </w:p>
    <w:p>
      <w:pPr>
        <w:pStyle w:val="6"/>
        <w:spacing w:line="360" w:lineRule="auto"/>
        <w:ind w:left="-240" w:leftChars="-109" w:right="121" w:firstLine="840" w:firstLineChars="350"/>
        <w:jc w:val="both"/>
        <w:rPr>
          <w:lang w:eastAsia="zh-CN"/>
        </w:rPr>
      </w:pPr>
      <w:r>
        <w:rPr>
          <w:rFonts w:hint="eastAsia"/>
          <w:lang w:eastAsia="zh-CN"/>
        </w:rPr>
        <w:t>开户银行：兴业银行漳州古雷支行</w:t>
      </w:r>
    </w:p>
    <w:p>
      <w:pPr>
        <w:pStyle w:val="6"/>
        <w:spacing w:line="360" w:lineRule="auto"/>
        <w:ind w:left="-240" w:leftChars="-109" w:right="121" w:firstLine="840" w:firstLineChars="350"/>
        <w:jc w:val="both"/>
        <w:rPr>
          <w:lang w:eastAsia="zh-CN"/>
        </w:rPr>
      </w:pPr>
      <w:r>
        <w:rPr>
          <w:rFonts w:hint="eastAsia"/>
          <w:lang w:eastAsia="zh-CN"/>
        </w:rPr>
        <w:t>帐  号：162070100100021071</w:t>
      </w:r>
    </w:p>
    <w:p>
      <w:pPr>
        <w:pStyle w:val="6"/>
        <w:spacing w:line="360" w:lineRule="auto"/>
        <w:ind w:left="-240" w:right="121"/>
        <w:jc w:val="both"/>
        <w:rPr>
          <w:lang w:eastAsia="zh-CN"/>
        </w:rPr>
      </w:pPr>
      <w:r>
        <w:rPr>
          <w:rFonts w:hint="eastAsia"/>
          <w:lang w:eastAsia="zh-CN"/>
        </w:rPr>
        <w:t xml:space="preserve">       注明用途：</w:t>
      </w:r>
    </w:p>
    <w:p>
      <w:pPr>
        <w:pStyle w:val="6"/>
        <w:spacing w:line="360" w:lineRule="auto"/>
        <w:ind w:left="-240" w:leftChars="-109" w:right="121" w:firstLine="1320" w:firstLineChars="550"/>
        <w:jc w:val="both"/>
        <w:rPr>
          <w:lang w:eastAsia="zh-CN"/>
        </w:rPr>
      </w:pPr>
      <w:r>
        <w:rPr>
          <w:rFonts w:hint="eastAsia" w:asciiTheme="majorEastAsia" w:hAnsiTheme="majorEastAsia" w:eastAsiaTheme="majorEastAsia"/>
          <w:bCs/>
          <w:lang w:eastAsia="zh-CN"/>
        </w:rPr>
        <w:t>220KV GIS、35KV气体绝缘封闭式开关柜维修及预防性试验项目参选</w:t>
      </w:r>
      <w:r>
        <w:rPr>
          <w:lang w:eastAsia="zh-CN"/>
        </w:rPr>
        <w:t>保证金</w:t>
      </w:r>
    </w:p>
    <w:p>
      <w:pPr>
        <w:pStyle w:val="6"/>
        <w:spacing w:line="360" w:lineRule="auto"/>
        <w:ind w:left="-240"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6"/>
        <w:spacing w:line="360" w:lineRule="auto"/>
        <w:ind w:right="121" w:firstLine="600" w:firstLineChars="25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pPr>
        <w:pStyle w:val="6"/>
        <w:spacing w:line="360" w:lineRule="auto"/>
        <w:ind w:right="121" w:firstLine="480" w:firstLineChars="200"/>
        <w:jc w:val="both"/>
        <w:rPr>
          <w:lang w:eastAsia="zh-CN"/>
        </w:rPr>
      </w:pPr>
      <w:r>
        <w:rPr>
          <w:rFonts w:hint="eastAsia"/>
          <w:lang w:eastAsia="zh-CN"/>
        </w:rPr>
        <w:t>2.对于未能按要求提交保证金的参选文件，比选单位可以视为不符合上面比选要求而予以拒绝；</w:t>
      </w:r>
    </w:p>
    <w:p>
      <w:pPr>
        <w:pStyle w:val="6"/>
        <w:spacing w:line="360" w:lineRule="auto"/>
        <w:ind w:right="121" w:firstLine="480" w:firstLineChars="200"/>
        <w:jc w:val="both"/>
        <w:rPr>
          <w:lang w:eastAsia="zh-CN"/>
        </w:rPr>
      </w:pPr>
      <w:r>
        <w:rPr>
          <w:rFonts w:hint="eastAsia"/>
          <w:lang w:eastAsia="zh-CN"/>
        </w:rPr>
        <w:t>3.比选结束退还未中选者的比选保证金（无息），最迟不超过规定的比选有效期满后的20天；</w:t>
      </w:r>
    </w:p>
    <w:p>
      <w:pPr>
        <w:pStyle w:val="6"/>
        <w:spacing w:line="360" w:lineRule="auto"/>
        <w:ind w:right="121" w:firstLine="480" w:firstLineChars="200"/>
        <w:jc w:val="both"/>
        <w:rPr>
          <w:color w:val="000000" w:themeColor="text1"/>
          <w:lang w:eastAsia="zh-CN"/>
        </w:rPr>
      </w:pPr>
      <w:r>
        <w:rPr>
          <w:rFonts w:hint="eastAsia"/>
          <w:lang w:eastAsia="zh-CN"/>
        </w:rPr>
        <w:t>4.中选者的参选保证金（无息），将在合同签订后自动转为履约保证金，将于合同周期完成后1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6"/>
        <w:spacing w:line="360" w:lineRule="auto"/>
        <w:ind w:right="121" w:firstLine="480" w:firstLineChars="200"/>
        <w:jc w:val="both"/>
        <w:rPr>
          <w:lang w:eastAsia="zh-CN"/>
        </w:rPr>
      </w:pPr>
      <w:r>
        <w:rPr>
          <w:rFonts w:hint="eastAsia"/>
          <w:lang w:eastAsia="zh-CN"/>
        </w:rPr>
        <w:t>5.如有下列情况发生，将被没收参选保证金：</w:t>
      </w:r>
    </w:p>
    <w:p>
      <w:pPr>
        <w:pStyle w:val="6"/>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80"/>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办公楼</w:t>
      </w:r>
      <w:r>
        <w:rPr>
          <w:spacing w:val="4"/>
          <w:lang w:eastAsia="zh-CN"/>
        </w:rPr>
        <w:t>（</w:t>
      </w:r>
      <w:r>
        <w:rPr>
          <w:rFonts w:hint="eastAsia"/>
          <w:spacing w:val="4"/>
          <w:lang w:eastAsia="zh-CN"/>
        </w:rPr>
        <w:t>漳州市漳浦县杜浔镇杜昌路9号</w:t>
      </w:r>
      <w:r>
        <w:rPr>
          <w:spacing w:val="4"/>
          <w:lang w:eastAsia="zh-CN"/>
        </w:rPr>
        <w:t>）</w:t>
      </w:r>
    </w:p>
    <w:p>
      <w:pPr>
        <w:pStyle w:val="4"/>
        <w:tabs>
          <w:tab w:val="left" w:pos="6879"/>
        </w:tabs>
        <w:spacing w:line="360" w:lineRule="auto"/>
        <w:ind w:left="627" w:leftChars="285" w:right="106" w:firstLine="1299" w:firstLineChars="539"/>
        <w:rPr>
          <w:lang w:eastAsia="zh-CN"/>
        </w:rPr>
      </w:pPr>
      <w:r>
        <w:rPr>
          <w:rFonts w:hint="eastAsia"/>
          <w:lang w:eastAsia="zh-CN"/>
        </w:rPr>
        <w:t>商务</w:t>
      </w:r>
      <w:r>
        <w:rPr>
          <w:lang w:eastAsia="zh-CN"/>
        </w:rPr>
        <w:t>联系人：</w:t>
      </w:r>
      <w:r>
        <w:rPr>
          <w:rFonts w:hint="eastAsia"/>
          <w:lang w:eastAsia="zh-CN"/>
        </w:rPr>
        <w:t xml:space="preserve">纪捍政   </w:t>
      </w:r>
      <w:r>
        <w:rPr>
          <w:spacing w:val="-6"/>
          <w:lang w:eastAsia="zh-CN"/>
        </w:rPr>
        <w:t xml:space="preserve"> </w:t>
      </w:r>
      <w:r>
        <w:rPr>
          <w:rFonts w:hint="eastAsia"/>
          <w:spacing w:val="-6"/>
          <w:lang w:eastAsia="zh-CN"/>
        </w:rPr>
        <w:t xml:space="preserve">    </w:t>
      </w:r>
      <w:r>
        <w:rPr>
          <w:rFonts w:hint="eastAsia"/>
          <w:spacing w:val="-4"/>
          <w:lang w:eastAsia="zh-CN"/>
        </w:rPr>
        <w:t>0596-6311823</w:t>
      </w:r>
    </w:p>
    <w:p>
      <w:pPr>
        <w:spacing w:line="360" w:lineRule="auto"/>
        <w:rPr>
          <w:b/>
          <w:bCs/>
          <w:sz w:val="24"/>
          <w:szCs w:val="24"/>
          <w:lang w:eastAsia="zh-CN"/>
        </w:rPr>
      </w:pPr>
      <w:r>
        <w:rPr>
          <w:rFonts w:hint="eastAsia"/>
          <w:lang w:eastAsia="zh-CN"/>
        </w:rPr>
        <w:t xml:space="preserve">                 </w:t>
      </w:r>
      <w:r>
        <w:rPr>
          <w:rFonts w:hint="eastAsia"/>
          <w:b/>
          <w:bCs/>
          <w:sz w:val="24"/>
          <w:szCs w:val="24"/>
          <w:lang w:eastAsia="zh-CN"/>
        </w:rPr>
        <w:t>技术联系人：谭海华        0596-6311274</w:t>
      </w:r>
    </w:p>
    <w:p>
      <w:pPr>
        <w:spacing w:line="360" w:lineRule="auto"/>
        <w:rPr>
          <w:b/>
          <w:sz w:val="24"/>
          <w:lang w:eastAsia="zh-CN"/>
        </w:rPr>
      </w:pPr>
      <w:r>
        <w:rPr>
          <w:b/>
          <w:sz w:val="24"/>
          <w:lang w:eastAsia="zh-CN"/>
        </w:rPr>
        <w:t>注：请使用顺丰快递或中国邮政 EMS 快递，其他快递不能保证送达目的地</w:t>
      </w:r>
      <w:r>
        <w:rPr>
          <w:rFonts w:hint="eastAsia"/>
          <w:b/>
          <w:sz w:val="24"/>
          <w:lang w:eastAsia="zh-CN"/>
        </w:rPr>
        <w:t>（费用自理）</w:t>
      </w:r>
      <w:r>
        <w:rPr>
          <w:b/>
          <w:sz w:val="24"/>
          <w:lang w:eastAsia="zh-CN"/>
        </w:rPr>
        <w:t>。</w:t>
      </w:r>
    </w:p>
    <w:p>
      <w:pPr>
        <w:pStyle w:val="6"/>
        <w:spacing w:line="360" w:lineRule="auto"/>
        <w:ind w:firstLine="480" w:firstLineChars="200"/>
        <w:rPr>
          <w:lang w:eastAsia="zh-CN"/>
        </w:rPr>
      </w:pPr>
      <w:r>
        <w:rPr>
          <w:lang w:eastAsia="zh-CN"/>
        </w:rPr>
        <w:t>3.只允许参选人有一个参选方案，否则将被视为无效参选。</w:t>
      </w:r>
    </w:p>
    <w:p>
      <w:pPr>
        <w:pStyle w:val="6"/>
        <w:spacing w:line="360" w:lineRule="auto"/>
        <w:ind w:right="106" w:firstLine="436" w:firstLineChars="182"/>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6"/>
        <w:spacing w:before="21" w:line="360" w:lineRule="auto"/>
        <w:ind w:right="106" w:firstLine="436" w:firstLineChars="182"/>
        <w:jc w:val="both"/>
        <w:rPr>
          <w:lang w:eastAsia="zh-CN"/>
        </w:rPr>
      </w:pPr>
      <w:r>
        <w:rPr>
          <w:lang w:eastAsia="zh-CN"/>
        </w:rPr>
        <w:t>5.</w:t>
      </w:r>
      <w:r>
        <w:rPr>
          <w:spacing w:val="-9"/>
          <w:lang w:eastAsia="zh-CN"/>
        </w:rPr>
        <w:t>参选人收到比选文件后，如有疑问需要澄清，以书面形式在规定时间内报比选人汇总。</w:t>
      </w:r>
    </w:p>
    <w:p>
      <w:pPr>
        <w:pStyle w:val="6"/>
        <w:spacing w:line="360" w:lineRule="auto"/>
        <w:ind w:right="106" w:firstLine="436" w:firstLineChars="182"/>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4"/>
        <w:spacing w:line="460" w:lineRule="exact"/>
        <w:ind w:left="0" w:firstLine="682" w:firstLineChars="298"/>
        <w:rPr>
          <w:lang w:eastAsia="zh-CN"/>
        </w:rPr>
      </w:pPr>
      <w:r>
        <w:rPr>
          <w:rFonts w:hint="eastAsia"/>
          <w:w w:val="95"/>
          <w:lang w:eastAsia="zh-CN"/>
        </w:rPr>
        <w:t>九</w:t>
      </w:r>
      <w:r>
        <w:rPr>
          <w:w w:val="95"/>
          <w:lang w:eastAsia="zh-CN"/>
        </w:rPr>
        <w:t>、</w:t>
      </w:r>
      <w:r>
        <w:rPr>
          <w:rFonts w:hint="eastAsia"/>
          <w:sz w:val="28"/>
          <w:szCs w:val="28"/>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1.本项目最高限价为人民币190万元。参选人所填报的参选总价高于本项目最高限价的，其参选将被评标委员会予以否决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技术规范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6"/>
        <w:spacing w:before="24" w:line="321" w:lineRule="auto"/>
        <w:ind w:right="106" w:firstLine="472" w:firstLineChars="200"/>
        <w:jc w:val="both"/>
        <w:rPr>
          <w:lang w:eastAsia="zh-CN"/>
        </w:rPr>
      </w:pPr>
      <w:r>
        <w:rPr>
          <w:rFonts w:hint="eastAsia"/>
          <w:bCs/>
          <w:spacing w:val="-2"/>
          <w:lang w:eastAsia="zh-CN"/>
        </w:rPr>
        <w:t>备注：如依据我国法律法规及税收政策，本合同项下服务所涉及的增值税税率发生调整，双方一致同意按照调整后的增值税税率相应调整合同价款。</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6"/>
        <w:spacing w:before="3"/>
        <w:rPr>
          <w:b/>
          <w:sz w:val="26"/>
          <w:lang w:eastAsia="zh-CN"/>
        </w:rPr>
      </w:pPr>
    </w:p>
    <w:p>
      <w:pPr>
        <w:spacing w:before="15"/>
        <w:ind w:left="538"/>
        <w:rPr>
          <w:b/>
          <w:sz w:val="28"/>
          <w:lang w:eastAsia="zh-CN"/>
        </w:rPr>
      </w:pPr>
      <w:r>
        <w:rPr>
          <w:b/>
          <w:w w:val="95"/>
          <w:sz w:val="28"/>
          <w:lang w:eastAsia="zh-CN"/>
        </w:rPr>
        <w:t>一、参选文件的组成：</w:t>
      </w:r>
    </w:p>
    <w:p>
      <w:pPr>
        <w:pStyle w:val="6"/>
        <w:spacing w:before="186" w:line="321" w:lineRule="auto"/>
        <w:ind w:left="118" w:right="92" w:firstLine="480"/>
        <w:rPr>
          <w:lang w:eastAsia="zh-CN"/>
        </w:rPr>
      </w:pPr>
      <w:r>
        <w:rPr>
          <w:rFonts w:hint="eastAsia"/>
          <w:lang w:eastAsia="zh-CN"/>
        </w:rPr>
        <w:t>1.</w:t>
      </w:r>
      <w:r>
        <w:rPr>
          <w:lang w:eastAsia="zh-CN"/>
        </w:rPr>
        <w:t>参选单位企业概况（企业简介、经营状况、业绩）、营业执照</w:t>
      </w:r>
      <w:r>
        <w:rPr>
          <w:rFonts w:hint="eastAsia"/>
          <w:lang w:eastAsia="zh-CN"/>
        </w:rPr>
        <w:t>（复印件）</w:t>
      </w:r>
      <w:r>
        <w:rPr>
          <w:lang w:eastAsia="zh-CN"/>
        </w:rPr>
        <w:t>、资质证书、组织机构代码证、税务登记证（经年检或年审合格的）</w:t>
      </w:r>
      <w:r>
        <w:rPr>
          <w:rFonts w:hint="eastAsia"/>
          <w:lang w:eastAsia="zh-CN"/>
        </w:rPr>
        <w:t>、法人代表身份证（复印件）及服务承诺函</w:t>
      </w:r>
      <w:r>
        <w:rPr>
          <w:lang w:eastAsia="zh-CN"/>
        </w:rPr>
        <w:t>等。</w:t>
      </w:r>
    </w:p>
    <w:p>
      <w:pPr>
        <w:pStyle w:val="6"/>
        <w:spacing w:before="23" w:line="321" w:lineRule="auto"/>
        <w:ind w:left="118" w:right="92" w:firstLine="480"/>
        <w:rPr>
          <w:spacing w:val="-5"/>
          <w:lang w:eastAsia="zh-CN"/>
        </w:rPr>
      </w:pPr>
      <w:r>
        <w:rPr>
          <w:rFonts w:hint="eastAsia"/>
          <w:spacing w:val="-7"/>
          <w:lang w:eastAsia="zh-CN"/>
        </w:rPr>
        <w:t>2.</w:t>
      </w:r>
      <w:r>
        <w:rPr>
          <w:spacing w:val="-7"/>
          <w:lang w:eastAsia="zh-CN"/>
        </w:rPr>
        <w:t>有良好</w:t>
      </w:r>
      <w:r>
        <w:rPr>
          <w:rFonts w:hint="eastAsia"/>
          <w:spacing w:val="-7"/>
          <w:lang w:eastAsia="zh-CN"/>
        </w:rPr>
        <w:t>相似</w:t>
      </w:r>
      <w:r>
        <w:rPr>
          <w:spacing w:val="-7"/>
          <w:lang w:eastAsia="zh-CN"/>
        </w:rPr>
        <w:t>业绩的证明。</w:t>
      </w:r>
      <w:r>
        <w:rPr>
          <w:spacing w:val="-5"/>
          <w:lang w:eastAsia="zh-CN"/>
        </w:rPr>
        <w:t>凡弄虚作假的，一经查实，比选人有权取消其中选资格。</w:t>
      </w:r>
    </w:p>
    <w:p>
      <w:pPr>
        <w:pStyle w:val="6"/>
        <w:spacing w:before="23" w:line="321" w:lineRule="auto"/>
        <w:ind w:left="118" w:right="92" w:firstLine="480"/>
        <w:rPr>
          <w:color w:val="000000"/>
          <w:lang w:eastAsia="zh-CN"/>
        </w:rPr>
      </w:pPr>
      <w:r>
        <w:rPr>
          <w:rFonts w:hint="eastAsia"/>
          <w:spacing w:val="-5"/>
          <w:lang w:eastAsia="zh-CN"/>
        </w:rPr>
        <w:t>3.</w:t>
      </w:r>
      <w:r>
        <w:rPr>
          <w:color w:val="000000"/>
          <w:lang w:eastAsia="zh-CN"/>
        </w:rPr>
        <w:t xml:space="preserve"> </w:t>
      </w:r>
      <w:r>
        <w:rPr>
          <w:spacing w:val="-6"/>
          <w:lang w:eastAsia="zh-CN"/>
        </w:rPr>
        <w:t>参选单位出具业务联系人的授权代表证明，业务联系人或被授权代表变更时应取得相应的具有法律效力的证明材料。</w:t>
      </w:r>
    </w:p>
    <w:p>
      <w:pPr>
        <w:pStyle w:val="6"/>
        <w:spacing w:before="23" w:line="321" w:lineRule="auto"/>
        <w:ind w:left="118" w:right="92" w:firstLine="480"/>
        <w:rPr>
          <w:lang w:eastAsia="zh-CN"/>
        </w:rPr>
      </w:pPr>
      <w:r>
        <w:rPr>
          <w:rFonts w:hint="eastAsia"/>
          <w:color w:val="000000"/>
          <w:lang w:eastAsia="zh-CN"/>
        </w:rPr>
        <w:t>4.</w:t>
      </w:r>
      <w:r>
        <w:rPr>
          <w:spacing w:val="-6"/>
          <w:lang w:eastAsia="zh-CN"/>
        </w:rPr>
        <w:t xml:space="preserve"> </w:t>
      </w:r>
      <w:r>
        <w:rPr>
          <w:lang w:eastAsia="zh-CN"/>
        </w:rPr>
        <w:t>提供参选报价表(详见附件</w:t>
      </w:r>
      <w:r>
        <w:rPr>
          <w:rFonts w:hint="eastAsia"/>
          <w:lang w:eastAsia="zh-CN"/>
        </w:rPr>
        <w:t>三</w:t>
      </w:r>
      <w:r>
        <w:rPr>
          <w:lang w:eastAsia="zh-CN"/>
        </w:rPr>
        <w:t>)。</w:t>
      </w:r>
    </w:p>
    <w:p>
      <w:pPr>
        <w:pStyle w:val="6"/>
        <w:spacing w:before="26" w:line="321" w:lineRule="auto"/>
        <w:ind w:left="118" w:right="222" w:firstLine="480"/>
        <w:rPr>
          <w:lang w:eastAsia="zh-CN"/>
        </w:rPr>
      </w:pPr>
      <w:r>
        <w:rPr>
          <w:rFonts w:hint="eastAsia"/>
          <w:spacing w:val="-6"/>
          <w:lang w:eastAsia="zh-CN"/>
        </w:rPr>
        <w:t>5.</w:t>
      </w:r>
      <w:r>
        <w:rPr>
          <w:lang w:eastAsia="zh-CN"/>
        </w:rPr>
        <w:t xml:space="preserve"> 以上</w:t>
      </w:r>
      <w:r>
        <w:rPr>
          <w:rFonts w:hint="eastAsia"/>
          <w:lang w:eastAsia="zh-CN"/>
        </w:rPr>
        <w:t>1</w:t>
      </w:r>
      <w:r>
        <w:rPr>
          <w:lang w:eastAsia="zh-CN"/>
        </w:rPr>
        <w:t>至</w:t>
      </w:r>
      <w:r>
        <w:rPr>
          <w:rFonts w:hint="eastAsia"/>
          <w:lang w:eastAsia="zh-CN"/>
        </w:rPr>
        <w:t>3</w:t>
      </w:r>
      <w:r>
        <w:rPr>
          <w:lang w:eastAsia="zh-CN"/>
        </w:rPr>
        <w:t>项内容</w:t>
      </w:r>
      <w:r>
        <w:rPr>
          <w:rFonts w:hint="eastAsia"/>
          <w:b/>
          <w:bCs/>
          <w:lang w:eastAsia="zh-CN"/>
        </w:rPr>
        <w:t>装订成册</w:t>
      </w:r>
      <w:r>
        <w:rPr>
          <w:lang w:eastAsia="zh-CN"/>
        </w:rPr>
        <w:t>密封并加盖公章</w:t>
      </w:r>
      <w:r>
        <w:rPr>
          <w:rFonts w:hint="eastAsia"/>
          <w:lang w:eastAsia="zh-CN"/>
        </w:rPr>
        <w:t>（一正两副），报价表单独密封并加盖公章，在密封封面上要有明确的注明表示密封内的项号</w:t>
      </w:r>
      <w:r>
        <w:rPr>
          <w:lang w:eastAsia="zh-CN"/>
        </w:rPr>
        <w:t>。</w:t>
      </w:r>
    </w:p>
    <w:p>
      <w:pPr>
        <w:pStyle w:val="3"/>
        <w:spacing w:before="176"/>
        <w:rPr>
          <w:lang w:eastAsia="zh-CN"/>
        </w:rPr>
      </w:pPr>
      <w:r>
        <w:rPr>
          <w:w w:val="95"/>
          <w:lang w:eastAsia="zh-CN"/>
        </w:rPr>
        <w:t>二、参选书格式内容</w:t>
      </w:r>
    </w:p>
    <w:p>
      <w:pPr>
        <w:pStyle w:val="6"/>
        <w:spacing w:before="188"/>
        <w:ind w:left="598"/>
        <w:rPr>
          <w:lang w:eastAsia="zh-CN"/>
        </w:rPr>
      </w:pPr>
      <w:r>
        <w:rPr>
          <w:lang w:eastAsia="zh-CN"/>
        </w:rPr>
        <w:t>参选人应按附件</w:t>
      </w:r>
      <w:r>
        <w:rPr>
          <w:rFonts w:hint="eastAsia"/>
          <w:lang w:eastAsia="zh-CN"/>
        </w:rPr>
        <w:t>三</w:t>
      </w:r>
      <w:r>
        <w:rPr>
          <w:lang w:eastAsia="zh-CN"/>
        </w:rPr>
        <w:t>格式内容要求进行参选书的编制。</w:t>
      </w:r>
    </w:p>
    <w:p>
      <w:pPr>
        <w:pStyle w:val="3"/>
        <w:spacing w:before="176"/>
        <w:rPr>
          <w:lang w:eastAsia="zh-CN"/>
        </w:rPr>
      </w:pPr>
      <w:r>
        <w:rPr>
          <w:w w:val="95"/>
          <w:lang w:eastAsia="zh-CN"/>
        </w:rPr>
        <w:t>三、参选报价</w:t>
      </w:r>
    </w:p>
    <w:p>
      <w:pPr>
        <w:pStyle w:val="6"/>
        <w:spacing w:before="134" w:line="355" w:lineRule="auto"/>
        <w:ind w:left="118" w:right="222" w:firstLine="477"/>
        <w:rPr>
          <w:lang w:eastAsia="zh-CN"/>
        </w:rPr>
      </w:pPr>
      <w:r>
        <w:rPr>
          <w:spacing w:val="-3"/>
          <w:lang w:eastAsia="zh-CN"/>
        </w:rPr>
        <w:t>参选人须按要求进行报价</w:t>
      </w:r>
      <w:r>
        <w:rPr>
          <w:spacing w:val="-29"/>
          <w:lang w:eastAsia="zh-CN"/>
        </w:rPr>
        <w:t>，</w:t>
      </w:r>
      <w:r>
        <w:rPr>
          <w:rFonts w:hint="eastAsia"/>
          <w:lang w:eastAsia="zh-CN"/>
        </w:rPr>
        <w:t>现场勘查，对参选报价负责，报价为含税价。</w:t>
      </w:r>
      <w:r>
        <w:rPr>
          <w:rFonts w:hint="eastAsia"/>
          <w:color w:val="000000"/>
          <w:lang w:eastAsia="zh-CN"/>
        </w:rPr>
        <w:t>参选报价应包括比选文件所确定的项目范围内的全部内容，以及为完成上述内容所必须的工具、劳务及所需的全部费用。</w:t>
      </w:r>
      <w:r>
        <w:rPr>
          <w:rFonts w:hint="eastAsia"/>
          <w:lang w:eastAsia="zh-CN"/>
        </w:rPr>
        <w:t>参选人须按照比选人提供的报价函填写，加盖参选人印章，字迹清晰，否则视为无效。</w:t>
      </w:r>
    </w:p>
    <w:p>
      <w:pPr>
        <w:pStyle w:val="3"/>
        <w:spacing w:before="30"/>
        <w:rPr>
          <w:lang w:eastAsia="zh-CN"/>
        </w:rPr>
      </w:pPr>
      <w:r>
        <w:rPr>
          <w:w w:val="95"/>
          <w:lang w:eastAsia="zh-CN"/>
        </w:rPr>
        <w:t>四、特别说明</w:t>
      </w:r>
    </w:p>
    <w:p>
      <w:pPr>
        <w:pStyle w:val="6"/>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pPr>
        <w:pStyle w:val="6"/>
        <w:spacing w:before="35" w:line="355" w:lineRule="auto"/>
        <w:ind w:left="118" w:right="224" w:firstLine="480"/>
        <w:rPr>
          <w:lang w:eastAsia="zh-CN"/>
        </w:rPr>
      </w:pPr>
      <w:r>
        <w:rPr>
          <w:lang w:eastAsia="zh-CN"/>
        </w:rPr>
        <w:t>2.</w:t>
      </w:r>
      <w:r>
        <w:rPr>
          <w:spacing w:val="-9"/>
          <w:lang w:eastAsia="zh-CN"/>
        </w:rPr>
        <w:t>参选收到比选文件，如有疑问需要澄清，请以书面形式在规定时间内报比选人汇总。</w:t>
      </w:r>
    </w:p>
    <w:p>
      <w:pPr>
        <w:pStyle w:val="6"/>
        <w:spacing w:before="35" w:line="357" w:lineRule="auto"/>
        <w:ind w:left="118" w:right="226" w:firstLine="480"/>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7"/>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6"/>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6"/>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304357904"/>
      <w:bookmarkStart w:id="1" w:name="_Toc430422420"/>
      <w:bookmarkStart w:id="2" w:name="_Toc430488858"/>
      <w:bookmarkStart w:id="3" w:name="_Toc430489126"/>
      <w:bookmarkStart w:id="4" w:name="_Toc430490619"/>
      <w:bookmarkStart w:id="5" w:name="_Toc430488651"/>
      <w:bookmarkStart w:id="6" w:name="_Toc177186249"/>
      <w:bookmarkStart w:id="7" w:name="_Toc415567504"/>
      <w:bookmarkStart w:id="8" w:name="_Toc430492133"/>
    </w:p>
    <w:p>
      <w:pPr>
        <w:pStyle w:val="6"/>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参选人应在参选文件所附的参选报价表上写明参选系统的分项价格和参选总价。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6"/>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6"/>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6"/>
        <w:spacing w:before="35" w:line="357" w:lineRule="auto"/>
        <w:ind w:left="118"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3"/>
        <w:rPr>
          <w:sz w:val="24"/>
          <w:szCs w:val="24"/>
          <w:lang w:eastAsia="zh-CN"/>
        </w:rPr>
      </w:pPr>
      <w:r>
        <w:rPr>
          <w:rFonts w:hint="eastAsia"/>
          <w:w w:val="95"/>
          <w:sz w:val="24"/>
          <w:szCs w:val="24"/>
          <w:lang w:eastAsia="zh-CN"/>
        </w:rPr>
        <w:t>一、</w:t>
      </w:r>
      <w:r>
        <w:rPr>
          <w:w w:val="95"/>
          <w:sz w:val="24"/>
          <w:szCs w:val="24"/>
          <w:lang w:eastAsia="zh-CN"/>
        </w:rPr>
        <w:t>评选</w:t>
      </w:r>
    </w:p>
    <w:p>
      <w:pPr>
        <w:pStyle w:val="6"/>
        <w:spacing w:before="186" w:line="360" w:lineRule="auto"/>
        <w:ind w:left="1" w:firstLine="480" w:firstLineChars="200"/>
        <w:rPr>
          <w:lang w:eastAsia="zh-CN"/>
        </w:rPr>
      </w:pPr>
      <w:r>
        <w:rPr>
          <w:lang w:eastAsia="zh-CN"/>
        </w:rPr>
        <w:t>1.</w:t>
      </w:r>
      <w:r>
        <w:rPr>
          <w:spacing w:val="-5"/>
          <w:lang w:eastAsia="zh-CN"/>
        </w:rPr>
        <w:t>比选人将在参选文件截止日期后</w:t>
      </w:r>
      <w:r>
        <w:rPr>
          <w:rFonts w:hint="eastAsia"/>
          <w:spacing w:val="-5"/>
          <w:lang w:eastAsia="zh-CN"/>
        </w:rPr>
        <w:t>将</w:t>
      </w:r>
      <w:r>
        <w:rPr>
          <w:spacing w:val="-5"/>
          <w:lang w:eastAsia="zh-CN"/>
        </w:rPr>
        <w:t>组织比选会，参选人选定工作在比选人有关部门监督下，由比选人依法组建的评选</w:t>
      </w:r>
      <w:r>
        <w:rPr>
          <w:rFonts w:hint="eastAsia"/>
          <w:spacing w:val="-5"/>
          <w:lang w:eastAsia="zh-CN"/>
        </w:rPr>
        <w:t>小组</w:t>
      </w:r>
      <w:r>
        <w:rPr>
          <w:spacing w:val="-5"/>
          <w:lang w:eastAsia="zh-CN"/>
        </w:rPr>
        <w:t>负责。</w:t>
      </w:r>
    </w:p>
    <w:p>
      <w:pPr>
        <w:pStyle w:val="6"/>
        <w:spacing w:before="23"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6"/>
        <w:spacing w:line="360" w:lineRule="auto"/>
        <w:ind w:left="1" w:firstLine="480" w:firstLineChars="200"/>
        <w:rPr>
          <w:lang w:eastAsia="zh-CN"/>
        </w:rPr>
      </w:pPr>
      <w:r>
        <w:rPr>
          <w:lang w:eastAsia="zh-CN"/>
        </w:rPr>
        <w:t>3.比选人将做开选记录</w:t>
      </w:r>
    </w:p>
    <w:p>
      <w:pPr>
        <w:spacing w:after="240"/>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40" w:firstLineChars="200"/>
        <w:rPr>
          <w:spacing w:val="-2"/>
          <w:sz w:val="24"/>
          <w:szCs w:val="24"/>
          <w:lang w:eastAsia="zh-CN"/>
        </w:rPr>
      </w:pPr>
      <w:r>
        <w:rPr>
          <w:rFonts w:hint="eastAsia"/>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6"/>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 并将依法确定排名第二名的中选候选人为本项目的中选人。</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6"/>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6"/>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，在控制价格（1900000.00元）范围内，</w:t>
      </w:r>
      <w:r>
        <w:rPr>
          <w:rFonts w:hint="eastAsia"/>
          <w:spacing w:val="-2"/>
          <w:lang w:eastAsia="zh-CN"/>
        </w:rPr>
        <w:t>采用综合评分法，</w:t>
      </w:r>
      <w:r>
        <w:rPr>
          <w:rFonts w:hint="eastAsia"/>
          <w:lang w:eastAsia="zh-CN"/>
        </w:rPr>
        <w:t>综合评分最高者作为第一候选人，次之为第二候选人。</w:t>
      </w:r>
    </w:p>
    <w:p>
      <w:pPr>
        <w:pStyle w:val="6"/>
        <w:spacing w:line="360" w:lineRule="auto"/>
        <w:ind w:right="-28" w:firstLine="498" w:firstLineChars="210"/>
        <w:rPr>
          <w:b/>
          <w:spacing w:val="-2"/>
          <w:lang w:eastAsia="zh-CN"/>
        </w:rPr>
      </w:pPr>
      <w:r>
        <w:rPr>
          <w:rFonts w:hint="eastAsia"/>
          <w:b/>
          <w:spacing w:val="-2"/>
          <w:lang w:eastAsia="zh-CN"/>
        </w:rPr>
        <w:t>评标小组按照先技术，后商务的顺序进行评议并评分，权重比为5:5。</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6"/>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PT：商务标评分           满分50分</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PB：技术标评分           满分50分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①PT和PB部分的最终得分为各个评标委员会评分的算术平均值，并四舍五入取小数点后2位数。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②评标委员会评分取小数点后1位数。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综合得分：P＝PT＋PB</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17"/>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62"/>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5162" w:type="dxa"/>
            <w:vAlign w:val="center"/>
          </w:tcPr>
          <w:p>
            <w:pPr>
              <w:snapToGrid w:val="0"/>
              <w:spacing w:line="400" w:lineRule="atLeast"/>
              <w:jc w:val="center"/>
              <w:rPr>
                <w:sz w:val="21"/>
                <w:szCs w:val="21"/>
              </w:rPr>
            </w:pPr>
            <w:r>
              <w:rPr>
                <w:rFonts w:hint="eastAsia"/>
                <w:sz w:val="21"/>
                <w:szCs w:val="21"/>
              </w:rPr>
              <w:t>评分项目</w:t>
            </w:r>
          </w:p>
        </w:tc>
        <w:tc>
          <w:tcPr>
            <w:tcW w:w="2918" w:type="dxa"/>
            <w:vAlign w:val="center"/>
          </w:tcPr>
          <w:p>
            <w:pPr>
              <w:snapToGrid w:val="0"/>
              <w:spacing w:line="400" w:lineRule="atLeast"/>
              <w:jc w:val="center"/>
              <w:rPr>
                <w:sz w:val="21"/>
                <w:szCs w:val="21"/>
              </w:rPr>
            </w:pPr>
            <w:r>
              <w:rPr>
                <w:rFonts w:hint="eastAsia"/>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5162" w:type="dxa"/>
            <w:vAlign w:val="center"/>
          </w:tcPr>
          <w:p>
            <w:pPr>
              <w:snapToGrid w:val="0"/>
              <w:spacing w:line="400" w:lineRule="atLeast"/>
              <w:jc w:val="center"/>
              <w:rPr>
                <w:sz w:val="21"/>
                <w:szCs w:val="21"/>
              </w:rPr>
            </w:pPr>
            <w:r>
              <w:rPr>
                <w:rFonts w:hint="eastAsia"/>
                <w:spacing w:val="-2"/>
                <w:sz w:val="21"/>
                <w:szCs w:val="21"/>
              </w:rPr>
              <w:t>技术部分</w:t>
            </w:r>
          </w:p>
        </w:tc>
        <w:tc>
          <w:tcPr>
            <w:tcW w:w="2918" w:type="dxa"/>
            <w:vAlign w:val="center"/>
          </w:tcPr>
          <w:p>
            <w:pPr>
              <w:snapToGrid w:val="0"/>
              <w:spacing w:line="400" w:lineRule="atLeast"/>
              <w:jc w:val="center"/>
              <w:rPr>
                <w:sz w:val="21"/>
                <w:szCs w:val="21"/>
              </w:rPr>
            </w:pPr>
            <w:r>
              <w:rPr>
                <w:rFonts w:hint="eastAsia"/>
                <w:sz w:val="21"/>
                <w:szCs w:val="21"/>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5162" w:type="dxa"/>
            <w:vAlign w:val="center"/>
          </w:tcPr>
          <w:p>
            <w:pPr>
              <w:snapToGrid w:val="0"/>
              <w:spacing w:line="400" w:lineRule="atLeast"/>
              <w:jc w:val="center"/>
              <w:rPr>
                <w:sz w:val="21"/>
                <w:szCs w:val="21"/>
              </w:rPr>
            </w:pPr>
            <w:r>
              <w:rPr>
                <w:rFonts w:hint="eastAsia"/>
                <w:spacing w:val="-2"/>
                <w:sz w:val="21"/>
                <w:szCs w:val="21"/>
              </w:rPr>
              <w:t>商务部分</w:t>
            </w:r>
          </w:p>
        </w:tc>
        <w:tc>
          <w:tcPr>
            <w:tcW w:w="2918" w:type="dxa"/>
            <w:vAlign w:val="center"/>
          </w:tcPr>
          <w:p>
            <w:pPr>
              <w:snapToGrid w:val="0"/>
              <w:spacing w:line="400" w:lineRule="atLeast"/>
              <w:jc w:val="center"/>
              <w:rPr>
                <w:sz w:val="21"/>
                <w:szCs w:val="21"/>
              </w:rPr>
            </w:pPr>
            <w:r>
              <w:rPr>
                <w:rFonts w:hint="eastAsia"/>
                <w:sz w:val="21"/>
                <w:szCs w:val="21"/>
                <w:lang w:eastAsia="zh-CN"/>
              </w:rPr>
              <w:t>5</w:t>
            </w:r>
            <w:r>
              <w:rPr>
                <w:rFonts w:hint="eastAsia"/>
                <w:sz w:val="21"/>
                <w:szCs w:val="21"/>
              </w:rPr>
              <w:t>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评分细则</w:t>
      </w:r>
    </w:p>
    <w:tbl>
      <w:tblPr>
        <w:tblStyle w:val="17"/>
        <w:tblW w:w="8889" w:type="dxa"/>
        <w:tblInd w:w="589" w:type="dxa"/>
        <w:tblLayout w:type="fixed"/>
        <w:tblCellMar>
          <w:top w:w="0" w:type="dxa"/>
          <w:left w:w="108" w:type="dxa"/>
          <w:bottom w:w="0" w:type="dxa"/>
          <w:right w:w="108" w:type="dxa"/>
        </w:tblCellMar>
      </w:tblPr>
      <w:tblGrid>
        <w:gridCol w:w="560"/>
        <w:gridCol w:w="944"/>
        <w:gridCol w:w="1216"/>
        <w:gridCol w:w="460"/>
        <w:gridCol w:w="5709"/>
      </w:tblGrid>
      <w:tr>
        <w:tblPrEx>
          <w:tblLayout w:type="fixed"/>
          <w:tblCellMar>
            <w:top w:w="0" w:type="dxa"/>
            <w:left w:w="108" w:type="dxa"/>
            <w:bottom w:w="0" w:type="dxa"/>
            <w:right w:w="108" w:type="dxa"/>
          </w:tblCellMar>
        </w:tblPrEx>
        <w:trPr>
          <w:trHeight w:val="516"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94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570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Layout w:type="fixed"/>
          <w:tblCellMar>
            <w:top w:w="0" w:type="dxa"/>
            <w:left w:w="108" w:type="dxa"/>
            <w:bottom w:w="0" w:type="dxa"/>
            <w:right w:w="108" w:type="dxa"/>
          </w:tblCellMar>
        </w:tblPrEx>
        <w:trPr>
          <w:trHeight w:val="950" w:hRule="atLeast"/>
        </w:trPr>
        <w:tc>
          <w:tcPr>
            <w:tcW w:w="560"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944"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技术标</w:t>
            </w:r>
          </w:p>
        </w:tc>
        <w:tc>
          <w:tcPr>
            <w:tcW w:w="1216" w:type="dxa"/>
            <w:tcBorders>
              <w:top w:val="nil"/>
              <w:left w:val="nil"/>
              <w:bottom w:val="single" w:color="auto" w:sz="4" w:space="0"/>
              <w:right w:val="single" w:color="auto" w:sz="4" w:space="0"/>
            </w:tcBorders>
            <w:shd w:val="clear" w:color="auto" w:fill="auto"/>
            <w:vAlign w:val="center"/>
          </w:tcPr>
          <w:p>
            <w:pPr>
              <w:widowControl/>
              <w:textAlignment w:val="center"/>
              <w:rPr>
                <w:color w:val="000000"/>
                <w:szCs w:val="21"/>
              </w:rPr>
            </w:pPr>
            <w:r>
              <w:rPr>
                <w:color w:val="000000"/>
                <w:szCs w:val="21"/>
              </w:rPr>
              <w:t>资质</w:t>
            </w:r>
          </w:p>
        </w:tc>
        <w:tc>
          <w:tcPr>
            <w:tcW w:w="460"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rPr>
            </w:pPr>
            <w:r>
              <w:rPr>
                <w:rFonts w:hint="eastAsia"/>
                <w:color w:val="000000"/>
                <w:szCs w:val="21"/>
              </w:rPr>
              <w:t>10</w:t>
            </w:r>
          </w:p>
        </w:tc>
        <w:tc>
          <w:tcPr>
            <w:tcW w:w="5709" w:type="dxa"/>
            <w:tcBorders>
              <w:top w:val="nil"/>
              <w:left w:val="nil"/>
              <w:bottom w:val="single" w:color="auto" w:sz="4" w:space="0"/>
              <w:right w:val="single" w:color="auto" w:sz="4" w:space="0"/>
            </w:tcBorders>
            <w:shd w:val="clear" w:color="auto" w:fill="auto"/>
            <w:vAlign w:val="center"/>
          </w:tcPr>
          <w:p>
            <w:pPr>
              <w:widowControl/>
              <w:textAlignment w:val="center"/>
              <w:rPr>
                <w:color w:val="000000"/>
                <w:szCs w:val="21"/>
                <w:lang w:eastAsia="zh-CN"/>
              </w:rPr>
            </w:pPr>
            <w:r>
              <w:rPr>
                <w:szCs w:val="21"/>
                <w:lang w:eastAsia="zh-CN"/>
              </w:rPr>
              <w:t>具备能源局电力监管机构颁发的有效的《中华人民共和国承装（修、试）电力设施许可证》</w:t>
            </w:r>
            <w:r>
              <w:rPr>
                <w:rFonts w:hint="eastAsia"/>
                <w:szCs w:val="21"/>
                <w:lang w:eastAsia="zh-CN"/>
              </w:rPr>
              <w:t>，且承装类、承修类、</w:t>
            </w:r>
            <w:r>
              <w:rPr>
                <w:szCs w:val="21"/>
                <w:lang w:eastAsia="zh-CN"/>
              </w:rPr>
              <w:t>承试类</w:t>
            </w:r>
            <w:r>
              <w:rPr>
                <w:rFonts w:hint="eastAsia"/>
                <w:szCs w:val="21"/>
                <w:lang w:eastAsia="zh-CN"/>
              </w:rPr>
              <w:t>均为一</w:t>
            </w:r>
            <w:r>
              <w:rPr>
                <w:szCs w:val="21"/>
                <w:lang w:eastAsia="zh-CN"/>
              </w:rPr>
              <w:t>级，</w:t>
            </w:r>
            <w:r>
              <w:rPr>
                <w:rFonts w:hint="eastAsia"/>
                <w:szCs w:val="21"/>
                <w:lang w:eastAsia="zh-CN"/>
              </w:rPr>
              <w:t>注册资金1亿（含）以上得分10分，8000万（含）至1亿得8分，5000万（含）至8000万得6分，5000万以下</w:t>
            </w:r>
            <w:r>
              <w:rPr>
                <w:color w:val="000000"/>
                <w:szCs w:val="21"/>
                <w:lang w:eastAsia="zh-CN"/>
              </w:rPr>
              <w:t>得</w:t>
            </w:r>
            <w:r>
              <w:rPr>
                <w:rFonts w:hint="eastAsia"/>
                <w:color w:val="000000"/>
                <w:szCs w:val="21"/>
                <w:lang w:eastAsia="zh-CN"/>
              </w:rPr>
              <w:t>5</w:t>
            </w:r>
            <w:r>
              <w:rPr>
                <w:color w:val="000000"/>
                <w:szCs w:val="21"/>
                <w:lang w:eastAsia="zh-CN"/>
              </w:rPr>
              <w:t>分，</w:t>
            </w:r>
            <w:r>
              <w:rPr>
                <w:rFonts w:hint="eastAsia"/>
                <w:color w:val="000000"/>
                <w:szCs w:val="21"/>
                <w:lang w:eastAsia="zh-CN"/>
              </w:rPr>
              <w:t>满分10</w:t>
            </w:r>
            <w:r>
              <w:rPr>
                <w:color w:val="000000"/>
                <w:szCs w:val="21"/>
                <w:lang w:eastAsia="zh-CN"/>
              </w:rPr>
              <w:t>分。</w:t>
            </w:r>
          </w:p>
        </w:tc>
      </w:tr>
      <w:tr>
        <w:tblPrEx>
          <w:tblLayout w:type="fixed"/>
          <w:tblCellMar>
            <w:top w:w="0" w:type="dxa"/>
            <w:left w:w="108" w:type="dxa"/>
            <w:bottom w:w="0" w:type="dxa"/>
            <w:right w:w="108" w:type="dxa"/>
          </w:tblCellMar>
        </w:tblPrEx>
        <w:trPr>
          <w:trHeight w:val="562" w:hRule="atLeast"/>
        </w:trPr>
        <w:tc>
          <w:tcPr>
            <w:tcW w:w="560"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944"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216" w:type="dxa"/>
            <w:tcBorders>
              <w:top w:val="nil"/>
              <w:left w:val="nil"/>
              <w:bottom w:val="single" w:color="auto" w:sz="4" w:space="0"/>
              <w:right w:val="single" w:color="auto" w:sz="4" w:space="0"/>
            </w:tcBorders>
            <w:shd w:val="clear" w:color="auto" w:fill="auto"/>
            <w:vAlign w:val="center"/>
          </w:tcPr>
          <w:p>
            <w:pPr>
              <w:widowControl/>
              <w:textAlignment w:val="center"/>
              <w:rPr>
                <w:color w:val="000000"/>
                <w:szCs w:val="21"/>
              </w:rPr>
            </w:pPr>
            <w:r>
              <w:rPr>
                <w:color w:val="000000"/>
                <w:szCs w:val="21"/>
              </w:rPr>
              <w:t>体系认证</w:t>
            </w:r>
          </w:p>
        </w:tc>
        <w:tc>
          <w:tcPr>
            <w:tcW w:w="460"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rPr>
            </w:pPr>
            <w:r>
              <w:rPr>
                <w:rFonts w:hint="eastAsia"/>
                <w:color w:val="000000"/>
                <w:szCs w:val="21"/>
              </w:rPr>
              <w:t>3</w:t>
            </w:r>
          </w:p>
        </w:tc>
        <w:tc>
          <w:tcPr>
            <w:tcW w:w="5709" w:type="dxa"/>
            <w:tcBorders>
              <w:top w:val="nil"/>
              <w:left w:val="nil"/>
              <w:bottom w:val="single" w:color="auto" w:sz="4" w:space="0"/>
              <w:right w:val="single" w:color="auto" w:sz="4" w:space="0"/>
            </w:tcBorders>
            <w:shd w:val="clear" w:color="auto" w:fill="auto"/>
            <w:vAlign w:val="center"/>
          </w:tcPr>
          <w:p>
            <w:pPr>
              <w:widowControl/>
              <w:textAlignment w:val="center"/>
              <w:rPr>
                <w:color w:val="000000"/>
                <w:szCs w:val="21"/>
                <w:lang w:eastAsia="zh-CN"/>
              </w:rPr>
            </w:pPr>
            <w:r>
              <w:rPr>
                <w:color w:val="000000"/>
                <w:szCs w:val="21"/>
                <w:lang w:eastAsia="zh-CN"/>
              </w:rPr>
              <w:t>质量体系认证，职业健康安全管理体系认证，环境管理体系认证得</w:t>
            </w:r>
            <w:r>
              <w:rPr>
                <w:rFonts w:hint="eastAsia"/>
                <w:color w:val="000000"/>
                <w:szCs w:val="21"/>
                <w:lang w:eastAsia="zh-CN"/>
              </w:rPr>
              <w:t>3</w:t>
            </w:r>
            <w:r>
              <w:rPr>
                <w:color w:val="000000"/>
                <w:szCs w:val="21"/>
                <w:lang w:eastAsia="zh-CN"/>
              </w:rPr>
              <w:t>分，不全得1分，没有得0分。</w:t>
            </w:r>
          </w:p>
        </w:tc>
      </w:tr>
      <w:tr>
        <w:tblPrEx>
          <w:tblLayout w:type="fixed"/>
          <w:tblCellMar>
            <w:top w:w="0" w:type="dxa"/>
            <w:left w:w="108" w:type="dxa"/>
            <w:bottom w:w="0" w:type="dxa"/>
            <w:right w:w="108" w:type="dxa"/>
          </w:tblCellMar>
        </w:tblPrEx>
        <w:trPr>
          <w:trHeight w:val="462" w:hRule="atLeast"/>
        </w:trPr>
        <w:tc>
          <w:tcPr>
            <w:tcW w:w="560"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944"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216" w:type="dxa"/>
            <w:tcBorders>
              <w:top w:val="nil"/>
              <w:left w:val="nil"/>
              <w:bottom w:val="single" w:color="auto" w:sz="4" w:space="0"/>
              <w:right w:val="single" w:color="auto" w:sz="4" w:space="0"/>
            </w:tcBorders>
            <w:shd w:val="clear" w:color="auto" w:fill="auto"/>
            <w:vAlign w:val="center"/>
          </w:tcPr>
          <w:p>
            <w:pPr>
              <w:widowControl/>
              <w:textAlignment w:val="center"/>
              <w:rPr>
                <w:color w:val="000000"/>
                <w:szCs w:val="21"/>
              </w:rPr>
            </w:pPr>
            <w:r>
              <w:rPr>
                <w:color w:val="000000"/>
                <w:szCs w:val="21"/>
              </w:rPr>
              <w:t>信誉</w:t>
            </w:r>
          </w:p>
        </w:tc>
        <w:tc>
          <w:tcPr>
            <w:tcW w:w="460"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rPr>
            </w:pPr>
            <w:r>
              <w:rPr>
                <w:rFonts w:hint="eastAsia"/>
                <w:color w:val="000000"/>
                <w:szCs w:val="21"/>
              </w:rPr>
              <w:t>2</w:t>
            </w:r>
          </w:p>
        </w:tc>
        <w:tc>
          <w:tcPr>
            <w:tcW w:w="5709" w:type="dxa"/>
            <w:tcBorders>
              <w:top w:val="nil"/>
              <w:left w:val="nil"/>
              <w:bottom w:val="single" w:color="auto" w:sz="4" w:space="0"/>
              <w:right w:val="single" w:color="auto" w:sz="4" w:space="0"/>
            </w:tcBorders>
            <w:shd w:val="clear" w:color="auto" w:fill="auto"/>
            <w:vAlign w:val="center"/>
          </w:tcPr>
          <w:p>
            <w:pPr>
              <w:widowControl/>
              <w:textAlignment w:val="center"/>
              <w:rPr>
                <w:color w:val="000000"/>
                <w:szCs w:val="21"/>
                <w:lang w:eastAsia="zh-CN"/>
              </w:rPr>
            </w:pPr>
            <w:r>
              <w:rPr>
                <w:color w:val="000000"/>
                <w:szCs w:val="21"/>
                <w:lang w:eastAsia="zh-CN"/>
              </w:rPr>
              <w:t>在国家企业信用信息公示系统查询未有行政处罚信息的得</w:t>
            </w:r>
            <w:r>
              <w:rPr>
                <w:rFonts w:hint="eastAsia"/>
                <w:color w:val="000000"/>
                <w:szCs w:val="21"/>
                <w:lang w:eastAsia="zh-CN"/>
              </w:rPr>
              <w:t>2</w:t>
            </w:r>
            <w:r>
              <w:rPr>
                <w:color w:val="000000"/>
                <w:szCs w:val="21"/>
                <w:lang w:eastAsia="zh-CN"/>
              </w:rPr>
              <w:t>分，有行政处罚信息得0分。</w:t>
            </w:r>
          </w:p>
        </w:tc>
      </w:tr>
      <w:tr>
        <w:tblPrEx>
          <w:tblLayout w:type="fixed"/>
          <w:tblCellMar>
            <w:top w:w="0" w:type="dxa"/>
            <w:left w:w="108" w:type="dxa"/>
            <w:bottom w:w="0" w:type="dxa"/>
            <w:right w:w="108" w:type="dxa"/>
          </w:tblCellMar>
        </w:tblPrEx>
        <w:trPr>
          <w:trHeight w:val="544" w:hRule="atLeast"/>
        </w:trPr>
        <w:tc>
          <w:tcPr>
            <w:tcW w:w="560"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44"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b/>
                <w:bCs/>
                <w:color w:val="000000"/>
                <w:szCs w:val="21"/>
              </w:rPr>
            </w:pPr>
            <w:r>
              <w:rPr>
                <w:rFonts w:hint="eastAsia"/>
                <w:color w:val="000000"/>
                <w:szCs w:val="21"/>
              </w:rPr>
              <w:t>类似工程经验与</w:t>
            </w:r>
            <w:r>
              <w:rPr>
                <w:color w:val="000000"/>
                <w:szCs w:val="21"/>
              </w:rPr>
              <w:t>业绩</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b/>
                <w:bCs/>
                <w:color w:val="000000"/>
                <w:szCs w:val="21"/>
              </w:rPr>
            </w:pPr>
            <w:r>
              <w:rPr>
                <w:rFonts w:hint="eastAsia"/>
                <w:color w:val="000000"/>
                <w:szCs w:val="21"/>
              </w:rPr>
              <w:t>10</w:t>
            </w:r>
          </w:p>
        </w:tc>
        <w:tc>
          <w:tcPr>
            <w:tcW w:w="570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b/>
                <w:bCs/>
                <w:color w:val="000000"/>
                <w:szCs w:val="21"/>
                <w:lang w:eastAsia="zh-CN"/>
              </w:rPr>
            </w:pPr>
            <w:r>
              <w:rPr>
                <w:rFonts w:hint="eastAsia"/>
                <w:color w:val="000000"/>
                <w:szCs w:val="21"/>
                <w:lang w:eastAsia="zh-CN"/>
              </w:rPr>
              <w:t>近3年完成类似的电力工程业绩</w:t>
            </w:r>
            <w:r>
              <w:rPr>
                <w:color w:val="000000"/>
                <w:szCs w:val="21"/>
                <w:lang w:eastAsia="zh-CN"/>
              </w:rPr>
              <w:t>。提供一个合同得</w:t>
            </w:r>
            <w:r>
              <w:rPr>
                <w:rFonts w:hint="eastAsia"/>
                <w:color w:val="000000"/>
                <w:szCs w:val="21"/>
                <w:lang w:eastAsia="zh-CN"/>
              </w:rPr>
              <w:t>2</w:t>
            </w:r>
            <w:r>
              <w:rPr>
                <w:color w:val="000000"/>
                <w:szCs w:val="21"/>
                <w:lang w:eastAsia="zh-CN"/>
              </w:rPr>
              <w:t>分，最高得</w:t>
            </w:r>
            <w:r>
              <w:rPr>
                <w:rFonts w:hint="eastAsia"/>
                <w:color w:val="000000"/>
                <w:szCs w:val="21"/>
                <w:lang w:eastAsia="zh-CN"/>
              </w:rPr>
              <w:t>10</w:t>
            </w:r>
            <w:r>
              <w:rPr>
                <w:color w:val="000000"/>
                <w:szCs w:val="21"/>
                <w:lang w:eastAsia="zh-CN"/>
              </w:rPr>
              <w:t>分。</w:t>
            </w:r>
          </w:p>
        </w:tc>
      </w:tr>
      <w:tr>
        <w:tblPrEx>
          <w:tblLayout w:type="fixed"/>
          <w:tblCellMar>
            <w:top w:w="0" w:type="dxa"/>
            <w:left w:w="108" w:type="dxa"/>
            <w:bottom w:w="0" w:type="dxa"/>
            <w:right w:w="108" w:type="dxa"/>
          </w:tblCellMar>
        </w:tblPrEx>
        <w:trPr>
          <w:trHeight w:val="544" w:hRule="atLeast"/>
        </w:trPr>
        <w:tc>
          <w:tcPr>
            <w:tcW w:w="560"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44"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Cs w:val="21"/>
              </w:rPr>
            </w:pPr>
            <w:r>
              <w:rPr>
                <w:color w:val="000000"/>
                <w:szCs w:val="21"/>
              </w:rPr>
              <w:t>技术方案</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Cs w:val="21"/>
              </w:rPr>
            </w:pPr>
            <w:r>
              <w:rPr>
                <w:rFonts w:hint="eastAsia"/>
                <w:color w:val="000000"/>
                <w:szCs w:val="21"/>
              </w:rPr>
              <w:t>25</w:t>
            </w:r>
          </w:p>
        </w:tc>
        <w:tc>
          <w:tcPr>
            <w:tcW w:w="570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Style w:val="24"/>
                <w:rFonts w:hint="default"/>
                <w:sz w:val="21"/>
                <w:szCs w:val="21"/>
                <w:lang w:eastAsia="zh-CN"/>
              </w:rPr>
            </w:pPr>
            <w:r>
              <w:rPr>
                <w:color w:val="000000"/>
                <w:szCs w:val="21"/>
                <w:lang w:eastAsia="zh-CN"/>
              </w:rPr>
              <w:t>根据响应人的技术方案横向比较综合评审，最优得满分，最低得</w:t>
            </w:r>
            <w:r>
              <w:rPr>
                <w:color w:val="000000"/>
                <w:szCs w:val="21"/>
                <w:u w:val="single"/>
                <w:lang w:eastAsia="zh-CN"/>
              </w:rPr>
              <w:t xml:space="preserve"> </w:t>
            </w:r>
            <w:r>
              <w:rPr>
                <w:rFonts w:hint="eastAsia"/>
                <w:color w:val="000000"/>
                <w:szCs w:val="21"/>
                <w:u w:val="single"/>
                <w:lang w:eastAsia="zh-CN"/>
              </w:rPr>
              <w:t>5</w:t>
            </w:r>
            <w:r>
              <w:rPr>
                <w:color w:val="000000"/>
                <w:szCs w:val="21"/>
                <w:u w:val="single"/>
                <w:lang w:eastAsia="zh-CN"/>
              </w:rPr>
              <w:t xml:space="preserve"> </w:t>
            </w:r>
            <w:r>
              <w:rPr>
                <w:color w:val="000000"/>
                <w:szCs w:val="21"/>
                <w:lang w:eastAsia="zh-CN"/>
              </w:rPr>
              <w:t>分。</w:t>
            </w:r>
          </w:p>
        </w:tc>
      </w:tr>
      <w:tr>
        <w:tblPrEx>
          <w:tblLayout w:type="fixed"/>
          <w:tblCellMar>
            <w:top w:w="0" w:type="dxa"/>
            <w:left w:w="108" w:type="dxa"/>
            <w:bottom w:w="0" w:type="dxa"/>
            <w:right w:w="108" w:type="dxa"/>
          </w:tblCellMar>
        </w:tblPrEx>
        <w:trPr>
          <w:trHeight w:val="978" w:hRule="atLeast"/>
        </w:trPr>
        <w:tc>
          <w:tcPr>
            <w:tcW w:w="5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944"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商务标</w:t>
            </w:r>
          </w:p>
        </w:tc>
        <w:tc>
          <w:tcPr>
            <w:tcW w:w="1216" w:type="dxa"/>
            <w:tcBorders>
              <w:top w:val="nil"/>
              <w:left w:val="nil"/>
              <w:bottom w:val="single" w:color="auto" w:sz="4" w:space="0"/>
              <w:right w:val="single" w:color="auto" w:sz="4" w:space="0"/>
            </w:tcBorders>
            <w:shd w:val="clear" w:color="auto" w:fill="auto"/>
            <w:vAlign w:val="center"/>
          </w:tcPr>
          <w:p>
            <w:pPr>
              <w:widowControl/>
              <w:textAlignment w:val="center"/>
              <w:rPr>
                <w:color w:val="000000"/>
                <w:szCs w:val="21"/>
              </w:rPr>
            </w:pPr>
            <w:r>
              <w:rPr>
                <w:color w:val="000000"/>
                <w:szCs w:val="21"/>
              </w:rPr>
              <w:t>报价</w:t>
            </w:r>
          </w:p>
        </w:tc>
        <w:tc>
          <w:tcPr>
            <w:tcW w:w="460"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rPr>
            </w:pPr>
            <w:r>
              <w:rPr>
                <w:rFonts w:hint="eastAsia"/>
                <w:color w:val="000000"/>
                <w:szCs w:val="21"/>
              </w:rPr>
              <w:t>50</w:t>
            </w:r>
          </w:p>
        </w:tc>
        <w:tc>
          <w:tcPr>
            <w:tcW w:w="5709" w:type="dxa"/>
            <w:tcBorders>
              <w:top w:val="nil"/>
              <w:left w:val="nil"/>
              <w:bottom w:val="single" w:color="auto" w:sz="4" w:space="0"/>
              <w:right w:val="single" w:color="auto" w:sz="4" w:space="0"/>
            </w:tcBorders>
            <w:shd w:val="clear" w:color="auto" w:fill="auto"/>
            <w:vAlign w:val="center"/>
          </w:tcPr>
          <w:p>
            <w:pPr>
              <w:widowControl/>
              <w:textAlignment w:val="center"/>
              <w:rPr>
                <w:rStyle w:val="24"/>
                <w:rFonts w:hint="default"/>
                <w:sz w:val="21"/>
                <w:szCs w:val="21"/>
                <w:lang w:eastAsia="zh-CN"/>
              </w:rPr>
            </w:pPr>
            <w:r>
              <w:rPr>
                <w:rStyle w:val="24"/>
                <w:rFonts w:hint="default"/>
                <w:sz w:val="21"/>
                <w:szCs w:val="21"/>
                <w:lang w:eastAsia="zh-CN"/>
              </w:rPr>
              <w:t>投标价格得分=( F低/ Fn)×50</w:t>
            </w:r>
          </w:p>
          <w:p>
            <w:pPr>
              <w:widowControl/>
              <w:textAlignment w:val="center"/>
              <w:rPr>
                <w:rStyle w:val="24"/>
                <w:rFonts w:hint="default"/>
                <w:sz w:val="21"/>
                <w:szCs w:val="21"/>
                <w:lang w:eastAsia="zh-CN"/>
              </w:rPr>
            </w:pPr>
            <w:r>
              <w:rPr>
                <w:rStyle w:val="24"/>
                <w:rFonts w:hint="default"/>
                <w:sz w:val="21"/>
                <w:szCs w:val="21"/>
                <w:lang w:eastAsia="zh-CN"/>
              </w:rPr>
              <w:t>式中：①F低为评标基准价=进入报价部分评分的各合格投标人中最低的报价评标价。</w:t>
            </w:r>
          </w:p>
          <w:p>
            <w:pPr>
              <w:widowControl/>
              <w:textAlignment w:val="center"/>
              <w:rPr>
                <w:color w:val="000000"/>
                <w:szCs w:val="21"/>
                <w:lang w:eastAsia="zh-CN"/>
              </w:rPr>
            </w:pPr>
            <w:r>
              <w:rPr>
                <w:rStyle w:val="24"/>
                <w:rFonts w:hint="default"/>
                <w:sz w:val="21"/>
                <w:szCs w:val="21"/>
                <w:lang w:eastAsia="zh-CN"/>
              </w:rPr>
              <w:t>②Fn为进入报价部分评分的各合格投标人的报价评标价。</w:t>
            </w:r>
          </w:p>
        </w:tc>
      </w:tr>
    </w:tbl>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6"/>
        <w:spacing w:line="360" w:lineRule="auto"/>
        <w:ind w:left="698"/>
        <w:rPr>
          <w:lang w:eastAsia="zh-CN"/>
        </w:rPr>
      </w:pPr>
      <w:r>
        <w:rPr>
          <w:lang w:eastAsia="zh-CN"/>
        </w:rPr>
        <w:t>1.对比选文件提出的实质性要求和条件，参选文件未能在实质上响应的。</w:t>
      </w:r>
    </w:p>
    <w:p>
      <w:pPr>
        <w:pStyle w:val="6"/>
        <w:spacing w:line="360" w:lineRule="auto"/>
        <w:ind w:left="698"/>
        <w:rPr>
          <w:lang w:eastAsia="zh-CN"/>
        </w:rPr>
      </w:pPr>
      <w:r>
        <w:rPr>
          <w:lang w:eastAsia="zh-CN"/>
        </w:rPr>
        <w:t>2.参选文件存在重大偏差的。</w:t>
      </w:r>
    </w:p>
    <w:p>
      <w:pPr>
        <w:pStyle w:val="6"/>
        <w:spacing w:line="360" w:lineRule="auto"/>
        <w:ind w:left="698"/>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367" w:leftChars="167" w:firstLine="360" w:firstLineChars="15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60" w:lineRule="auto"/>
        <w:ind w:left="367" w:firstLine="3373" w:firstLineChars="1200"/>
        <w:jc w:val="both"/>
        <w:rPr>
          <w:lang w:eastAsia="zh-CN"/>
        </w:rPr>
      </w:pPr>
    </w:p>
    <w:p>
      <w:pPr>
        <w:pStyle w:val="6"/>
        <w:spacing w:before="23"/>
        <w:ind w:left="598"/>
        <w:rPr>
          <w:lang w:eastAsia="zh-CN"/>
        </w:rPr>
        <w:sectPr>
          <w:pgSz w:w="11910" w:h="16840"/>
          <w:pgMar w:top="1500" w:right="1140" w:bottom="740" w:left="1300" w:header="0" w:footer="551" w:gutter="0"/>
          <w:cols w:space="720" w:num="1"/>
        </w:sect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6"/>
        <w:rPr>
          <w:b/>
          <w:sz w:val="28"/>
          <w:lang w:eastAsia="zh-CN"/>
        </w:rPr>
      </w:pPr>
    </w:p>
    <w:p>
      <w:pPr>
        <w:pStyle w:val="6"/>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6"/>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6"/>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6"/>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6"/>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6"/>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6"/>
        <w:rPr>
          <w:b/>
          <w:sz w:val="28"/>
          <w:lang w:eastAsia="zh-CN"/>
        </w:rPr>
      </w:pPr>
    </w:p>
    <w:p>
      <w:pPr>
        <w:pStyle w:val="6"/>
        <w:spacing w:before="12"/>
        <w:rPr>
          <w:b/>
          <w:sz w:val="33"/>
          <w:lang w:eastAsia="zh-CN"/>
        </w:rPr>
      </w:pPr>
    </w:p>
    <w:p>
      <w:pPr>
        <w:pStyle w:val="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6"/>
        <w:spacing w:before="26" w:line="360" w:lineRule="auto"/>
        <w:ind w:left="119" w:right="108" w:firstLine="482"/>
        <w:jc w:val="both"/>
        <w:rPr>
          <w:lang w:eastAsia="zh-CN"/>
        </w:rPr>
      </w:pPr>
      <w:r>
        <w:rPr>
          <w:lang w:eastAsia="zh-CN"/>
        </w:rPr>
        <w:t>2.</w:t>
      </w:r>
      <w:r>
        <w:rPr>
          <w:spacing w:val="-2"/>
          <w:lang w:eastAsia="zh-CN"/>
        </w:rPr>
        <w:t>中选单位必须严格执行</w:t>
      </w:r>
      <w:r>
        <w:rPr>
          <w:rFonts w:hint="eastAsia"/>
          <w:spacing w:val="-2"/>
          <w:sz w:val="22"/>
          <w:lang w:eastAsia="zh-CN"/>
        </w:rPr>
        <w:t>《</w:t>
      </w:r>
      <w:r>
        <w:rPr>
          <w:rFonts w:hint="eastAsia"/>
          <w:spacing w:val="-2"/>
          <w:lang w:eastAsia="zh-CN"/>
        </w:rPr>
        <w:t>技术服务</w:t>
      </w:r>
      <w:r>
        <w:rPr>
          <w:rFonts w:hint="eastAsia"/>
          <w:spacing w:val="-2"/>
          <w:sz w:val="2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6"/>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6"/>
        <w:spacing w:before="26" w:line="360" w:lineRule="auto"/>
        <w:ind w:left="119" w:right="108" w:firstLine="482"/>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6"/>
        <w:rPr>
          <w:b/>
          <w:sz w:val="28"/>
          <w:lang w:eastAsia="zh-CN"/>
        </w:rPr>
      </w:pPr>
    </w:p>
    <w:p>
      <w:pPr>
        <w:pStyle w:val="6"/>
        <w:spacing w:before="12"/>
        <w:rPr>
          <w:b/>
          <w:sz w:val="33"/>
          <w:lang w:eastAsia="zh-CN"/>
        </w:rPr>
      </w:pPr>
    </w:p>
    <w:p>
      <w:pPr>
        <w:pStyle w:val="6"/>
        <w:spacing w:line="360" w:lineRule="auto"/>
        <w:ind w:left="215"/>
        <w:rPr>
          <w:lang w:eastAsia="zh-CN"/>
        </w:rPr>
      </w:pPr>
      <w:r>
        <w:rPr>
          <w:lang w:eastAsia="zh-CN"/>
        </w:rPr>
        <w:t>1.参选人的参选文件无论其是否中选，均不退回。</w:t>
      </w:r>
    </w:p>
    <w:p>
      <w:pPr>
        <w:pStyle w:val="6"/>
        <w:spacing w:before="108" w:line="360" w:lineRule="auto"/>
        <w:ind w:left="215"/>
        <w:rPr>
          <w:lang w:eastAsia="zh-CN"/>
        </w:rPr>
      </w:pPr>
      <w:r>
        <w:rPr>
          <w:lang w:eastAsia="zh-CN"/>
        </w:rPr>
        <w:t>2.比选人郑重承诺：参选人所提交的参选文件及相关资料不向第三方泄露。</w:t>
      </w:r>
    </w:p>
    <w:p>
      <w:pPr>
        <w:pStyle w:val="6"/>
        <w:spacing w:before="106" w:line="360" w:lineRule="auto"/>
        <w:ind w:left="215"/>
        <w:rPr>
          <w:lang w:eastAsia="zh-CN"/>
        </w:rPr>
      </w:pPr>
      <w:r>
        <w:rPr>
          <w:lang w:eastAsia="zh-CN"/>
        </w:rPr>
        <w:t>3.本比选文件的解释权归</w:t>
      </w:r>
      <w:r>
        <w:rPr>
          <w:rFonts w:hint="eastAsia"/>
          <w:lang w:eastAsia="zh-CN"/>
        </w:rPr>
        <w:t>福建福海创石油化工</w:t>
      </w:r>
      <w:r>
        <w:rPr>
          <w:lang w:eastAsia="zh-CN"/>
        </w:rPr>
        <w:t>有限公司。</w:t>
      </w:r>
    </w:p>
    <w:p>
      <w:pPr>
        <w:pStyle w:val="6"/>
        <w:spacing w:before="106" w:line="360" w:lineRule="auto"/>
        <w:ind w:left="215"/>
        <w:rPr>
          <w:lang w:eastAsia="zh-CN"/>
        </w:rPr>
      </w:pPr>
      <w:r>
        <w:rPr>
          <w:lang w:eastAsia="zh-CN"/>
        </w:rPr>
        <w:br w:type="page"/>
      </w:r>
    </w:p>
    <w:p>
      <w:pPr>
        <w:pStyle w:val="6"/>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Arial" w:hAnsi="Arial" w:cs="Arial"/>
          <w:b/>
          <w:sz w:val="32"/>
          <w:szCs w:val="32"/>
          <w:lang w:eastAsia="zh-CN"/>
        </w:rPr>
      </w:pPr>
      <w:r>
        <w:rPr>
          <w:rFonts w:hint="eastAsia" w:ascii="Arial" w:hAnsi="Arial" w:cs="Arial"/>
          <w:b/>
          <w:sz w:val="32"/>
          <w:szCs w:val="32"/>
          <w:lang w:eastAsia="zh-CN"/>
        </w:rPr>
        <w:t>220KV GIS、35KV气体绝缘封闭式开关柜维修</w:t>
      </w:r>
    </w:p>
    <w:p>
      <w:pPr>
        <w:jc w:val="center"/>
        <w:rPr>
          <w:rFonts w:ascii="Arial" w:hAnsi="Arial" w:cs="Arial"/>
          <w:b/>
          <w:sz w:val="32"/>
          <w:szCs w:val="32"/>
          <w:lang w:eastAsia="zh-CN"/>
        </w:rPr>
      </w:pPr>
      <w:r>
        <w:rPr>
          <w:rFonts w:hint="eastAsia" w:ascii="Arial" w:hAnsi="Arial" w:cs="Arial"/>
          <w:b/>
          <w:sz w:val="32"/>
          <w:szCs w:val="32"/>
          <w:lang w:eastAsia="zh-CN"/>
        </w:rPr>
        <w:t>及预防性试验</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p>
    <w:p>
      <w:pPr>
        <w:spacing w:line="360" w:lineRule="auto"/>
        <w:jc w:val="center"/>
        <w:rPr>
          <w:b/>
          <w:sz w:val="36"/>
          <w:szCs w:val="36"/>
          <w:lang w:eastAsia="zh-CN"/>
        </w:rPr>
      </w:pPr>
      <w:r>
        <w:rPr>
          <w:rFonts w:hint="eastAsia" w:cs="Arial"/>
          <w:sz w:val="24"/>
          <w:lang w:eastAsia="zh-CN"/>
        </w:rPr>
        <w:t xml:space="preserve">                            签订日期：  年   月    日</w:t>
      </w:r>
    </w:p>
    <w:p>
      <w:pPr>
        <w:spacing w:line="360" w:lineRule="auto"/>
        <w:rPr>
          <w:b/>
          <w:sz w:val="28"/>
          <w:szCs w:val="28"/>
          <w:lang w:eastAsia="zh-CN"/>
        </w:rPr>
      </w:pPr>
      <w:r>
        <w:rPr>
          <w:rFonts w:hint="eastAsia"/>
          <w:b/>
          <w:sz w:val="28"/>
          <w:szCs w:val="28"/>
          <w:lang w:eastAsia="zh-CN"/>
        </w:rPr>
        <w:t>甲方：</w:t>
      </w:r>
      <w:r>
        <w:rPr>
          <w:rFonts w:hint="eastAsia"/>
          <w:color w:val="3C3C3C"/>
          <w:sz w:val="28"/>
          <w:szCs w:val="28"/>
          <w:lang w:eastAsia="zh-CN"/>
        </w:rPr>
        <w:t>腾龙芳烃（漳州）有限公司</w:t>
      </w:r>
    </w:p>
    <w:p>
      <w:pPr>
        <w:spacing w:line="360" w:lineRule="auto"/>
        <w:rPr>
          <w:b/>
          <w:sz w:val="28"/>
          <w:szCs w:val="28"/>
          <w:lang w:eastAsia="zh-CN"/>
        </w:rPr>
      </w:pPr>
      <w:r>
        <w:rPr>
          <w:rFonts w:hint="eastAsia"/>
          <w:b/>
          <w:sz w:val="28"/>
          <w:szCs w:val="28"/>
          <w:lang w:eastAsia="zh-CN"/>
        </w:rPr>
        <w:t>乙方：</w:t>
      </w:r>
      <w:r>
        <w:rPr>
          <w:b/>
          <w:sz w:val="28"/>
          <w:szCs w:val="28"/>
          <w:lang w:eastAsia="zh-CN"/>
        </w:rPr>
        <w:t xml:space="preserve"> </w:t>
      </w:r>
    </w:p>
    <w:p>
      <w:pPr>
        <w:spacing w:line="360" w:lineRule="auto"/>
        <w:ind w:firstLine="480" w:firstLineChars="200"/>
        <w:rPr>
          <w:sz w:val="24"/>
          <w:u w:val="single"/>
          <w:lang w:eastAsia="zh-CN"/>
        </w:rPr>
      </w:pPr>
      <w:r>
        <w:rPr>
          <w:rFonts w:hint="eastAsia"/>
          <w:sz w:val="24"/>
          <w:lang w:eastAsia="zh-CN"/>
        </w:rPr>
        <w:t>就乙方承接甲方开关柜改造项目事宜，甲乙双方根据《中华人民共和国合同法》及其他相关法律法规，本着平等互利原则，经友好协商，达成如下协议，共同遵照执行。</w:t>
      </w:r>
    </w:p>
    <w:p>
      <w:pPr>
        <w:spacing w:line="360" w:lineRule="auto"/>
        <w:rPr>
          <w:b/>
          <w:sz w:val="28"/>
          <w:szCs w:val="28"/>
          <w:lang w:eastAsia="zh-CN"/>
        </w:rPr>
      </w:pPr>
      <w:r>
        <w:rPr>
          <w:rFonts w:hint="eastAsia"/>
          <w:b/>
          <w:sz w:val="28"/>
          <w:szCs w:val="28"/>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1.1工程名称：</w:t>
      </w:r>
      <w:r>
        <w:rPr>
          <w:rFonts w:hint="eastAsia" w:asciiTheme="majorEastAsia" w:hAnsiTheme="majorEastAsia" w:eastAsiaTheme="majorEastAsia"/>
          <w:bCs/>
          <w:sz w:val="24"/>
          <w:szCs w:val="24"/>
          <w:u w:val="single"/>
          <w:lang w:eastAsia="zh-CN"/>
        </w:rPr>
        <w:t>220KV GIS、35KV气体绝缘封闭式开关柜维修及预防性试验</w:t>
      </w:r>
      <w:r>
        <w:rPr>
          <w:rFonts w:hint="eastAsia"/>
          <w:sz w:val="24"/>
          <w:u w:val="single"/>
          <w:lang w:eastAsia="zh-CN"/>
        </w:rPr>
        <w:t>项目</w:t>
      </w:r>
    </w:p>
    <w:p>
      <w:pPr>
        <w:spacing w:line="360" w:lineRule="auto"/>
        <w:ind w:firstLine="240" w:firstLineChars="100"/>
        <w:rPr>
          <w:sz w:val="24"/>
          <w:u w:val="single"/>
          <w:lang w:eastAsia="zh-CN"/>
        </w:rPr>
      </w:pPr>
      <w:r>
        <w:rPr>
          <w:rFonts w:hint="eastAsia"/>
          <w:sz w:val="24"/>
          <w:lang w:eastAsia="zh-CN"/>
        </w:rPr>
        <w:t>1.2工程地址：</w:t>
      </w:r>
      <w:r>
        <w:rPr>
          <w:rFonts w:hint="eastAsia"/>
          <w:sz w:val="24"/>
          <w:u w:val="single"/>
          <w:lang w:eastAsia="zh-CN"/>
        </w:rPr>
        <w:t>腾龙芳烃（漳州）有限公司热电厂</w:t>
      </w:r>
    </w:p>
    <w:p>
      <w:pPr>
        <w:tabs>
          <w:tab w:val="left" w:pos="7241"/>
        </w:tabs>
        <w:spacing w:line="360" w:lineRule="auto"/>
        <w:ind w:firstLine="240" w:firstLineChars="100"/>
        <w:rPr>
          <w:sz w:val="24"/>
          <w:u w:val="single"/>
          <w:lang w:eastAsia="zh-CN"/>
        </w:rPr>
      </w:pPr>
      <w:r>
        <w:rPr>
          <w:rFonts w:hint="eastAsia"/>
          <w:sz w:val="24"/>
          <w:lang w:eastAsia="zh-CN"/>
        </w:rPr>
        <w:t>1.3 工程总工期：合同生效后25天内完成，具体开工时间以甲方通知书为准。</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240" w:firstLineChars="100"/>
        <w:rPr>
          <w:sz w:val="24"/>
          <w:lang w:eastAsia="zh-CN"/>
        </w:rPr>
      </w:pPr>
      <w:r>
        <w:rPr>
          <w:rFonts w:hint="eastAsia"/>
          <w:sz w:val="24"/>
          <w:lang w:eastAsia="zh-CN"/>
        </w:rPr>
        <w:t>国家规定的现行的施工质量和验收标准，具体如下：</w:t>
      </w:r>
    </w:p>
    <w:p>
      <w:pPr>
        <w:spacing w:line="360" w:lineRule="auto"/>
        <w:ind w:firstLine="480" w:firstLineChars="200"/>
        <w:rPr>
          <w:sz w:val="24"/>
          <w:szCs w:val="24"/>
          <w:lang w:eastAsia="zh-CN"/>
        </w:rPr>
      </w:pPr>
      <w:r>
        <w:rPr>
          <w:sz w:val="24"/>
          <w:szCs w:val="24"/>
          <w:lang w:eastAsia="zh-CN"/>
        </w:rPr>
        <w:t>GB 26861  电力安全工作规程  高压试验室部分</w:t>
      </w:r>
    </w:p>
    <w:p>
      <w:pPr>
        <w:spacing w:line="360" w:lineRule="auto"/>
        <w:ind w:firstLine="480" w:firstLineChars="200"/>
        <w:rPr>
          <w:sz w:val="24"/>
          <w:szCs w:val="24"/>
          <w:lang w:eastAsia="zh-CN"/>
        </w:rPr>
      </w:pPr>
      <w:r>
        <w:rPr>
          <w:sz w:val="24"/>
          <w:szCs w:val="24"/>
          <w:lang w:eastAsia="zh-CN"/>
        </w:rPr>
        <w:t>GB 7674   额定电压72.5kV及以上气体绝缘金属封闭开关设备</w:t>
      </w:r>
    </w:p>
    <w:p>
      <w:pPr>
        <w:spacing w:line="360" w:lineRule="auto"/>
        <w:ind w:firstLine="480" w:firstLineChars="200"/>
        <w:rPr>
          <w:sz w:val="24"/>
          <w:szCs w:val="24"/>
          <w:lang w:eastAsia="zh-CN"/>
        </w:rPr>
      </w:pPr>
      <w:r>
        <w:rPr>
          <w:sz w:val="24"/>
          <w:szCs w:val="24"/>
          <w:lang w:eastAsia="zh-CN"/>
        </w:rPr>
        <w:t>GB/T 11022  高压开关设备和控制设备标准的共用技术要求</w:t>
      </w:r>
    </w:p>
    <w:p>
      <w:pPr>
        <w:spacing w:line="360" w:lineRule="auto"/>
        <w:ind w:firstLine="480" w:firstLineChars="200"/>
        <w:rPr>
          <w:sz w:val="24"/>
          <w:szCs w:val="24"/>
          <w:lang w:eastAsia="zh-CN"/>
        </w:rPr>
      </w:pPr>
      <w:r>
        <w:rPr>
          <w:sz w:val="24"/>
          <w:szCs w:val="24"/>
          <w:lang w:eastAsia="zh-CN"/>
        </w:rPr>
        <w:t>DL/T 593  高压开关设备和控制设备标准的共用技术要求</w:t>
      </w:r>
    </w:p>
    <w:p>
      <w:pPr>
        <w:spacing w:line="360" w:lineRule="auto"/>
        <w:ind w:firstLine="480" w:firstLineChars="200"/>
        <w:rPr>
          <w:sz w:val="24"/>
          <w:szCs w:val="24"/>
          <w:lang w:eastAsia="zh-CN"/>
        </w:rPr>
      </w:pPr>
      <w:r>
        <w:rPr>
          <w:sz w:val="24"/>
          <w:szCs w:val="24"/>
          <w:lang w:eastAsia="zh-CN"/>
        </w:rPr>
        <w:t>DL/T 595  六氟化硫电气设备气体监督细则</w:t>
      </w:r>
    </w:p>
    <w:p>
      <w:pPr>
        <w:spacing w:line="360" w:lineRule="auto"/>
        <w:ind w:firstLine="480" w:firstLineChars="200"/>
        <w:rPr>
          <w:sz w:val="24"/>
          <w:szCs w:val="24"/>
          <w:lang w:eastAsia="zh-CN"/>
        </w:rPr>
      </w:pPr>
      <w:r>
        <w:rPr>
          <w:sz w:val="24"/>
          <w:szCs w:val="24"/>
          <w:lang w:eastAsia="zh-CN"/>
        </w:rPr>
        <w:t>DL/T 596  电力设备预防性试验规程</w:t>
      </w:r>
    </w:p>
    <w:p>
      <w:pPr>
        <w:spacing w:line="360" w:lineRule="auto"/>
        <w:ind w:firstLine="480" w:firstLineChars="200"/>
        <w:rPr>
          <w:sz w:val="24"/>
          <w:szCs w:val="24"/>
          <w:lang w:eastAsia="zh-CN"/>
        </w:rPr>
      </w:pPr>
      <w:r>
        <w:rPr>
          <w:sz w:val="24"/>
          <w:szCs w:val="24"/>
          <w:lang w:eastAsia="zh-CN"/>
        </w:rPr>
        <w:t>DL/T 639  六氟化硫电气设备运行、试验及检修人员安全防护细则</w:t>
      </w:r>
    </w:p>
    <w:p>
      <w:pPr>
        <w:spacing w:line="360" w:lineRule="auto"/>
        <w:ind w:firstLine="480" w:firstLineChars="200"/>
        <w:rPr>
          <w:sz w:val="24"/>
          <w:szCs w:val="24"/>
          <w:lang w:eastAsia="zh-CN"/>
        </w:rPr>
      </w:pPr>
      <w:r>
        <w:rPr>
          <w:sz w:val="24"/>
          <w:szCs w:val="24"/>
          <w:lang w:eastAsia="zh-CN"/>
        </w:rPr>
        <w:t>GB 50150-2006    电气装置安装工程：电气设备交接试验标准</w:t>
      </w:r>
    </w:p>
    <w:p>
      <w:pPr>
        <w:spacing w:line="360" w:lineRule="auto"/>
        <w:ind w:firstLine="480" w:firstLineChars="200"/>
        <w:rPr>
          <w:sz w:val="24"/>
          <w:szCs w:val="24"/>
          <w:lang w:eastAsia="zh-CN"/>
        </w:rPr>
      </w:pPr>
      <w:r>
        <w:rPr>
          <w:sz w:val="24"/>
          <w:szCs w:val="24"/>
          <w:lang w:eastAsia="zh-CN"/>
        </w:rPr>
        <w:t>GB</w:t>
      </w:r>
      <w:r>
        <w:rPr>
          <w:rFonts w:hint="eastAsia"/>
          <w:sz w:val="24"/>
          <w:szCs w:val="24"/>
          <w:lang w:eastAsia="zh-CN"/>
        </w:rPr>
        <w:t>1984-2014   交流高压断路器</w:t>
      </w:r>
    </w:p>
    <w:p>
      <w:pPr>
        <w:spacing w:line="360" w:lineRule="auto"/>
        <w:ind w:firstLine="480" w:firstLineChars="200"/>
        <w:rPr>
          <w:sz w:val="24"/>
          <w:lang w:eastAsia="zh-CN"/>
        </w:rPr>
      </w:pPr>
      <w:r>
        <w:rPr>
          <w:sz w:val="24"/>
          <w:szCs w:val="24"/>
          <w:lang w:eastAsia="zh-CN"/>
        </w:rPr>
        <w:t>气体绝缘金属封闭组合开关设备安装使用说明书</w:t>
      </w:r>
      <w:r>
        <w:rPr>
          <w:rFonts w:hint="eastAsia"/>
          <w:sz w:val="24"/>
          <w:szCs w:val="24"/>
          <w:lang w:eastAsia="zh-CN"/>
        </w:rPr>
        <w:t xml:space="preserve"> </w:t>
      </w:r>
    </w:p>
    <w:p>
      <w:pPr>
        <w:spacing w:line="360" w:lineRule="auto"/>
        <w:ind w:firstLine="480" w:firstLineChars="200"/>
        <w:rPr>
          <w:sz w:val="24"/>
          <w:lang w:eastAsia="zh-CN"/>
        </w:rPr>
      </w:pPr>
      <w:r>
        <w:rPr>
          <w:rFonts w:hint="eastAsia"/>
          <w:sz w:val="24"/>
          <w:lang w:eastAsia="zh-CN"/>
        </w:rPr>
        <w:t>以上标准如与投标人所执行的标准不一致时，应执行较高的标准。</w:t>
      </w:r>
    </w:p>
    <w:p>
      <w:pPr>
        <w:spacing w:line="360" w:lineRule="auto"/>
        <w:ind w:firstLine="240" w:firstLineChars="100"/>
        <w:rPr>
          <w:sz w:val="24"/>
          <w:lang w:eastAsia="zh-CN"/>
        </w:rPr>
      </w:pPr>
      <w:r>
        <w:rPr>
          <w:rFonts w:hint="eastAsia"/>
          <w:sz w:val="24"/>
          <w:lang w:eastAsia="zh-CN"/>
        </w:rPr>
        <w:t>3、资料图纸</w:t>
      </w:r>
    </w:p>
    <w:p>
      <w:pPr>
        <w:spacing w:line="360" w:lineRule="auto"/>
        <w:ind w:left="731" w:leftChars="114" w:hanging="480" w:hangingChars="200"/>
        <w:rPr>
          <w:sz w:val="24"/>
          <w:lang w:eastAsia="zh-CN"/>
        </w:rPr>
      </w:pPr>
      <w:r>
        <w:rPr>
          <w:rFonts w:hint="eastAsia"/>
          <w:sz w:val="24"/>
          <w:lang w:eastAsia="zh-CN"/>
        </w:rPr>
        <w:t>3.1工程开工前甲方向乙方提供资料图纸一份，並根据现场实际情况进行技术交底。</w:t>
      </w:r>
    </w:p>
    <w:p>
      <w:pPr>
        <w:spacing w:line="360" w:lineRule="auto"/>
        <w:ind w:left="611" w:leftChars="114" w:hanging="360" w:hangingChars="150"/>
        <w:rPr>
          <w:sz w:val="24"/>
          <w:lang w:eastAsia="zh-CN"/>
        </w:rPr>
      </w:pPr>
      <w:r>
        <w:rPr>
          <w:rFonts w:hint="eastAsia"/>
          <w:sz w:val="24"/>
          <w:lang w:eastAsia="zh-CN"/>
        </w:rPr>
        <w:t>3.2乙方未经甲方同意不得将本工程资料图纸转给第三方，本合同工程竣工验收之日起十天内将图纸退还给甲方。</w:t>
      </w:r>
    </w:p>
    <w:p>
      <w:pPr>
        <w:spacing w:line="520" w:lineRule="exact"/>
        <w:rPr>
          <w:b/>
          <w:sz w:val="28"/>
          <w:szCs w:val="28"/>
          <w:lang w:eastAsia="zh-CN"/>
        </w:rPr>
      </w:pPr>
      <w:r>
        <w:rPr>
          <w:rFonts w:hint="eastAsia"/>
          <w:b/>
          <w:sz w:val="28"/>
          <w:szCs w:val="28"/>
          <w:lang w:eastAsia="zh-CN"/>
        </w:rPr>
        <w:t>第二条   承包方式：</w:t>
      </w:r>
    </w:p>
    <w:p>
      <w:pPr>
        <w:spacing w:line="360" w:lineRule="auto"/>
        <w:ind w:firstLine="480" w:firstLineChars="200"/>
        <w:rPr>
          <w:sz w:val="24"/>
          <w:lang w:eastAsia="zh-CN"/>
        </w:rPr>
      </w:pPr>
      <w:r>
        <w:rPr>
          <w:rFonts w:hint="eastAsia"/>
          <w:sz w:val="24"/>
          <w:lang w:eastAsia="zh-CN"/>
        </w:rPr>
        <w:t>本合同乙方采用承包范围内工程包工、包质量、包工期、包安全文明施工、包施工风险的承包方式。具体见附件1技术规范书。</w:t>
      </w:r>
    </w:p>
    <w:p>
      <w:pPr>
        <w:spacing w:line="360" w:lineRule="auto"/>
        <w:rPr>
          <w:b/>
          <w:sz w:val="28"/>
          <w:szCs w:val="28"/>
          <w:lang w:eastAsia="zh-CN"/>
        </w:rPr>
      </w:pPr>
      <w:r>
        <w:rPr>
          <w:rFonts w:hint="eastAsia"/>
          <w:b/>
          <w:sz w:val="28"/>
          <w:szCs w:val="28"/>
          <w:lang w:eastAsia="zh-CN"/>
        </w:rPr>
        <w:t>第三条   合同价款及支付</w:t>
      </w:r>
    </w:p>
    <w:p>
      <w:pPr>
        <w:spacing w:line="360" w:lineRule="auto"/>
        <w:ind w:firstLine="240" w:firstLineChars="100"/>
        <w:rPr>
          <w:sz w:val="24"/>
          <w:lang w:eastAsia="zh-CN"/>
        </w:rPr>
      </w:pPr>
      <w:r>
        <w:rPr>
          <w:rFonts w:hint="eastAsia"/>
          <w:sz w:val="24"/>
          <w:lang w:eastAsia="zh-CN"/>
        </w:rPr>
        <w:t>1、合同价款</w:t>
      </w:r>
    </w:p>
    <w:p>
      <w:pPr>
        <w:pStyle w:val="11"/>
        <w:spacing w:before="0" w:beforeAutospacing="0" w:after="0" w:afterAutospacing="0" w:line="360" w:lineRule="auto"/>
        <w:ind w:firstLine="480" w:firstLineChars="200"/>
        <w:rPr>
          <w:color w:val="3C3C3C"/>
        </w:rPr>
      </w:pPr>
      <w:r>
        <w:rPr>
          <w:rFonts w:hint="eastAsia"/>
        </w:rPr>
        <w:t>1.1</w:t>
      </w:r>
      <w:r>
        <w:rPr>
          <w:rFonts w:hint="eastAsia"/>
          <w:color w:val="3C3C3C"/>
        </w:rPr>
        <w:t>本合同固定总价为</w:t>
      </w:r>
      <w:r>
        <w:rPr>
          <w:rFonts w:hint="eastAsia"/>
          <w:color w:val="3C3C3C"/>
          <w:u w:val="single"/>
        </w:rPr>
        <w:t xml:space="preserve">                    </w:t>
      </w:r>
      <w:r>
        <w:rPr>
          <w:rFonts w:hint="eastAsia"/>
          <w:color w:val="3C3C3C"/>
        </w:rPr>
        <w:t>元整，小写 ￥</w:t>
      </w:r>
      <w:r>
        <w:rPr>
          <w:rFonts w:hint="eastAsia"/>
          <w:color w:val="3C3C3C"/>
          <w:u w:val="single"/>
        </w:rPr>
        <w:t xml:space="preserve">          </w:t>
      </w:r>
      <w:r>
        <w:rPr>
          <w:rFonts w:hint="eastAsia"/>
          <w:color w:val="3C3C3C"/>
        </w:rPr>
        <w:t>元。</w:t>
      </w:r>
    </w:p>
    <w:tbl>
      <w:tblPr>
        <w:tblStyle w:val="17"/>
        <w:tblW w:w="9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977"/>
        <w:gridCol w:w="567"/>
        <w:gridCol w:w="1134"/>
        <w:gridCol w:w="1134"/>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67" w:type="dxa"/>
            <w:vAlign w:val="center"/>
          </w:tcPr>
          <w:p>
            <w:pPr>
              <w:pStyle w:val="11"/>
              <w:spacing w:before="0" w:beforeAutospacing="0" w:after="0" w:afterAutospacing="0" w:line="240" w:lineRule="atLeast"/>
              <w:jc w:val="center"/>
              <w:rPr>
                <w:color w:val="3C3C3C"/>
                <w:sz w:val="21"/>
                <w:szCs w:val="21"/>
              </w:rPr>
            </w:pPr>
            <w:r>
              <w:rPr>
                <w:rFonts w:hint="eastAsia"/>
                <w:color w:val="3C3C3C"/>
                <w:sz w:val="21"/>
                <w:szCs w:val="21"/>
              </w:rPr>
              <w:t>序号</w:t>
            </w:r>
          </w:p>
        </w:tc>
        <w:tc>
          <w:tcPr>
            <w:tcW w:w="2977" w:type="dxa"/>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名   称</w:t>
            </w:r>
          </w:p>
        </w:tc>
        <w:tc>
          <w:tcPr>
            <w:tcW w:w="567" w:type="dxa"/>
            <w:vAlign w:val="center"/>
          </w:tcPr>
          <w:p>
            <w:pPr>
              <w:pStyle w:val="11"/>
              <w:spacing w:before="0" w:beforeAutospacing="0" w:after="0" w:afterAutospacing="0" w:line="240" w:lineRule="atLeast"/>
              <w:jc w:val="center"/>
              <w:rPr>
                <w:color w:val="3C3C3C"/>
                <w:sz w:val="21"/>
                <w:szCs w:val="21"/>
              </w:rPr>
            </w:pPr>
            <w:r>
              <w:rPr>
                <w:rFonts w:hint="eastAsia"/>
                <w:color w:val="3C3C3C"/>
                <w:sz w:val="21"/>
                <w:szCs w:val="21"/>
              </w:rPr>
              <w:t>数量</w:t>
            </w:r>
          </w:p>
        </w:tc>
        <w:tc>
          <w:tcPr>
            <w:tcW w:w="1134" w:type="dxa"/>
            <w:vAlign w:val="center"/>
          </w:tcPr>
          <w:p>
            <w:pPr>
              <w:pStyle w:val="11"/>
              <w:spacing w:before="0" w:beforeAutospacing="0" w:after="0" w:afterAutospacing="0" w:line="240" w:lineRule="atLeast"/>
              <w:jc w:val="center"/>
              <w:rPr>
                <w:color w:val="3C3C3C"/>
                <w:sz w:val="21"/>
                <w:szCs w:val="21"/>
              </w:rPr>
            </w:pPr>
            <w:r>
              <w:rPr>
                <w:rFonts w:hint="eastAsia"/>
                <w:color w:val="3C3C3C"/>
                <w:sz w:val="21"/>
                <w:szCs w:val="21"/>
              </w:rPr>
              <w:t>单价（元）</w:t>
            </w:r>
          </w:p>
        </w:tc>
        <w:tc>
          <w:tcPr>
            <w:tcW w:w="1134" w:type="dxa"/>
            <w:vAlign w:val="center"/>
          </w:tcPr>
          <w:p>
            <w:pPr>
              <w:pStyle w:val="11"/>
              <w:spacing w:before="0" w:beforeAutospacing="0" w:after="0" w:afterAutospacing="0" w:line="240" w:lineRule="atLeast"/>
              <w:jc w:val="center"/>
              <w:rPr>
                <w:color w:val="3C3C3C"/>
                <w:sz w:val="21"/>
                <w:szCs w:val="21"/>
              </w:rPr>
            </w:pPr>
            <w:r>
              <w:rPr>
                <w:rFonts w:hint="eastAsia"/>
                <w:color w:val="3C3C3C"/>
                <w:sz w:val="21"/>
                <w:szCs w:val="21"/>
              </w:rPr>
              <w:t>合计（元）</w:t>
            </w:r>
          </w:p>
        </w:tc>
        <w:tc>
          <w:tcPr>
            <w:tcW w:w="2977" w:type="dxa"/>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67" w:type="dxa"/>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1</w:t>
            </w:r>
          </w:p>
        </w:tc>
        <w:tc>
          <w:tcPr>
            <w:tcW w:w="2977" w:type="dxa"/>
            <w:vAlign w:val="center"/>
          </w:tcPr>
          <w:p>
            <w:pPr>
              <w:pStyle w:val="11"/>
              <w:spacing w:before="0" w:beforeAutospacing="0" w:after="0" w:afterAutospacing="0" w:line="240" w:lineRule="atLeast"/>
              <w:jc w:val="center"/>
              <w:rPr>
                <w:rFonts w:asciiTheme="majorEastAsia" w:hAnsiTheme="majorEastAsia" w:eastAsiaTheme="majorEastAsia"/>
                <w:color w:val="3C3C3C"/>
                <w:sz w:val="21"/>
                <w:szCs w:val="21"/>
              </w:rPr>
            </w:pPr>
            <w:r>
              <w:rPr>
                <w:rFonts w:hint="eastAsia" w:asciiTheme="majorEastAsia" w:hAnsiTheme="majorEastAsia" w:eastAsiaTheme="majorEastAsia"/>
                <w:sz w:val="21"/>
                <w:szCs w:val="21"/>
              </w:rPr>
              <w:t>220kV GIS维修</w:t>
            </w:r>
          </w:p>
        </w:tc>
        <w:tc>
          <w:tcPr>
            <w:tcW w:w="567" w:type="dxa"/>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1</w:t>
            </w:r>
          </w:p>
        </w:tc>
        <w:tc>
          <w:tcPr>
            <w:tcW w:w="1134" w:type="dxa"/>
            <w:vAlign w:val="center"/>
          </w:tcPr>
          <w:p>
            <w:pPr>
              <w:pStyle w:val="11"/>
              <w:spacing w:before="0" w:beforeAutospacing="0" w:after="0" w:afterAutospacing="0" w:line="360" w:lineRule="auto"/>
              <w:jc w:val="center"/>
              <w:rPr>
                <w:color w:val="3C3C3C"/>
                <w:sz w:val="21"/>
                <w:szCs w:val="21"/>
              </w:rPr>
            </w:pPr>
          </w:p>
        </w:tc>
        <w:tc>
          <w:tcPr>
            <w:tcW w:w="1134" w:type="dxa"/>
            <w:vAlign w:val="center"/>
          </w:tcPr>
          <w:p>
            <w:pPr>
              <w:pStyle w:val="11"/>
              <w:spacing w:before="0" w:beforeAutospacing="0" w:after="0" w:afterAutospacing="0" w:line="360" w:lineRule="auto"/>
              <w:jc w:val="center"/>
              <w:rPr>
                <w:color w:val="3C3C3C"/>
                <w:sz w:val="21"/>
                <w:szCs w:val="21"/>
              </w:rPr>
            </w:pPr>
          </w:p>
        </w:tc>
        <w:tc>
          <w:tcPr>
            <w:tcW w:w="2977" w:type="dxa"/>
            <w:vMerge w:val="restart"/>
            <w:vAlign w:val="center"/>
          </w:tcPr>
          <w:p>
            <w:pPr>
              <w:pStyle w:val="11"/>
              <w:spacing w:before="0" w:beforeAutospacing="0" w:after="0" w:afterAutospacing="0" w:line="240" w:lineRule="atLeast"/>
              <w:rPr>
                <w:color w:val="3C3C3C"/>
                <w:sz w:val="21"/>
                <w:szCs w:val="21"/>
              </w:rPr>
            </w:pPr>
            <w:r>
              <w:rPr>
                <w:rFonts w:hint="eastAsia"/>
                <w:color w:val="3C3C3C"/>
                <w:sz w:val="21"/>
                <w:szCs w:val="21"/>
              </w:rPr>
              <w:t>维修工作含辅材，具体见附件1“技术规范书”及附件2“分项价格表”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trPr>
        <w:tc>
          <w:tcPr>
            <w:tcW w:w="567" w:type="dxa"/>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2</w:t>
            </w:r>
          </w:p>
        </w:tc>
        <w:tc>
          <w:tcPr>
            <w:tcW w:w="2977" w:type="dxa"/>
            <w:vAlign w:val="center"/>
          </w:tcPr>
          <w:p>
            <w:pPr>
              <w:pStyle w:val="11"/>
              <w:spacing w:before="0" w:beforeAutospacing="0" w:after="0" w:afterAutospacing="0" w:line="240" w:lineRule="atLeast"/>
              <w:jc w:val="center"/>
              <w:rPr>
                <w:rFonts w:asciiTheme="majorEastAsia" w:hAnsiTheme="majorEastAsia" w:eastAsiaTheme="majorEastAsia"/>
                <w:color w:val="3C3C3C"/>
                <w:sz w:val="21"/>
                <w:szCs w:val="21"/>
              </w:rPr>
            </w:pPr>
            <w:r>
              <w:rPr>
                <w:rFonts w:hint="eastAsia" w:asciiTheme="majorEastAsia" w:hAnsiTheme="majorEastAsia" w:eastAsiaTheme="majorEastAsia"/>
                <w:sz w:val="21"/>
                <w:szCs w:val="21"/>
              </w:rPr>
              <w:t>35kV气体绝缘封闭式开关柜维修</w:t>
            </w:r>
          </w:p>
        </w:tc>
        <w:tc>
          <w:tcPr>
            <w:tcW w:w="567" w:type="dxa"/>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1</w:t>
            </w:r>
          </w:p>
        </w:tc>
        <w:tc>
          <w:tcPr>
            <w:tcW w:w="1134" w:type="dxa"/>
            <w:vAlign w:val="center"/>
          </w:tcPr>
          <w:p>
            <w:pPr>
              <w:pStyle w:val="11"/>
              <w:spacing w:before="0" w:beforeAutospacing="0" w:after="0" w:afterAutospacing="0" w:line="360" w:lineRule="auto"/>
              <w:jc w:val="center"/>
              <w:rPr>
                <w:color w:val="3C3C3C"/>
                <w:sz w:val="21"/>
                <w:szCs w:val="21"/>
              </w:rPr>
            </w:pPr>
          </w:p>
        </w:tc>
        <w:tc>
          <w:tcPr>
            <w:tcW w:w="1134" w:type="dxa"/>
            <w:vAlign w:val="center"/>
          </w:tcPr>
          <w:p>
            <w:pPr>
              <w:pStyle w:val="11"/>
              <w:spacing w:before="0" w:beforeAutospacing="0" w:after="0" w:afterAutospacing="0" w:line="360" w:lineRule="auto"/>
              <w:jc w:val="center"/>
              <w:rPr>
                <w:color w:val="3C3C3C"/>
                <w:sz w:val="21"/>
                <w:szCs w:val="21"/>
              </w:rPr>
            </w:pPr>
          </w:p>
        </w:tc>
        <w:tc>
          <w:tcPr>
            <w:tcW w:w="2977" w:type="dxa"/>
            <w:vMerge w:val="continue"/>
            <w:vAlign w:val="center"/>
          </w:tcPr>
          <w:p>
            <w:pPr>
              <w:pStyle w:val="11"/>
              <w:spacing w:before="0" w:beforeAutospacing="0" w:after="0" w:afterAutospacing="0" w:line="360" w:lineRule="auto"/>
              <w:jc w:val="center"/>
              <w:rPr>
                <w:color w:val="3C3C3C"/>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567" w:type="dxa"/>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3</w:t>
            </w:r>
          </w:p>
        </w:tc>
        <w:tc>
          <w:tcPr>
            <w:tcW w:w="2977" w:type="dxa"/>
            <w:vAlign w:val="center"/>
          </w:tcPr>
          <w:p>
            <w:pPr>
              <w:pStyle w:val="11"/>
              <w:spacing w:before="0" w:beforeAutospacing="0" w:after="0" w:afterAutospacing="0" w:line="240" w:lineRule="atLeast"/>
              <w:jc w:val="center"/>
              <w:rPr>
                <w:rFonts w:asciiTheme="majorEastAsia" w:hAnsiTheme="majorEastAsia" w:eastAsiaTheme="majorEastAsia"/>
                <w:color w:val="3C3C3C"/>
                <w:sz w:val="21"/>
                <w:szCs w:val="21"/>
              </w:rPr>
            </w:pPr>
            <w:r>
              <w:rPr>
                <w:rFonts w:hint="eastAsia" w:asciiTheme="majorEastAsia" w:hAnsiTheme="majorEastAsia" w:eastAsiaTheme="majorEastAsia"/>
                <w:sz w:val="21"/>
                <w:szCs w:val="21"/>
              </w:rPr>
              <w:t>220kV GIS、35kV气体绝缘封闭式开关柜预防性试验</w:t>
            </w:r>
          </w:p>
        </w:tc>
        <w:tc>
          <w:tcPr>
            <w:tcW w:w="567" w:type="dxa"/>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1</w:t>
            </w:r>
          </w:p>
        </w:tc>
        <w:tc>
          <w:tcPr>
            <w:tcW w:w="1134" w:type="dxa"/>
            <w:vAlign w:val="center"/>
          </w:tcPr>
          <w:p>
            <w:pPr>
              <w:pStyle w:val="11"/>
              <w:spacing w:before="0" w:beforeAutospacing="0" w:after="0" w:afterAutospacing="0" w:line="360" w:lineRule="auto"/>
              <w:jc w:val="center"/>
              <w:rPr>
                <w:color w:val="3C3C3C"/>
                <w:sz w:val="21"/>
                <w:szCs w:val="21"/>
              </w:rPr>
            </w:pPr>
          </w:p>
        </w:tc>
        <w:tc>
          <w:tcPr>
            <w:tcW w:w="1134" w:type="dxa"/>
            <w:vAlign w:val="center"/>
          </w:tcPr>
          <w:p>
            <w:pPr>
              <w:pStyle w:val="11"/>
              <w:spacing w:before="0" w:beforeAutospacing="0" w:after="0" w:afterAutospacing="0" w:line="360" w:lineRule="auto"/>
              <w:jc w:val="center"/>
              <w:rPr>
                <w:color w:val="3C3C3C"/>
                <w:sz w:val="21"/>
                <w:szCs w:val="21"/>
              </w:rPr>
            </w:pPr>
          </w:p>
        </w:tc>
        <w:tc>
          <w:tcPr>
            <w:tcW w:w="2977" w:type="dxa"/>
            <w:vMerge w:val="continue"/>
            <w:vAlign w:val="center"/>
          </w:tcPr>
          <w:p>
            <w:pPr>
              <w:pStyle w:val="11"/>
              <w:spacing w:before="0" w:beforeAutospacing="0" w:after="0" w:afterAutospacing="0" w:line="360" w:lineRule="auto"/>
              <w:jc w:val="center"/>
              <w:rPr>
                <w:color w:val="3C3C3C"/>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67" w:type="dxa"/>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4</w:t>
            </w:r>
          </w:p>
        </w:tc>
        <w:tc>
          <w:tcPr>
            <w:tcW w:w="2977" w:type="dxa"/>
            <w:vAlign w:val="center"/>
          </w:tcPr>
          <w:p>
            <w:pPr>
              <w:pStyle w:val="11"/>
              <w:spacing w:before="0" w:beforeAutospacing="0" w:after="0" w:afterAutospacing="0" w:line="240" w:lineRule="atLeast"/>
              <w:jc w:val="center"/>
              <w:rPr>
                <w:rFonts w:asciiTheme="majorEastAsia" w:hAnsiTheme="majorEastAsia" w:eastAsiaTheme="majorEastAsia"/>
                <w:color w:val="3C3C3C"/>
                <w:sz w:val="21"/>
                <w:szCs w:val="21"/>
              </w:rPr>
            </w:pPr>
            <w:r>
              <w:rPr>
                <w:rFonts w:hint="eastAsia" w:asciiTheme="majorEastAsia" w:hAnsiTheme="majorEastAsia" w:eastAsiaTheme="majorEastAsia"/>
                <w:sz w:val="21"/>
                <w:szCs w:val="21"/>
              </w:rPr>
              <w:t>主厂房0米凝汽器泵坑、16米除氧层电缆槽盒整改</w:t>
            </w:r>
          </w:p>
        </w:tc>
        <w:tc>
          <w:tcPr>
            <w:tcW w:w="567" w:type="dxa"/>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1</w:t>
            </w:r>
          </w:p>
        </w:tc>
        <w:tc>
          <w:tcPr>
            <w:tcW w:w="1134" w:type="dxa"/>
            <w:vAlign w:val="center"/>
          </w:tcPr>
          <w:p>
            <w:pPr>
              <w:pStyle w:val="11"/>
              <w:spacing w:before="0" w:beforeAutospacing="0" w:after="0" w:afterAutospacing="0" w:line="360" w:lineRule="auto"/>
              <w:jc w:val="center"/>
              <w:rPr>
                <w:color w:val="3C3C3C"/>
                <w:sz w:val="21"/>
                <w:szCs w:val="21"/>
              </w:rPr>
            </w:pPr>
          </w:p>
        </w:tc>
        <w:tc>
          <w:tcPr>
            <w:tcW w:w="1134" w:type="dxa"/>
            <w:vAlign w:val="center"/>
          </w:tcPr>
          <w:p>
            <w:pPr>
              <w:pStyle w:val="11"/>
              <w:spacing w:before="0" w:beforeAutospacing="0" w:after="0" w:afterAutospacing="0" w:line="360" w:lineRule="auto"/>
              <w:jc w:val="center"/>
              <w:rPr>
                <w:color w:val="3C3C3C"/>
                <w:sz w:val="21"/>
                <w:szCs w:val="21"/>
              </w:rPr>
            </w:pPr>
          </w:p>
        </w:tc>
        <w:tc>
          <w:tcPr>
            <w:tcW w:w="2977" w:type="dxa"/>
            <w:vMerge w:val="continue"/>
            <w:vAlign w:val="center"/>
          </w:tcPr>
          <w:p>
            <w:pPr>
              <w:pStyle w:val="11"/>
              <w:spacing w:before="0" w:beforeAutospacing="0" w:after="0" w:afterAutospacing="0" w:line="360" w:lineRule="auto"/>
              <w:jc w:val="center"/>
              <w:rPr>
                <w:color w:val="3C3C3C"/>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67" w:type="dxa"/>
            <w:vAlign w:val="center"/>
          </w:tcPr>
          <w:p>
            <w:pPr>
              <w:pStyle w:val="11"/>
              <w:spacing w:before="0" w:beforeAutospacing="0" w:after="0" w:afterAutospacing="0" w:line="360" w:lineRule="auto"/>
              <w:jc w:val="center"/>
              <w:rPr>
                <w:color w:val="3C3C3C"/>
                <w:sz w:val="21"/>
                <w:szCs w:val="21"/>
              </w:rPr>
            </w:pPr>
          </w:p>
        </w:tc>
        <w:tc>
          <w:tcPr>
            <w:tcW w:w="3544" w:type="dxa"/>
            <w:gridSpan w:val="2"/>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总计：</w:t>
            </w:r>
          </w:p>
        </w:tc>
        <w:tc>
          <w:tcPr>
            <w:tcW w:w="5245" w:type="dxa"/>
            <w:gridSpan w:val="3"/>
            <w:vAlign w:val="center"/>
          </w:tcPr>
          <w:p>
            <w:pPr>
              <w:pStyle w:val="11"/>
              <w:spacing w:before="0" w:beforeAutospacing="0" w:after="0" w:afterAutospacing="0" w:line="360" w:lineRule="auto"/>
              <w:jc w:val="center"/>
              <w:rPr>
                <w:color w:val="3C3C3C"/>
                <w:sz w:val="21"/>
                <w:szCs w:val="21"/>
              </w:rPr>
            </w:pPr>
            <w:r>
              <w:rPr>
                <w:rFonts w:hint="eastAsia"/>
                <w:color w:val="3C3C3C"/>
                <w:sz w:val="21"/>
                <w:szCs w:val="21"/>
              </w:rPr>
              <w:t xml:space="preserve"> 元</w:t>
            </w:r>
          </w:p>
        </w:tc>
      </w:tr>
    </w:tbl>
    <w:p>
      <w:pPr>
        <w:tabs>
          <w:tab w:val="left" w:pos="1080"/>
        </w:tabs>
        <w:spacing w:line="360" w:lineRule="auto"/>
        <w:ind w:firstLine="240" w:firstLineChars="100"/>
        <w:rPr>
          <w:sz w:val="24"/>
          <w:lang w:eastAsia="zh-CN"/>
        </w:rPr>
      </w:pPr>
      <w:r>
        <w:rPr>
          <w:rFonts w:hint="eastAsia"/>
          <w:sz w:val="24"/>
          <w:lang w:eastAsia="zh-CN"/>
        </w:rPr>
        <w:t>1.2乙方开具</w:t>
      </w:r>
      <w:r>
        <w:rPr>
          <w:rFonts w:hint="eastAsia"/>
          <w:sz w:val="24"/>
          <w:u w:val="single"/>
          <w:lang w:eastAsia="zh-CN"/>
        </w:rPr>
        <w:t xml:space="preserve">  </w:t>
      </w:r>
      <w:r>
        <w:rPr>
          <w:sz w:val="24"/>
          <w:u w:val="single"/>
          <w:lang w:eastAsia="zh-CN"/>
        </w:rPr>
        <w:t>%</w:t>
      </w:r>
      <w:r>
        <w:rPr>
          <w:rFonts w:hint="eastAsia"/>
          <w:sz w:val="24"/>
          <w:lang w:eastAsia="zh-CN"/>
        </w:rPr>
        <w:t>增值税专用发票，本项目为总包干合同，包括乙方工作涉及到的劳务费、管理费、工具费、劳保费、所有税费、各种保险、安全费用、利润、运输费、耗材费及合同涉及到的所有风险、责任、义务等费用。除非双方另有书面约定，甲方不再承担其他费用。</w:t>
      </w:r>
    </w:p>
    <w:p>
      <w:pPr>
        <w:spacing w:line="360" w:lineRule="auto"/>
        <w:ind w:firstLine="480" w:firstLineChars="200"/>
        <w:rPr>
          <w:sz w:val="24"/>
          <w:lang w:eastAsia="zh-CN"/>
        </w:rPr>
      </w:pPr>
      <w:r>
        <w:rPr>
          <w:rFonts w:hint="eastAsia"/>
          <w:sz w:val="24"/>
          <w:lang w:eastAsia="zh-CN"/>
        </w:rPr>
        <w:t>合同签订生效后，乙方提交的参选保证金三万元自动转为履约保证金。保证金将于工程完成并经验收合格后1</w:t>
      </w:r>
      <w:r>
        <w:rPr>
          <w:sz w:val="24"/>
          <w:lang w:eastAsia="zh-CN"/>
        </w:rPr>
        <w:t>5</w:t>
      </w:r>
      <w:r>
        <w:rPr>
          <w:rFonts w:hint="eastAsia"/>
          <w:sz w:val="24"/>
          <w:lang w:eastAsia="zh-CN"/>
        </w:rPr>
        <w:t>个工作日内，甲方无息退还履约保证金。</w:t>
      </w:r>
    </w:p>
    <w:p>
      <w:pPr>
        <w:spacing w:line="360" w:lineRule="auto"/>
        <w:ind w:firstLine="240" w:firstLineChars="100"/>
        <w:rPr>
          <w:sz w:val="24"/>
          <w:lang w:eastAsia="zh-CN"/>
        </w:rPr>
      </w:pPr>
      <w:r>
        <w:rPr>
          <w:rFonts w:hint="eastAsia"/>
          <w:sz w:val="24"/>
          <w:lang w:eastAsia="zh-CN"/>
        </w:rPr>
        <w:t>2、付款方式</w:t>
      </w:r>
    </w:p>
    <w:p>
      <w:pPr>
        <w:widowControl/>
        <w:spacing w:line="360" w:lineRule="auto"/>
        <w:ind w:right="-86" w:rightChars="-39" w:firstLine="240" w:firstLineChars="100"/>
        <w:rPr>
          <w:rFonts w:asciiTheme="majorEastAsia" w:hAnsiTheme="majorEastAsia" w:eastAsiaTheme="majorEastAsia"/>
          <w:sz w:val="24"/>
          <w:szCs w:val="24"/>
          <w:lang w:eastAsia="zh-CN"/>
        </w:rPr>
      </w:pPr>
      <w:r>
        <w:rPr>
          <w:rFonts w:hint="eastAsia"/>
          <w:sz w:val="24"/>
          <w:lang w:eastAsia="zh-CN"/>
        </w:rPr>
        <w:t>2.1 预付款：</w:t>
      </w:r>
      <w:r>
        <w:rPr>
          <w:rFonts w:hint="eastAsia" w:asciiTheme="majorEastAsia" w:hAnsiTheme="majorEastAsia" w:eastAsiaTheme="majorEastAsia"/>
          <w:bCs/>
          <w:sz w:val="24"/>
          <w:szCs w:val="24"/>
          <w:lang w:eastAsia="zh-CN"/>
        </w:rPr>
        <w:t>收到乙方提交合同总价</w:t>
      </w:r>
      <w:r>
        <w:rPr>
          <w:rFonts w:hint="eastAsia" w:asciiTheme="majorEastAsia" w:hAnsiTheme="majorEastAsia" w:eastAsiaTheme="majorEastAsia"/>
          <w:bCs/>
          <w:sz w:val="24"/>
          <w:szCs w:val="24"/>
          <w:u w:val="single"/>
          <w:lang w:eastAsia="zh-CN"/>
        </w:rPr>
        <w:t>10%</w:t>
      </w:r>
      <w:r>
        <w:rPr>
          <w:rFonts w:hint="eastAsia" w:asciiTheme="majorEastAsia" w:hAnsiTheme="majorEastAsia" w:eastAsiaTheme="majorEastAsia"/>
          <w:bCs/>
          <w:sz w:val="24"/>
          <w:szCs w:val="24"/>
          <w:lang w:eastAsia="zh-CN"/>
        </w:rPr>
        <w:t>的履约担保，并在合同生效后</w:t>
      </w:r>
      <w:r>
        <w:rPr>
          <w:rFonts w:hint="eastAsia" w:asciiTheme="majorEastAsia" w:hAnsiTheme="majorEastAsia" w:eastAsiaTheme="majorEastAsia"/>
          <w:bCs/>
          <w:sz w:val="24"/>
          <w:szCs w:val="24"/>
          <w:u w:val="single"/>
          <w:lang w:eastAsia="zh-CN"/>
        </w:rPr>
        <w:t>15</w:t>
      </w:r>
      <w:r>
        <w:rPr>
          <w:rFonts w:hint="eastAsia" w:asciiTheme="majorEastAsia" w:hAnsiTheme="majorEastAsia" w:eastAsiaTheme="majorEastAsia"/>
          <w:bCs/>
          <w:sz w:val="24"/>
          <w:szCs w:val="24"/>
          <w:lang w:eastAsia="zh-CN"/>
        </w:rPr>
        <w:t>天内，甲方按合同总价的</w:t>
      </w:r>
      <w:r>
        <w:rPr>
          <w:rFonts w:hint="eastAsia" w:asciiTheme="majorEastAsia" w:hAnsiTheme="majorEastAsia" w:eastAsiaTheme="majorEastAsia"/>
          <w:bCs/>
          <w:sz w:val="24"/>
          <w:szCs w:val="24"/>
          <w:u w:val="single"/>
          <w:lang w:eastAsia="zh-CN"/>
        </w:rPr>
        <w:t>10%</w:t>
      </w:r>
      <w:r>
        <w:rPr>
          <w:rFonts w:hint="eastAsia" w:asciiTheme="majorEastAsia" w:hAnsiTheme="majorEastAsia" w:eastAsiaTheme="majorEastAsia"/>
          <w:bCs/>
          <w:sz w:val="24"/>
          <w:szCs w:val="24"/>
          <w:lang w:eastAsia="zh-CN"/>
        </w:rPr>
        <w:t>支付给乙方作为项目预付款</w:t>
      </w:r>
      <w:r>
        <w:rPr>
          <w:rFonts w:hint="eastAsia" w:asciiTheme="majorEastAsia" w:hAnsiTheme="majorEastAsia" w:eastAsiaTheme="majorEastAsia"/>
          <w:sz w:val="24"/>
          <w:szCs w:val="24"/>
          <w:lang w:eastAsia="zh-CN"/>
        </w:rPr>
        <w:t>；</w:t>
      </w:r>
    </w:p>
    <w:p>
      <w:pPr>
        <w:pStyle w:val="8"/>
        <w:snapToGrid w:val="0"/>
        <w:spacing w:line="360" w:lineRule="auto"/>
        <w:ind w:firstLine="240" w:firstLineChars="10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2.2 工程款</w:t>
      </w:r>
      <w:r>
        <w:rPr>
          <w:rFonts w:cs="Times New Roman" w:asciiTheme="majorEastAsia" w:hAnsiTheme="majorEastAsia" w:eastAsiaTheme="majorEastAsia"/>
          <w:bCs/>
          <w:sz w:val="24"/>
          <w:szCs w:val="24"/>
          <w:lang w:eastAsia="zh-CN"/>
        </w:rPr>
        <w:t>(</w:t>
      </w:r>
      <w:r>
        <w:rPr>
          <w:rFonts w:hint="eastAsia" w:cs="Times New Roman" w:asciiTheme="majorEastAsia" w:hAnsiTheme="majorEastAsia" w:eastAsiaTheme="majorEastAsia"/>
          <w:bCs/>
          <w:sz w:val="24"/>
          <w:szCs w:val="24"/>
          <w:lang w:eastAsia="zh-CN"/>
        </w:rPr>
        <w:t>进度款</w:t>
      </w:r>
      <w:r>
        <w:rPr>
          <w:rFonts w:cs="Times New Roman" w:asciiTheme="majorEastAsia" w:hAnsiTheme="majorEastAsia" w:eastAsiaTheme="majorEastAsia"/>
          <w:bCs/>
          <w:sz w:val="24"/>
          <w:szCs w:val="24"/>
          <w:lang w:eastAsia="zh-CN"/>
        </w:rPr>
        <w:t>)</w:t>
      </w:r>
      <w:r>
        <w:rPr>
          <w:rFonts w:hint="eastAsia" w:cs="Times New Roman" w:asciiTheme="majorEastAsia" w:hAnsiTheme="majorEastAsia" w:eastAsiaTheme="majorEastAsia"/>
          <w:bCs/>
          <w:sz w:val="24"/>
          <w:szCs w:val="24"/>
          <w:lang w:eastAsia="zh-CN"/>
        </w:rPr>
        <w:t>支付的方式和时间：</w:t>
      </w:r>
    </w:p>
    <w:p>
      <w:pPr>
        <w:pStyle w:val="8"/>
        <w:snapToGrid w:val="0"/>
        <w:spacing w:line="360" w:lineRule="auto"/>
        <w:ind w:firstLine="56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（1）工程按分项支付进度款，甲方在接收到完成工程量和进度报表后</w:t>
      </w:r>
      <w:r>
        <w:rPr>
          <w:rFonts w:hint="eastAsia" w:cs="Times New Roman" w:asciiTheme="majorEastAsia" w:hAnsiTheme="majorEastAsia" w:eastAsiaTheme="majorEastAsia"/>
          <w:bCs/>
          <w:sz w:val="24"/>
          <w:szCs w:val="24"/>
          <w:u w:val="single"/>
          <w:lang w:eastAsia="zh-CN"/>
        </w:rPr>
        <w:t>7</w:t>
      </w:r>
      <w:r>
        <w:rPr>
          <w:rFonts w:hint="eastAsia" w:cs="Times New Roman" w:asciiTheme="majorEastAsia" w:hAnsiTheme="majorEastAsia" w:eastAsiaTheme="majorEastAsia"/>
          <w:bCs/>
          <w:sz w:val="24"/>
          <w:szCs w:val="24"/>
          <w:lang w:eastAsia="zh-CN"/>
        </w:rPr>
        <w:t>天内完成审批，并在审批后</w:t>
      </w:r>
      <w:r>
        <w:rPr>
          <w:rFonts w:hint="eastAsia" w:cs="Times New Roman" w:asciiTheme="majorEastAsia" w:hAnsiTheme="majorEastAsia" w:eastAsiaTheme="majorEastAsia"/>
          <w:bCs/>
          <w:sz w:val="24"/>
          <w:szCs w:val="24"/>
          <w:u w:val="single"/>
          <w:lang w:eastAsia="zh-CN"/>
        </w:rPr>
        <w:t>15</w:t>
      </w:r>
      <w:r>
        <w:rPr>
          <w:rFonts w:hint="eastAsia" w:cs="Times New Roman" w:asciiTheme="majorEastAsia" w:hAnsiTheme="majorEastAsia" w:eastAsiaTheme="majorEastAsia"/>
          <w:bCs/>
          <w:sz w:val="24"/>
          <w:szCs w:val="24"/>
          <w:lang w:eastAsia="zh-CN"/>
        </w:rPr>
        <w:t>天内按照审批的合格工作量所含款项的</w:t>
      </w:r>
      <w:r>
        <w:rPr>
          <w:rFonts w:hint="eastAsia" w:cs="Times New Roman" w:asciiTheme="majorEastAsia" w:hAnsiTheme="majorEastAsia" w:eastAsiaTheme="majorEastAsia"/>
          <w:bCs/>
          <w:sz w:val="24"/>
          <w:szCs w:val="24"/>
          <w:u w:val="single"/>
          <w:lang w:eastAsia="zh-CN"/>
        </w:rPr>
        <w:t>70％</w:t>
      </w:r>
      <w:r>
        <w:rPr>
          <w:rFonts w:hint="eastAsia" w:cs="Times New Roman" w:asciiTheme="majorEastAsia" w:hAnsiTheme="majorEastAsia" w:eastAsiaTheme="majorEastAsia"/>
          <w:bCs/>
          <w:sz w:val="24"/>
          <w:szCs w:val="24"/>
          <w:lang w:eastAsia="zh-CN"/>
        </w:rPr>
        <w:t>支付进度款。</w:t>
      </w:r>
    </w:p>
    <w:p>
      <w:pPr>
        <w:pStyle w:val="8"/>
        <w:snapToGrid w:val="0"/>
        <w:spacing w:line="360" w:lineRule="auto"/>
        <w:ind w:firstLine="480" w:firstLineChars="20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（2）工程款（含预付款）付至合同造价的</w:t>
      </w:r>
      <w:r>
        <w:rPr>
          <w:rFonts w:hint="eastAsia" w:cs="Times New Roman" w:asciiTheme="majorEastAsia" w:hAnsiTheme="majorEastAsia" w:eastAsiaTheme="majorEastAsia"/>
          <w:bCs/>
          <w:sz w:val="24"/>
          <w:szCs w:val="24"/>
          <w:u w:val="single"/>
          <w:lang w:eastAsia="zh-CN"/>
        </w:rPr>
        <w:t>80%</w:t>
      </w:r>
      <w:r>
        <w:rPr>
          <w:rFonts w:hint="eastAsia" w:cs="Times New Roman" w:asciiTheme="majorEastAsia" w:hAnsiTheme="majorEastAsia" w:eastAsiaTheme="majorEastAsia"/>
          <w:bCs/>
          <w:sz w:val="24"/>
          <w:szCs w:val="24"/>
          <w:lang w:eastAsia="zh-CN"/>
        </w:rPr>
        <w:t>时停止付款。</w:t>
      </w:r>
    </w:p>
    <w:p>
      <w:pPr>
        <w:pStyle w:val="2"/>
        <w:spacing w:line="360" w:lineRule="auto"/>
        <w:ind w:firstLine="480" w:firstLineChars="200"/>
        <w:jc w:val="left"/>
        <w:rPr>
          <w:rFonts w:asciiTheme="majorEastAsia" w:hAnsiTheme="majorEastAsia" w:eastAsiaTheme="majorEastAsia"/>
          <w:bCs/>
          <w:sz w:val="24"/>
          <w:szCs w:val="24"/>
        </w:rPr>
      </w:pPr>
      <w:r>
        <w:rPr>
          <w:rFonts w:hint="eastAsia" w:asciiTheme="majorEastAsia" w:hAnsiTheme="majorEastAsia" w:eastAsiaTheme="majorEastAsia"/>
          <w:bCs/>
          <w:sz w:val="24"/>
          <w:szCs w:val="24"/>
        </w:rPr>
        <w:t>（3）工程竣工并经甲方验收达到合同规定的质量标准并投入使用且工程完成结算审核，在审核批准后20天内，甲方在收到完整的竣工验收资料后支付至合同结算价款（经甲方造价审核的结算价款）的97%（含工程变更引起的增减工程款，处罚款除外）。</w:t>
      </w:r>
    </w:p>
    <w:p>
      <w:pPr>
        <w:pStyle w:val="2"/>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bCs/>
          <w:sz w:val="24"/>
          <w:szCs w:val="24"/>
        </w:rPr>
        <w:t>（4）自规定的质量保修期开始计算之日起满一年时，甲方返还工程项目保修金给乙方。甲方在根据规定的缺陷责任期限满后将预留的保修金返还乙方前，甲乙双方应共同对该工程的质量进行全面回访，在确定无质量缺陷后甲方才将保修金返还。甲方在返还保修金时，有权将应由乙方承担但已由甲方垫付的款项从中直接予以抵扣，如保修金余额不足以抵扣，乙方须在接到甲方书面通知后15天内偿付甲方，否则，每逾期一日，乙方应按应付款项的万分之四向甲方支付利息。</w:t>
      </w:r>
      <w:r>
        <w:rPr>
          <w:rFonts w:asciiTheme="majorEastAsia" w:hAnsiTheme="majorEastAsia" w:eastAsiaTheme="majorEastAsia"/>
          <w:bCs/>
          <w:sz w:val="24"/>
          <w:szCs w:val="24"/>
        </w:rPr>
        <w:br w:type="textWrapping"/>
      </w:r>
      <w:r>
        <w:rPr>
          <w:rFonts w:hint="eastAsia" w:asciiTheme="majorEastAsia" w:hAnsiTheme="majorEastAsia" w:eastAsiaTheme="majorEastAsia"/>
          <w:bCs/>
          <w:sz w:val="24"/>
          <w:szCs w:val="24"/>
        </w:rPr>
        <w:t xml:space="preserve">    （5）工程款全部以银行转帐形式支付。乙方支取工程款时应提交同等金额的符合要求的正规增值税专用发票，支取工程结算款时乙方应开具的剩余全部未支付结算款的增值税专用发票。</w:t>
      </w:r>
    </w:p>
    <w:p>
      <w:pPr>
        <w:pStyle w:val="11"/>
        <w:spacing w:before="0" w:beforeAutospacing="0" w:after="0" w:afterAutospacing="0" w:line="360" w:lineRule="auto"/>
        <w:ind w:left="371" w:leftChars="114" w:right="-653" w:rightChars="-297" w:hanging="120" w:hangingChars="50"/>
        <w:rPr>
          <w:rFonts w:cs="Times New Roman"/>
          <w:kern w:val="2"/>
        </w:rPr>
      </w:pPr>
      <w:r>
        <w:rPr>
          <w:rFonts w:hint="eastAsia" w:cs="Times New Roman"/>
          <w:kern w:val="2"/>
        </w:rPr>
        <w:t>否则甲方有权顺延付款。上述款项直接支付至乙方指定的下列账号：</w:t>
      </w:r>
    </w:p>
    <w:p>
      <w:pPr>
        <w:tabs>
          <w:tab w:val="left" w:pos="1080"/>
        </w:tabs>
        <w:spacing w:line="360" w:lineRule="auto"/>
        <w:ind w:firstLine="480" w:firstLineChars="200"/>
        <w:rPr>
          <w:sz w:val="24"/>
          <w:lang w:eastAsia="zh-CN"/>
        </w:rPr>
      </w:pPr>
      <w:r>
        <w:rPr>
          <w:rFonts w:hint="eastAsia"/>
          <w:sz w:val="24"/>
          <w:lang w:eastAsia="zh-CN"/>
        </w:rPr>
        <w:t>户  名：</w:t>
      </w:r>
      <w:r>
        <w:rPr>
          <w:sz w:val="24"/>
          <w:lang w:eastAsia="zh-CN"/>
        </w:rPr>
        <w:t xml:space="preserve"> </w:t>
      </w:r>
    </w:p>
    <w:p>
      <w:pPr>
        <w:tabs>
          <w:tab w:val="left" w:pos="1080"/>
        </w:tabs>
        <w:spacing w:line="360" w:lineRule="auto"/>
        <w:ind w:firstLine="480" w:firstLineChars="200"/>
        <w:rPr>
          <w:sz w:val="24"/>
          <w:lang w:eastAsia="zh-CN"/>
        </w:rPr>
      </w:pPr>
      <w:r>
        <w:rPr>
          <w:rFonts w:hint="eastAsia"/>
          <w:sz w:val="24"/>
          <w:lang w:eastAsia="zh-CN"/>
        </w:rPr>
        <w:t>开户行：</w:t>
      </w:r>
      <w:r>
        <w:rPr>
          <w:sz w:val="24"/>
          <w:lang w:eastAsia="zh-CN"/>
        </w:rPr>
        <w:t xml:space="preserve"> </w:t>
      </w:r>
    </w:p>
    <w:p>
      <w:pPr>
        <w:spacing w:line="360" w:lineRule="auto"/>
        <w:ind w:firstLine="480" w:firstLineChars="200"/>
        <w:rPr>
          <w:sz w:val="24"/>
          <w:lang w:eastAsia="zh-CN"/>
        </w:rPr>
      </w:pPr>
      <w:r>
        <w:rPr>
          <w:rFonts w:hint="eastAsia"/>
          <w:sz w:val="24"/>
          <w:lang w:eastAsia="zh-CN"/>
        </w:rPr>
        <w:t>账  号：</w:t>
      </w:r>
      <w:r>
        <w:rPr>
          <w:sz w:val="24"/>
          <w:lang w:eastAsia="zh-CN"/>
        </w:rPr>
        <w:t xml:space="preserve"> </w:t>
      </w:r>
    </w:p>
    <w:p>
      <w:pPr>
        <w:tabs>
          <w:tab w:val="left" w:pos="2010"/>
        </w:tabs>
        <w:spacing w:line="520" w:lineRule="exact"/>
        <w:rPr>
          <w:b/>
          <w:sz w:val="28"/>
          <w:szCs w:val="28"/>
          <w:lang w:eastAsia="zh-CN"/>
        </w:rPr>
      </w:pPr>
      <w:r>
        <w:rPr>
          <w:rFonts w:hint="eastAsia"/>
          <w:b/>
          <w:sz w:val="28"/>
          <w:szCs w:val="28"/>
          <w:lang w:eastAsia="zh-CN"/>
        </w:rPr>
        <w:t>第四条 双方责任</w:t>
      </w:r>
    </w:p>
    <w:p>
      <w:pPr>
        <w:tabs>
          <w:tab w:val="left" w:pos="2010"/>
        </w:tabs>
        <w:spacing w:line="360" w:lineRule="auto"/>
        <w:ind w:firstLine="240" w:firstLineChars="100"/>
        <w:rPr>
          <w:sz w:val="24"/>
          <w:lang w:eastAsia="zh-CN"/>
        </w:rPr>
      </w:pPr>
      <w:r>
        <w:rPr>
          <w:rFonts w:hint="eastAsia"/>
          <w:sz w:val="24"/>
          <w:lang w:eastAsia="zh-CN"/>
        </w:rPr>
        <w:t>1、甲方工作</w:t>
      </w:r>
    </w:p>
    <w:p>
      <w:pPr>
        <w:tabs>
          <w:tab w:val="left" w:pos="2010"/>
        </w:tabs>
        <w:spacing w:line="360" w:lineRule="auto"/>
        <w:ind w:firstLine="240" w:firstLineChars="100"/>
        <w:rPr>
          <w:sz w:val="24"/>
          <w:lang w:eastAsia="zh-CN"/>
        </w:rPr>
      </w:pPr>
      <w:r>
        <w:rPr>
          <w:rFonts w:hint="eastAsia"/>
          <w:sz w:val="24"/>
          <w:lang w:eastAsia="zh-CN"/>
        </w:rPr>
        <w:t>1.1甲方有权对设备维修的质量、进度、安全等进行监督检查，协调维修中的有关事项，并对乙方设备维修进行全过程跟踪监督和管理。乙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sz w:val="24"/>
          <w:lang w:eastAsia="zh-CN"/>
        </w:rPr>
      </w:pPr>
      <w:r>
        <w:rPr>
          <w:rFonts w:hint="eastAsia"/>
          <w:sz w:val="24"/>
          <w:lang w:eastAsia="zh-CN"/>
        </w:rPr>
        <w:t>1.2 施工用水、电由甲方提供。甲方为乙方的维修服务提供配合，如设备断电及保护。</w:t>
      </w:r>
    </w:p>
    <w:p>
      <w:pPr>
        <w:pStyle w:val="11"/>
        <w:spacing w:before="0" w:beforeAutospacing="0" w:after="0" w:afterAutospacing="0" w:line="360" w:lineRule="auto"/>
        <w:ind w:firstLine="240" w:firstLineChars="100"/>
        <w:rPr>
          <w:color w:val="3C3C3C"/>
        </w:rPr>
      </w:pPr>
      <w:r>
        <w:rPr>
          <w:rFonts w:hint="eastAsia" w:cs="Times New Roman"/>
          <w:kern w:val="2"/>
        </w:rPr>
        <w:t xml:space="preserve">1.3 </w:t>
      </w:r>
      <w:r>
        <w:rPr>
          <w:rFonts w:hint="eastAsia"/>
          <w:color w:val="3C3C3C"/>
        </w:rPr>
        <w:t>按合同约定向乙方支付款项。</w:t>
      </w:r>
    </w:p>
    <w:p>
      <w:pPr>
        <w:pStyle w:val="11"/>
        <w:spacing w:before="0" w:beforeAutospacing="0" w:after="0" w:afterAutospacing="0" w:line="360" w:lineRule="auto"/>
        <w:ind w:firstLine="240" w:firstLineChars="100"/>
        <w:rPr>
          <w:color w:val="3C3C3C"/>
        </w:rPr>
      </w:pPr>
      <w:r>
        <w:rPr>
          <w:rFonts w:hint="eastAsia" w:cs="Times New Roman"/>
          <w:kern w:val="2"/>
        </w:rPr>
        <w:t xml:space="preserve">1.4 </w:t>
      </w:r>
      <w:r>
        <w:rPr>
          <w:rFonts w:hint="eastAsia"/>
          <w:color w:val="3C3C3C"/>
        </w:rPr>
        <w:t>负责组织工程验收工作，竣工资料的合并及归档。</w:t>
      </w:r>
    </w:p>
    <w:p>
      <w:pPr>
        <w:tabs>
          <w:tab w:val="left" w:pos="2010"/>
        </w:tabs>
        <w:spacing w:line="360" w:lineRule="auto"/>
        <w:ind w:firstLine="240" w:firstLineChars="100"/>
        <w:rPr>
          <w:sz w:val="24"/>
          <w:lang w:eastAsia="zh-CN"/>
        </w:rPr>
      </w:pPr>
      <w:r>
        <w:rPr>
          <w:rFonts w:hint="eastAsia"/>
          <w:sz w:val="24"/>
          <w:lang w:eastAsia="zh-CN"/>
        </w:rPr>
        <w:t>2、乙方工作</w:t>
      </w:r>
    </w:p>
    <w:p>
      <w:pPr>
        <w:pStyle w:val="11"/>
        <w:spacing w:before="0" w:beforeAutospacing="0" w:after="0" w:afterAutospacing="0" w:line="360" w:lineRule="auto"/>
        <w:ind w:firstLine="240" w:firstLineChars="100"/>
        <w:rPr>
          <w:rFonts w:cs="Times New Roman"/>
          <w:kern w:val="2"/>
        </w:rPr>
      </w:pPr>
      <w:r>
        <w:rPr>
          <w:rFonts w:hint="eastAsia" w:cs="Times New Roman"/>
          <w:kern w:val="2"/>
        </w:rPr>
        <w:t>2.1乙方对所提供的产品必须确保质量符合国家标准及技术规范书的要求，按时、按质、按量完成工程。</w:t>
      </w:r>
    </w:p>
    <w:p>
      <w:pPr>
        <w:pStyle w:val="11"/>
        <w:spacing w:before="0" w:beforeAutospacing="0" w:after="0" w:afterAutospacing="0" w:line="360" w:lineRule="auto"/>
        <w:ind w:firstLine="240" w:firstLineChars="100"/>
        <w:rPr>
          <w:rFonts w:cs="Times New Roman"/>
          <w:kern w:val="2"/>
        </w:rPr>
      </w:pPr>
      <w:r>
        <w:rPr>
          <w:rFonts w:hint="eastAsia" w:cs="Times New Roman"/>
          <w:kern w:val="2"/>
        </w:rPr>
        <w:t>2.2乙方必须按甲方技术规范要求及使用需要提供产品。在维修过程中，乙方提供技术支持和服务。</w:t>
      </w:r>
    </w:p>
    <w:p>
      <w:pPr>
        <w:tabs>
          <w:tab w:val="left" w:pos="2010"/>
        </w:tabs>
        <w:spacing w:line="360" w:lineRule="auto"/>
        <w:ind w:firstLine="240" w:firstLineChars="100"/>
        <w:rPr>
          <w:sz w:val="24"/>
          <w:lang w:eastAsia="zh-CN"/>
        </w:rPr>
      </w:pPr>
      <w:r>
        <w:rPr>
          <w:rFonts w:hint="eastAsia"/>
          <w:sz w:val="24"/>
          <w:lang w:eastAsia="zh-CN"/>
        </w:rPr>
        <w:t>2.3乙方应当保证所提供的各项服务不侵犯任何第三方的权利（包括但不限于知识产权），如造成任何纠纷应由乙方负责处理，并赔偿因此给甲方造成的损失。</w:t>
      </w:r>
    </w:p>
    <w:p>
      <w:pPr>
        <w:tabs>
          <w:tab w:val="left" w:pos="2010"/>
        </w:tabs>
        <w:spacing w:line="360" w:lineRule="auto"/>
        <w:ind w:firstLine="240" w:firstLineChars="100"/>
        <w:rPr>
          <w:sz w:val="24"/>
          <w:lang w:eastAsia="zh-CN"/>
        </w:rPr>
      </w:pPr>
      <w:r>
        <w:rPr>
          <w:rFonts w:hint="eastAsia"/>
          <w:sz w:val="24"/>
          <w:lang w:eastAsia="zh-CN"/>
        </w:rPr>
        <w:t>2.4 维修结束后乙方向甲方提供更换的设备及配件清单一式二份。</w:t>
      </w:r>
    </w:p>
    <w:p>
      <w:pPr>
        <w:tabs>
          <w:tab w:val="left" w:pos="2010"/>
        </w:tabs>
        <w:spacing w:line="360" w:lineRule="auto"/>
        <w:ind w:firstLine="240" w:firstLineChars="100"/>
        <w:rPr>
          <w:sz w:val="24"/>
          <w:lang w:eastAsia="zh-CN"/>
        </w:rPr>
      </w:pPr>
      <w:r>
        <w:rPr>
          <w:rFonts w:hint="eastAsia"/>
          <w:sz w:val="24"/>
          <w:lang w:eastAsia="zh-CN"/>
        </w:rPr>
        <w:t>2.5 严格按本合同约定及甲方要求的质量、进度进行安全文明施工。</w:t>
      </w:r>
    </w:p>
    <w:p>
      <w:pPr>
        <w:tabs>
          <w:tab w:val="left" w:pos="2010"/>
        </w:tabs>
        <w:spacing w:line="360" w:lineRule="auto"/>
        <w:ind w:firstLine="240" w:firstLineChars="100"/>
        <w:rPr>
          <w:sz w:val="24"/>
          <w:lang w:eastAsia="zh-CN"/>
        </w:rPr>
      </w:pPr>
      <w:r>
        <w:rPr>
          <w:rFonts w:hint="eastAsia"/>
          <w:sz w:val="24"/>
          <w:lang w:eastAsia="zh-CN"/>
        </w:rPr>
        <w:t>2.6 必须服从甲方或甲方所委托的第三方的管理。</w:t>
      </w:r>
    </w:p>
    <w:p>
      <w:pPr>
        <w:tabs>
          <w:tab w:val="left" w:pos="2010"/>
        </w:tabs>
        <w:spacing w:line="360" w:lineRule="auto"/>
        <w:ind w:firstLine="240" w:firstLineChars="100"/>
        <w:rPr>
          <w:sz w:val="24"/>
          <w:lang w:eastAsia="zh-CN"/>
        </w:rPr>
      </w:pPr>
      <w:r>
        <w:rPr>
          <w:rFonts w:hint="eastAsia"/>
          <w:sz w:val="24"/>
          <w:lang w:eastAsia="zh-CN"/>
        </w:rPr>
        <w:t>2.7 制定和优化质量保证体系，有效控制施工质量。</w:t>
      </w:r>
    </w:p>
    <w:p>
      <w:pPr>
        <w:tabs>
          <w:tab w:val="left" w:pos="2010"/>
        </w:tabs>
        <w:spacing w:line="360" w:lineRule="auto"/>
        <w:ind w:firstLine="240" w:firstLineChars="100"/>
        <w:rPr>
          <w:sz w:val="24"/>
          <w:lang w:eastAsia="zh-CN"/>
        </w:rPr>
      </w:pPr>
      <w:r>
        <w:rPr>
          <w:rFonts w:hint="eastAsia"/>
          <w:sz w:val="24"/>
          <w:lang w:eastAsia="zh-CN"/>
        </w:rPr>
        <w:t>2.8 乙方负责维修服务所需设备、材料及配件（包括领用甲方提供的配件，如有）的保管。</w:t>
      </w:r>
    </w:p>
    <w:p>
      <w:pPr>
        <w:tabs>
          <w:tab w:val="left" w:pos="2010"/>
        </w:tabs>
        <w:spacing w:line="360" w:lineRule="auto"/>
        <w:ind w:firstLine="240" w:firstLineChars="100"/>
        <w:rPr>
          <w:sz w:val="24"/>
          <w:lang w:eastAsia="zh-CN"/>
        </w:rPr>
      </w:pPr>
      <w:r>
        <w:rPr>
          <w:rFonts w:hint="eastAsia"/>
          <w:sz w:val="24"/>
          <w:lang w:eastAsia="zh-CN"/>
        </w:rPr>
        <w:t>2.9 乙方负责维修服务期间施工场地的安全保卫工作。</w:t>
      </w:r>
    </w:p>
    <w:p>
      <w:pPr>
        <w:tabs>
          <w:tab w:val="left" w:pos="2010"/>
        </w:tabs>
        <w:spacing w:line="360" w:lineRule="auto"/>
        <w:ind w:firstLine="240" w:firstLineChars="100"/>
        <w:rPr>
          <w:sz w:val="24"/>
          <w:lang w:eastAsia="zh-CN"/>
        </w:rPr>
      </w:pPr>
      <w:r>
        <w:rPr>
          <w:rFonts w:hint="eastAsia"/>
          <w:sz w:val="24"/>
          <w:lang w:eastAsia="zh-CN"/>
        </w:rPr>
        <w:t>2.10 乙方人员必须遵纪守法，乙方人员发生的违法、乱纪（盗窃、打架斗殴）事件，乙方承担由此造成法律责任和各种经济损失。</w:t>
      </w:r>
    </w:p>
    <w:p>
      <w:pPr>
        <w:tabs>
          <w:tab w:val="left" w:pos="2010"/>
        </w:tabs>
        <w:spacing w:line="360" w:lineRule="auto"/>
        <w:ind w:firstLine="240" w:firstLineChars="100"/>
        <w:rPr>
          <w:sz w:val="24"/>
          <w:lang w:eastAsia="zh-CN"/>
        </w:rPr>
      </w:pPr>
      <w:r>
        <w:rPr>
          <w:rFonts w:hint="eastAsia"/>
          <w:sz w:val="24"/>
          <w:lang w:eastAsia="zh-CN"/>
        </w:rPr>
        <w:t>2.11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360" w:lineRule="auto"/>
        <w:ind w:left="1" w:firstLine="240" w:firstLineChars="100"/>
        <w:rPr>
          <w:sz w:val="24"/>
          <w:lang w:eastAsia="zh-CN"/>
        </w:rPr>
      </w:pPr>
      <w:r>
        <w:rPr>
          <w:rFonts w:hint="eastAsia"/>
          <w:sz w:val="24"/>
          <w:lang w:eastAsia="zh-CN"/>
        </w:rPr>
        <w:t>2.12 维修安全责任由乙方承担，发生各类安全事故，乙方应及时报告甲方，不得隐瞒。甲方有权根据有关规定组织、参与事故的调查处理。因乙方原因造成甲方或任何第三方人身、财产损失的，由乙方承担全部赔偿责任。</w:t>
      </w:r>
    </w:p>
    <w:p>
      <w:pPr>
        <w:tabs>
          <w:tab w:val="left" w:pos="2010"/>
        </w:tabs>
        <w:spacing w:line="360" w:lineRule="auto"/>
        <w:ind w:left="1" w:firstLine="240" w:firstLineChars="100"/>
        <w:rPr>
          <w:sz w:val="24"/>
          <w:lang w:eastAsia="zh-CN"/>
        </w:rPr>
      </w:pPr>
      <w:r>
        <w:rPr>
          <w:rFonts w:hint="eastAsia"/>
          <w:sz w:val="24"/>
          <w:lang w:eastAsia="zh-CN"/>
        </w:rPr>
        <w:t>2.13 乙方工作人员进入施工现场实行进出场登记制度（登记身份证的全部信息），登记表由乙方项目负责人签字认可后提交甲方。</w:t>
      </w:r>
    </w:p>
    <w:p>
      <w:pPr>
        <w:spacing w:line="360" w:lineRule="auto"/>
        <w:ind w:firstLine="180"/>
        <w:rPr>
          <w:sz w:val="24"/>
          <w:lang w:eastAsia="zh-CN"/>
        </w:rPr>
      </w:pPr>
      <w:r>
        <w:rPr>
          <w:rFonts w:hint="eastAsia"/>
          <w:sz w:val="24"/>
          <w:lang w:eastAsia="zh-CN"/>
        </w:rPr>
        <w:t>3、乙方应遵守以下安全条件：</w:t>
      </w:r>
    </w:p>
    <w:p>
      <w:pPr>
        <w:spacing w:line="360" w:lineRule="auto"/>
        <w:ind w:firstLine="240" w:firstLineChars="100"/>
        <w:rPr>
          <w:sz w:val="24"/>
          <w:lang w:eastAsia="zh-CN"/>
        </w:rPr>
      </w:pPr>
      <w:r>
        <w:rPr>
          <w:rFonts w:hint="eastAsia"/>
          <w:sz w:val="24"/>
          <w:lang w:eastAsia="zh-CN"/>
        </w:rPr>
        <w:t>3.</w:t>
      </w:r>
      <w:r>
        <w:rPr>
          <w:sz w:val="24"/>
          <w:lang w:eastAsia="zh-CN"/>
        </w:rPr>
        <w:t>1</w:t>
      </w:r>
      <w:r>
        <w:rPr>
          <w:rFonts w:hint="eastAsia"/>
          <w:sz w:val="24"/>
          <w:lang w:eastAsia="zh-CN"/>
        </w:rPr>
        <w:t xml:space="preserve"> 应办临时出入证，进入现场应进行“三级”(即厂级、车间级、班组级)安全教育。</w:t>
      </w:r>
    </w:p>
    <w:p>
      <w:pPr>
        <w:spacing w:line="360" w:lineRule="auto"/>
        <w:ind w:firstLine="240" w:firstLineChars="100"/>
        <w:rPr>
          <w:sz w:val="24"/>
          <w:lang w:eastAsia="zh-CN"/>
        </w:rPr>
      </w:pPr>
      <w:r>
        <w:rPr>
          <w:rFonts w:hint="eastAsia"/>
          <w:sz w:val="24"/>
          <w:lang w:eastAsia="zh-CN"/>
        </w:rPr>
        <w:t>3.2 应认真贯彻执行国家《安全生产法》、《安全生产条例》、《消防法》、《环境保护法》、《劳动法》和《职业卫生防治法》等法律法规，以及遵守“甲方”的各项安全管理制度。</w:t>
      </w:r>
    </w:p>
    <w:p>
      <w:pPr>
        <w:spacing w:line="360" w:lineRule="auto"/>
        <w:ind w:firstLine="240" w:firstLineChars="100"/>
        <w:rPr>
          <w:sz w:val="24"/>
          <w:lang w:eastAsia="zh-CN"/>
        </w:rPr>
      </w:pPr>
      <w:r>
        <w:rPr>
          <w:rFonts w:hint="eastAsia"/>
          <w:sz w:val="24"/>
          <w:lang w:eastAsia="zh-CN"/>
        </w:rPr>
        <w:t>3.3 操作人员未经现场人员同意，不得随意动用现场的设备、管路、阀门等。</w:t>
      </w:r>
    </w:p>
    <w:p>
      <w:pPr>
        <w:spacing w:line="360" w:lineRule="auto"/>
        <w:ind w:firstLine="240" w:firstLineChars="100"/>
        <w:rPr>
          <w:sz w:val="24"/>
          <w:lang w:eastAsia="zh-CN"/>
        </w:rPr>
      </w:pPr>
      <w:r>
        <w:rPr>
          <w:rFonts w:hint="eastAsia"/>
          <w:sz w:val="24"/>
          <w:lang w:eastAsia="zh-CN"/>
        </w:rPr>
        <w:t>3.4 应严格执行动火证、动土证、入罐证、登高作业证、盲板抽堵证、临时施工用电票等，严禁违章作业。</w:t>
      </w:r>
    </w:p>
    <w:p>
      <w:pPr>
        <w:spacing w:line="360" w:lineRule="auto"/>
        <w:ind w:firstLine="240" w:firstLineChars="100"/>
        <w:rPr>
          <w:sz w:val="24"/>
          <w:lang w:eastAsia="zh-CN"/>
        </w:rPr>
      </w:pPr>
      <w:r>
        <w:rPr>
          <w:rFonts w:hint="eastAsia"/>
          <w:sz w:val="24"/>
          <w:lang w:eastAsia="zh-CN"/>
        </w:rPr>
        <w:t>3.5 应按规定穿戴好劳动保护用品，进入检修现场须戴好安全帽，登高作业须佩带好安全带，禁止穿拖鞋。</w:t>
      </w:r>
    </w:p>
    <w:p>
      <w:pPr>
        <w:spacing w:line="360" w:lineRule="auto"/>
        <w:ind w:firstLine="240" w:firstLineChars="100"/>
        <w:rPr>
          <w:sz w:val="24"/>
          <w:lang w:eastAsia="zh-CN"/>
        </w:rPr>
      </w:pPr>
      <w:r>
        <w:rPr>
          <w:rFonts w:hint="eastAsia"/>
          <w:sz w:val="24"/>
          <w:lang w:eastAsia="zh-CN"/>
        </w:rPr>
        <w:t>3.6 应严格遵守防火防爆等禁令和规定，不准携带火种等危险物品进入生产区，严禁在厂区内抽烟。</w:t>
      </w:r>
    </w:p>
    <w:p>
      <w:pPr>
        <w:spacing w:line="360" w:lineRule="auto"/>
        <w:ind w:firstLine="240" w:firstLineChars="100"/>
        <w:rPr>
          <w:sz w:val="24"/>
          <w:lang w:eastAsia="zh-CN"/>
        </w:rPr>
      </w:pPr>
      <w:r>
        <w:rPr>
          <w:rFonts w:hint="eastAsia"/>
          <w:sz w:val="24"/>
          <w:lang w:eastAsia="zh-CN"/>
        </w:rPr>
        <w:t>3.7 严禁酒后上班，上班期间严禁饮酒、赌博。</w:t>
      </w:r>
    </w:p>
    <w:p>
      <w:pPr>
        <w:spacing w:line="360" w:lineRule="auto"/>
        <w:ind w:firstLine="240" w:firstLineChars="100"/>
        <w:rPr>
          <w:sz w:val="24"/>
          <w:lang w:eastAsia="zh-CN"/>
        </w:rPr>
      </w:pPr>
      <w:r>
        <w:rPr>
          <w:rFonts w:hint="eastAsia"/>
          <w:sz w:val="24"/>
          <w:lang w:eastAsia="zh-CN"/>
        </w:rPr>
        <w:t>3.8 进入厂区的车辆应遵守厂内交通管理有关规定和各种安全制度，申报厂内临时通行证，按厂内行停车标志认真执行。</w:t>
      </w:r>
    </w:p>
    <w:p>
      <w:pPr>
        <w:spacing w:line="360" w:lineRule="auto"/>
        <w:ind w:firstLine="240" w:firstLineChars="100"/>
        <w:rPr>
          <w:sz w:val="24"/>
          <w:lang w:eastAsia="zh-CN"/>
        </w:rPr>
      </w:pPr>
      <w:r>
        <w:rPr>
          <w:rFonts w:hint="eastAsia"/>
          <w:sz w:val="24"/>
          <w:lang w:eastAsia="zh-CN"/>
        </w:rPr>
        <w:t>3.9 现场配备消防器材不得挪作他用，并保持消防器材附近无障碍物。</w:t>
      </w:r>
    </w:p>
    <w:p>
      <w:pPr>
        <w:spacing w:line="360" w:lineRule="auto"/>
        <w:ind w:firstLine="240" w:firstLineChars="100"/>
        <w:rPr>
          <w:sz w:val="24"/>
          <w:lang w:eastAsia="zh-CN"/>
        </w:rPr>
      </w:pPr>
      <w:r>
        <w:rPr>
          <w:rFonts w:hint="eastAsia"/>
          <w:sz w:val="24"/>
          <w:lang w:eastAsia="zh-CN"/>
        </w:rPr>
        <w:t>3.10 应主动接受安全教育、培训和考核，持证上岗。</w:t>
      </w:r>
    </w:p>
    <w:p>
      <w:pPr>
        <w:tabs>
          <w:tab w:val="left" w:pos="2010"/>
        </w:tabs>
        <w:spacing w:line="360" w:lineRule="auto"/>
        <w:rPr>
          <w:b/>
          <w:sz w:val="28"/>
          <w:szCs w:val="28"/>
          <w:lang w:eastAsia="zh-CN"/>
        </w:rPr>
      </w:pPr>
      <w:r>
        <w:rPr>
          <w:rFonts w:hint="eastAsia"/>
          <w:b/>
          <w:sz w:val="28"/>
          <w:szCs w:val="28"/>
          <w:lang w:eastAsia="zh-CN"/>
        </w:rPr>
        <w:t>第五条 服务质量与验收</w:t>
      </w:r>
    </w:p>
    <w:p>
      <w:pPr>
        <w:tabs>
          <w:tab w:val="left" w:pos="2010"/>
        </w:tabs>
        <w:spacing w:line="360" w:lineRule="auto"/>
        <w:ind w:left="1" w:firstLine="240" w:firstLineChars="100"/>
        <w:rPr>
          <w:sz w:val="24"/>
          <w:lang w:eastAsia="zh-CN"/>
        </w:rPr>
      </w:pPr>
      <w:r>
        <w:rPr>
          <w:rFonts w:hint="eastAsia"/>
          <w:sz w:val="24"/>
          <w:lang w:eastAsia="zh-CN"/>
        </w:rPr>
        <w:t>1、乙方严格按本合同及技术规范书约定提供维修服务，严格按施工验收标准组织施工及验收，维修质量达到约定标准。验收合格以甲方书面确认为准。详见附件“技术规范书”</w:t>
      </w:r>
    </w:p>
    <w:p>
      <w:pPr>
        <w:tabs>
          <w:tab w:val="left" w:pos="2010"/>
        </w:tabs>
        <w:spacing w:line="360" w:lineRule="auto"/>
        <w:ind w:left="1" w:firstLine="240" w:firstLineChars="100"/>
        <w:rPr>
          <w:sz w:val="24"/>
          <w:lang w:eastAsia="zh-CN"/>
        </w:rPr>
      </w:pPr>
      <w:r>
        <w:rPr>
          <w:rFonts w:hint="eastAsia"/>
          <w:sz w:val="24"/>
          <w:lang w:eastAsia="zh-CN"/>
        </w:rPr>
        <w:t>2、工程质量达不到约定标准的部分，乙方应返工直至达到约定标准为止，乙方应承担因返工所发生的一切施工费用，包含配件费用和人工费用等。</w:t>
      </w:r>
    </w:p>
    <w:p>
      <w:pPr>
        <w:tabs>
          <w:tab w:val="left" w:pos="2010"/>
        </w:tabs>
        <w:spacing w:line="360" w:lineRule="auto"/>
        <w:ind w:firstLine="240" w:firstLineChars="100"/>
        <w:rPr>
          <w:sz w:val="24"/>
          <w:lang w:eastAsia="zh-CN"/>
        </w:rPr>
      </w:pPr>
      <w:r>
        <w:rPr>
          <w:rFonts w:hint="eastAsia"/>
          <w:sz w:val="24"/>
          <w:lang w:eastAsia="zh-CN"/>
        </w:rPr>
        <w:t>3、乙方应为甲方的检查、检验的提供便利条件。</w:t>
      </w:r>
    </w:p>
    <w:p>
      <w:pPr>
        <w:tabs>
          <w:tab w:val="left" w:pos="2010"/>
        </w:tabs>
        <w:spacing w:line="360" w:lineRule="auto"/>
        <w:ind w:left="1" w:firstLine="240" w:firstLineChars="100"/>
        <w:rPr>
          <w:sz w:val="24"/>
          <w:lang w:eastAsia="zh-CN"/>
        </w:rPr>
      </w:pPr>
      <w:r>
        <w:rPr>
          <w:rFonts w:hint="eastAsia"/>
          <w:sz w:val="24"/>
          <w:lang w:eastAsia="zh-CN"/>
        </w:rPr>
        <w:t>4、因乙方未按合同约定标准提供维修服务造成设备事故或设备无法正常使用的的，甲方有权视情节轻重对乙方进行扣罚，扣罚幅度由甲方掌握；扣罚的金额从支付给乙方的应付款项中扣除，应付款项不足扣除的，乙方仍需赔偿。</w:t>
      </w:r>
    </w:p>
    <w:p>
      <w:pPr>
        <w:pStyle w:val="8"/>
        <w:spacing w:line="360" w:lineRule="auto"/>
        <w:ind w:left="1" w:firstLine="240" w:firstLineChars="100"/>
        <w:rPr>
          <w:rFonts w:hAnsi="宋体"/>
          <w:sz w:val="24"/>
          <w:szCs w:val="24"/>
          <w:lang w:eastAsia="zh-CN"/>
        </w:rPr>
      </w:pPr>
      <w:r>
        <w:rPr>
          <w:rFonts w:hAnsi="宋体"/>
          <w:sz w:val="24"/>
          <w:lang w:eastAsia="zh-CN"/>
        </w:rPr>
        <w:t>5、</w:t>
      </w:r>
      <w:r>
        <w:rPr>
          <w:rFonts w:hAnsi="宋体"/>
          <w:sz w:val="24"/>
          <w:szCs w:val="24"/>
          <w:lang w:eastAsia="zh-CN"/>
        </w:rPr>
        <w:t>双方确定，甲方指定</w:t>
      </w:r>
      <w:r>
        <w:rPr>
          <w:rFonts w:hAnsi="宋体"/>
          <w:sz w:val="24"/>
          <w:szCs w:val="24"/>
          <w:u w:val="single"/>
          <w:lang w:eastAsia="zh-CN"/>
        </w:rPr>
        <w:t xml:space="preserve"> 谭海华19959614219 </w:t>
      </w:r>
      <w:r>
        <w:rPr>
          <w:rFonts w:hAnsi="宋体"/>
          <w:sz w:val="24"/>
          <w:szCs w:val="24"/>
          <w:lang w:eastAsia="zh-CN"/>
        </w:rPr>
        <w:t>为甲方项目联系人，乙方指定</w:t>
      </w:r>
      <w:r>
        <w:rPr>
          <w:rFonts w:hAnsi="宋体"/>
          <w:sz w:val="24"/>
          <w:szCs w:val="24"/>
          <w:u w:val="single"/>
          <w:lang w:eastAsia="zh-CN"/>
        </w:rPr>
        <w:t xml:space="preserve"> </w:t>
      </w:r>
      <w:r>
        <w:rPr>
          <w:rFonts w:hint="eastAsia" w:hAnsi="宋体"/>
          <w:sz w:val="24"/>
          <w:szCs w:val="24"/>
          <w:u w:val="single"/>
          <w:lang w:eastAsia="zh-CN"/>
        </w:rPr>
        <w:t xml:space="preserve"> </w:t>
      </w:r>
      <w:r>
        <w:rPr>
          <w:rFonts w:hAnsi="宋体"/>
          <w:sz w:val="24"/>
          <w:szCs w:val="24"/>
          <w:u w:val="single"/>
          <w:lang w:eastAsia="zh-CN"/>
        </w:rPr>
        <w:t xml:space="preserve"> </w:t>
      </w:r>
      <w:r>
        <w:rPr>
          <w:rFonts w:hAnsi="宋体"/>
          <w:sz w:val="24"/>
          <w:szCs w:val="24"/>
          <w:lang w:eastAsia="zh-CN"/>
        </w:rPr>
        <w:t>为乙方项目联系人。项目联系人承担以下责任：</w:t>
      </w:r>
    </w:p>
    <w:p>
      <w:pPr>
        <w:pStyle w:val="8"/>
        <w:spacing w:line="360" w:lineRule="auto"/>
        <w:ind w:firstLine="960" w:firstLineChars="400"/>
        <w:rPr>
          <w:rFonts w:hAnsi="宋体"/>
          <w:sz w:val="24"/>
          <w:szCs w:val="24"/>
          <w:u w:val="single"/>
          <w:lang w:eastAsia="zh-CN"/>
        </w:rPr>
      </w:pPr>
      <w:r>
        <w:rPr>
          <w:rFonts w:hAnsi="宋体"/>
          <w:sz w:val="24"/>
          <w:szCs w:val="24"/>
          <w:u w:val="single"/>
          <w:lang w:eastAsia="zh-CN"/>
        </w:rPr>
        <w:t xml:space="preserve">  </w:t>
      </w:r>
      <w:r>
        <w:rPr>
          <w:rFonts w:hAnsi="宋体" w:cs="宋体"/>
          <w:sz w:val="24"/>
          <w:szCs w:val="24"/>
          <w:u w:val="single"/>
          <w:lang w:eastAsia="zh-CN"/>
        </w:rPr>
        <w:t>联系具体项目进度并实施</w:t>
      </w:r>
      <w:r>
        <w:rPr>
          <w:rFonts w:hAnsi="宋体"/>
          <w:sz w:val="24"/>
          <w:szCs w:val="24"/>
          <w:u w:val="single"/>
          <w:lang w:eastAsia="zh-CN"/>
        </w:rPr>
        <w:t xml:space="preserve">     </w:t>
      </w:r>
    </w:p>
    <w:p>
      <w:pPr>
        <w:tabs>
          <w:tab w:val="left" w:pos="2010"/>
        </w:tabs>
        <w:spacing w:line="520" w:lineRule="exact"/>
        <w:rPr>
          <w:b/>
          <w:sz w:val="28"/>
          <w:szCs w:val="28"/>
          <w:lang w:eastAsia="zh-CN"/>
        </w:rPr>
      </w:pPr>
      <w:r>
        <w:rPr>
          <w:rFonts w:hint="eastAsia"/>
          <w:b/>
          <w:sz w:val="28"/>
          <w:szCs w:val="28"/>
          <w:lang w:eastAsia="zh-CN"/>
        </w:rPr>
        <w:t>第六条  保修</w:t>
      </w:r>
    </w:p>
    <w:p>
      <w:pPr>
        <w:tabs>
          <w:tab w:val="left" w:pos="2010"/>
        </w:tabs>
        <w:spacing w:line="360" w:lineRule="auto"/>
        <w:ind w:firstLine="360" w:firstLineChars="150"/>
        <w:rPr>
          <w:sz w:val="24"/>
          <w:lang w:eastAsia="zh-CN"/>
        </w:rPr>
      </w:pPr>
      <w:r>
        <w:rPr>
          <w:rFonts w:hint="eastAsia"/>
          <w:sz w:val="24"/>
          <w:lang w:eastAsia="zh-CN"/>
        </w:rPr>
        <w:t>1、乙方就其维修工作，提供</w:t>
      </w:r>
      <w:r>
        <w:rPr>
          <w:rFonts w:hint="eastAsia"/>
          <w:sz w:val="24"/>
          <w:u w:val="single"/>
          <w:lang w:eastAsia="zh-CN"/>
        </w:rPr>
        <w:t xml:space="preserve"> 1 </w:t>
      </w:r>
      <w:r>
        <w:rPr>
          <w:rFonts w:hint="eastAsia"/>
          <w:sz w:val="24"/>
          <w:lang w:eastAsia="zh-CN"/>
        </w:rPr>
        <w:t>年的保修服务，保修期自改造完成并验收合格之日起计算。</w:t>
      </w:r>
    </w:p>
    <w:p>
      <w:pPr>
        <w:tabs>
          <w:tab w:val="left" w:pos="2010"/>
        </w:tabs>
        <w:spacing w:line="360" w:lineRule="auto"/>
        <w:ind w:firstLine="360" w:firstLineChars="150"/>
        <w:rPr>
          <w:sz w:val="24"/>
          <w:lang w:eastAsia="zh-CN"/>
        </w:rPr>
      </w:pPr>
      <w:r>
        <w:rPr>
          <w:rFonts w:hint="eastAsia"/>
          <w:sz w:val="24"/>
          <w:lang w:eastAsia="zh-CN"/>
        </w:rPr>
        <w:t>2、乙方应在保修期内按照甲方要求提供免费保修服务，确保设备的正常运行。乙方拒绝提供保修服务的，每次应向甲方支付违约金</w:t>
      </w:r>
      <w:r>
        <w:rPr>
          <w:rFonts w:hint="eastAsia"/>
          <w:sz w:val="24"/>
          <w:u w:val="single"/>
          <w:lang w:eastAsia="zh-CN"/>
        </w:rPr>
        <w:t xml:space="preserve"> 1000 </w:t>
      </w:r>
      <w:r>
        <w:rPr>
          <w:rFonts w:hint="eastAsia"/>
          <w:sz w:val="24"/>
          <w:lang w:eastAsia="zh-CN"/>
        </w:rPr>
        <w:t>元；甲方亦有权委托第三方提供保修服务，费用由乙方承担。</w:t>
      </w:r>
    </w:p>
    <w:p>
      <w:pPr>
        <w:tabs>
          <w:tab w:val="left" w:pos="2010"/>
        </w:tabs>
        <w:spacing w:line="360" w:lineRule="auto"/>
        <w:ind w:firstLine="360" w:firstLineChars="150"/>
        <w:rPr>
          <w:sz w:val="24"/>
          <w:lang w:eastAsia="zh-CN"/>
        </w:rPr>
      </w:pPr>
      <w:r>
        <w:rPr>
          <w:rFonts w:hint="eastAsia"/>
          <w:sz w:val="24"/>
          <w:lang w:eastAsia="zh-CN"/>
        </w:rPr>
        <w:t>3、货物或配件在保修期内若发生故障或破损，乙方应免费予以更换（同一型号、产地），而更换部分的免费保修期从更换后再延长1年。</w:t>
      </w:r>
    </w:p>
    <w:p>
      <w:pPr>
        <w:tabs>
          <w:tab w:val="left" w:pos="2010"/>
        </w:tabs>
        <w:spacing w:line="520" w:lineRule="exact"/>
        <w:rPr>
          <w:b/>
          <w:sz w:val="28"/>
          <w:szCs w:val="28"/>
          <w:lang w:eastAsia="zh-CN"/>
        </w:rPr>
      </w:pPr>
      <w:r>
        <w:rPr>
          <w:rFonts w:hint="eastAsia"/>
          <w:b/>
          <w:sz w:val="28"/>
          <w:szCs w:val="28"/>
          <w:lang w:eastAsia="zh-CN"/>
        </w:rPr>
        <w:t>第七条  违约责任</w:t>
      </w:r>
    </w:p>
    <w:p>
      <w:pPr>
        <w:tabs>
          <w:tab w:val="left" w:pos="2010"/>
        </w:tabs>
        <w:spacing w:line="520" w:lineRule="exact"/>
        <w:ind w:firstLine="235" w:firstLineChars="98"/>
        <w:rPr>
          <w:color w:val="3C3C3C"/>
          <w:sz w:val="24"/>
          <w:lang w:eastAsia="zh-CN"/>
        </w:rPr>
      </w:pPr>
      <w:r>
        <w:rPr>
          <w:rFonts w:hint="eastAsia"/>
          <w:sz w:val="24"/>
          <w:lang w:eastAsia="zh-CN"/>
        </w:rPr>
        <w:t>1、在合同有效期内，任何一方无正当理由违反合同约定，应承担违约责任。乙方不履行合同义务或履行合同义务不符合合同要求，经甲方催办仍不履行/采取补救措施的，甲方有权解除合同，同时乙方应承担违约责任并向甲方支付本合同总金额20%的违约金</w:t>
      </w:r>
      <w:r>
        <w:rPr>
          <w:rFonts w:hint="eastAsia"/>
          <w:color w:val="3C3C3C"/>
          <w:sz w:val="24"/>
          <w:lang w:eastAsia="zh-CN"/>
        </w:rPr>
        <w:t>。</w:t>
      </w:r>
    </w:p>
    <w:p>
      <w:pPr>
        <w:pStyle w:val="11"/>
        <w:spacing w:before="0" w:beforeAutospacing="0" w:after="0" w:afterAutospacing="0" w:line="360" w:lineRule="auto"/>
        <w:ind w:firstLine="240" w:firstLineChars="100"/>
        <w:jc w:val="both"/>
      </w:pPr>
      <w:r>
        <w:rPr>
          <w:rFonts w:hint="eastAsia"/>
          <w:color w:val="3C3C3C"/>
        </w:rPr>
        <w:t>2、</w:t>
      </w:r>
      <w:r>
        <w:rPr>
          <w:rFonts w:hint="eastAsia"/>
        </w:rPr>
        <w:t>乙方未在甲方规定的工期期限内完成，并指派人员到现场服务的，每逾期一日，甲方有权扣减总合同款项</w:t>
      </w:r>
      <w:r>
        <w:rPr>
          <w:u w:val="single"/>
        </w:rPr>
        <w:t xml:space="preserve"> </w:t>
      </w:r>
      <w:r>
        <w:rPr>
          <w:rFonts w:hint="eastAsia"/>
          <w:u w:val="single"/>
        </w:rPr>
        <w:t>0.1</w:t>
      </w:r>
      <w:r>
        <w:rPr>
          <w:u w:val="single"/>
        </w:rPr>
        <w:t xml:space="preserve"> </w:t>
      </w:r>
      <w:r>
        <w:rPr>
          <w:rFonts w:hint="eastAsia"/>
        </w:rPr>
        <w:t>%的违约金；逾期超过</w:t>
      </w:r>
      <w:r>
        <w:rPr>
          <w:u w:val="single"/>
        </w:rPr>
        <w:t xml:space="preserve"> </w:t>
      </w:r>
      <w:r>
        <w:rPr>
          <w:rFonts w:hint="eastAsia"/>
          <w:u w:val="single"/>
        </w:rPr>
        <w:t>30</w:t>
      </w:r>
      <w:r>
        <w:rPr>
          <w:u w:val="single"/>
        </w:rPr>
        <w:t xml:space="preserve"> </w:t>
      </w:r>
      <w:r>
        <w:rPr>
          <w:rFonts w:hint="eastAsia"/>
        </w:rPr>
        <w:t>日的，甲方还有权解除本合同、拒绝结算，甲方有权要求乙方支付合同总金额</w:t>
      </w:r>
      <w:r>
        <w:rPr>
          <w:rFonts w:hint="eastAsia"/>
          <w:u w:val="single"/>
        </w:rPr>
        <w:t>20%</w:t>
      </w:r>
      <w:r>
        <w:rPr>
          <w:rFonts w:hint="eastAsia"/>
        </w:rPr>
        <w:t>的违约金，并要求乙方赔偿损失。</w:t>
      </w:r>
    </w:p>
    <w:p>
      <w:pPr>
        <w:pStyle w:val="11"/>
        <w:spacing w:before="0" w:beforeAutospacing="0" w:after="0" w:afterAutospacing="0" w:line="360" w:lineRule="auto"/>
        <w:ind w:firstLine="240" w:firstLineChars="100"/>
        <w:jc w:val="both"/>
      </w:pPr>
      <w:r>
        <w:rPr>
          <w:rFonts w:hint="eastAsia"/>
        </w:rPr>
        <w:t>3、</w:t>
      </w:r>
      <w:r>
        <w:rPr>
          <w:rFonts w:hint="eastAsia"/>
          <w:color w:val="000000"/>
        </w:rPr>
        <w:t>因乙方工作失误导致甲方设备损坏，乙方应赔偿甲方相应损失并负责修复工作，且由此造成逾期修复的，按逾期修复承担责任。</w:t>
      </w:r>
    </w:p>
    <w:p>
      <w:pPr>
        <w:pStyle w:val="11"/>
        <w:spacing w:before="0" w:beforeAutospacing="0" w:after="0" w:afterAutospacing="0" w:line="360" w:lineRule="auto"/>
        <w:ind w:firstLine="240" w:firstLineChars="100"/>
        <w:jc w:val="both"/>
      </w:pPr>
      <w:r>
        <w:rPr>
          <w:rFonts w:hint="eastAsia"/>
        </w:rPr>
        <w:t>4、如甲方逾期付款，应按全国银行间同业拆借中心公布的贷款市场报价利率向乙方支付利息。</w:t>
      </w:r>
    </w:p>
    <w:p>
      <w:pPr>
        <w:pStyle w:val="11"/>
        <w:spacing w:before="0" w:beforeAutospacing="0" w:after="0" w:afterAutospacing="0" w:line="360" w:lineRule="auto"/>
        <w:ind w:firstLine="240" w:firstLineChars="100"/>
        <w:jc w:val="both"/>
        <w:rPr>
          <w:color w:val="3C3C3C"/>
        </w:rPr>
      </w:pPr>
      <w:r>
        <w:rPr>
          <w:rFonts w:hint="eastAsia"/>
        </w:rPr>
        <w:t>5、其他附件“技术规范书”中规定的违约责任，如“技术规范书”中的违约责任与主合同规定不符的，以对乙方较严格的条款执行。</w:t>
      </w:r>
    </w:p>
    <w:p>
      <w:pPr>
        <w:tabs>
          <w:tab w:val="left" w:pos="2010"/>
        </w:tabs>
        <w:spacing w:line="520" w:lineRule="exact"/>
        <w:rPr>
          <w:b/>
          <w:sz w:val="28"/>
          <w:szCs w:val="28"/>
          <w:lang w:eastAsia="zh-CN"/>
        </w:rPr>
      </w:pPr>
      <w:r>
        <w:rPr>
          <w:rFonts w:hint="eastAsia"/>
          <w:b/>
          <w:sz w:val="28"/>
          <w:szCs w:val="28"/>
          <w:lang w:eastAsia="zh-CN"/>
        </w:rPr>
        <w:t>第八条 争议</w:t>
      </w:r>
    </w:p>
    <w:p>
      <w:pPr>
        <w:tabs>
          <w:tab w:val="left" w:pos="2010"/>
        </w:tabs>
        <w:spacing w:line="360" w:lineRule="auto"/>
        <w:ind w:firstLine="480" w:firstLineChars="200"/>
        <w:rPr>
          <w:sz w:val="24"/>
          <w:lang w:eastAsia="zh-CN"/>
        </w:rPr>
      </w:pPr>
      <w:r>
        <w:rPr>
          <w:rFonts w:hint="eastAsia"/>
          <w:sz w:val="24"/>
          <w:lang w:eastAsia="zh-CN"/>
        </w:rPr>
        <w:t>甲乙双方在履行合同过程中，发生争议和纠纷时，双方应友好协商解决，经协商无法解决时，向甲方所在地的人民法院提起诉讼。</w:t>
      </w:r>
    </w:p>
    <w:p>
      <w:pPr>
        <w:tabs>
          <w:tab w:val="left" w:pos="2010"/>
        </w:tabs>
        <w:spacing w:line="520" w:lineRule="exact"/>
        <w:rPr>
          <w:b/>
          <w:sz w:val="28"/>
          <w:szCs w:val="28"/>
          <w:lang w:eastAsia="zh-CN"/>
        </w:rPr>
      </w:pPr>
      <w:r>
        <w:rPr>
          <w:rFonts w:hint="eastAsia"/>
          <w:b/>
          <w:sz w:val="28"/>
          <w:szCs w:val="28"/>
          <w:lang w:eastAsia="zh-CN"/>
        </w:rPr>
        <w:t>第九条 通知</w:t>
      </w:r>
    </w:p>
    <w:p>
      <w:pPr>
        <w:spacing w:line="360" w:lineRule="auto"/>
        <w:ind w:firstLine="360" w:firstLineChars="15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tabs>
          <w:tab w:val="left" w:pos="2010"/>
        </w:tabs>
        <w:spacing w:line="520" w:lineRule="exact"/>
        <w:rPr>
          <w:b/>
          <w:sz w:val="28"/>
          <w:szCs w:val="28"/>
          <w:lang w:eastAsia="zh-CN"/>
        </w:rPr>
      </w:pPr>
      <w:r>
        <w:rPr>
          <w:rFonts w:hint="eastAsia"/>
          <w:b/>
          <w:sz w:val="28"/>
          <w:szCs w:val="28"/>
          <w:lang w:eastAsia="zh-CN"/>
        </w:rPr>
        <w:t>第十条  不可抗力</w:t>
      </w:r>
    </w:p>
    <w:p>
      <w:pPr>
        <w:tabs>
          <w:tab w:val="left" w:pos="2010"/>
        </w:tabs>
        <w:spacing w:line="520" w:lineRule="exact"/>
        <w:ind w:firstLine="431" w:firstLineChars="196"/>
        <w:rPr>
          <w:color w:val="000000"/>
          <w:lang w:eastAsia="zh-CN"/>
        </w:rPr>
      </w:pPr>
      <w:r>
        <w:rPr>
          <w:rFonts w:hint="eastAsia"/>
          <w:color w:val="000000"/>
          <w:lang w:eastAsia="zh-CN"/>
        </w:rPr>
        <w:t>合同履行过程中，双方的任何一方由于不可抗力的原因不能履行合同时应于该原因/事件发生后</w:t>
      </w:r>
      <w:r>
        <w:rPr>
          <w:rFonts w:hint="eastAsia"/>
          <w:color w:val="000000"/>
          <w:u w:val="single"/>
          <w:lang w:eastAsia="zh-CN"/>
        </w:rPr>
        <w:t>10</w:t>
      </w:r>
      <w:r>
        <w:rPr>
          <w:rFonts w:hint="eastAsia"/>
          <w:color w:val="000000"/>
          <w:lang w:eastAsia="zh-CN"/>
        </w:rPr>
        <w:t>日内向对方通报，并提供有效证明文件，并由双方协商是否全部或部分免除履行合同的责任或延期履行合同。</w:t>
      </w:r>
    </w:p>
    <w:p>
      <w:pPr>
        <w:pStyle w:val="11"/>
        <w:spacing w:before="0" w:beforeAutospacing="0" w:after="0" w:afterAutospacing="0" w:line="360" w:lineRule="auto"/>
        <w:rPr>
          <w:rFonts w:ascii="Times New Roman" w:hAnsi="Times New Roman" w:cs="Times New Roman"/>
          <w:b/>
          <w:kern w:val="2"/>
          <w:sz w:val="28"/>
          <w:szCs w:val="28"/>
        </w:rPr>
      </w:pPr>
      <w:r>
        <w:rPr>
          <w:rFonts w:hint="eastAsia" w:ascii="Times New Roman" w:hAnsi="Times New Roman" w:cs="Times New Roman"/>
          <w:b/>
          <w:kern w:val="2"/>
          <w:sz w:val="28"/>
          <w:szCs w:val="28"/>
        </w:rPr>
        <w:t>第十一条 合同份数及生效和终止</w:t>
      </w:r>
    </w:p>
    <w:p>
      <w:pPr>
        <w:pStyle w:val="11"/>
        <w:spacing w:before="0" w:beforeAutospacing="0" w:after="0" w:afterAutospacing="0" w:line="360" w:lineRule="auto"/>
        <w:rPr>
          <w:color w:val="3C3C3C"/>
        </w:rPr>
      </w:pPr>
      <w:r>
        <w:rPr>
          <w:rFonts w:hint="eastAsia"/>
          <w:color w:val="3C3C3C"/>
        </w:rPr>
        <w:t>1、本合同经双方盖章后立即生效。</w:t>
      </w:r>
    </w:p>
    <w:p>
      <w:pPr>
        <w:pStyle w:val="11"/>
        <w:spacing w:before="0" w:beforeAutospacing="0" w:after="0" w:afterAutospacing="0" w:line="360" w:lineRule="auto"/>
        <w:rPr>
          <w:color w:val="3C3C3C"/>
        </w:rPr>
      </w:pPr>
      <w:r>
        <w:rPr>
          <w:rFonts w:hint="eastAsia"/>
          <w:color w:val="3C3C3C"/>
        </w:rPr>
        <w:t>2、</w:t>
      </w:r>
      <w:r>
        <w:rPr>
          <w:rFonts w:hint="eastAsia"/>
        </w:rPr>
        <w:t>本合同经双方签订后生效。合同正本陆份，甲方执肆份，乙方执贰份，具有同等法律效力。</w:t>
      </w:r>
    </w:p>
    <w:p>
      <w:pPr>
        <w:tabs>
          <w:tab w:val="left" w:pos="2010"/>
        </w:tabs>
        <w:spacing w:line="360" w:lineRule="auto"/>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lang w:eastAsia="zh-CN"/>
        </w:rPr>
      </w:pPr>
      <w:r>
        <w:rPr>
          <w:rFonts w:hint="eastAsia"/>
          <w:sz w:val="24"/>
          <w:lang w:eastAsia="zh-CN"/>
        </w:rPr>
        <w:t>附件1：技术规范书</w:t>
      </w:r>
    </w:p>
    <w:p>
      <w:pPr>
        <w:tabs>
          <w:tab w:val="left" w:pos="2010"/>
        </w:tabs>
        <w:spacing w:line="360" w:lineRule="auto"/>
        <w:rPr>
          <w:sz w:val="24"/>
          <w:lang w:eastAsia="zh-CN"/>
        </w:rPr>
      </w:pPr>
      <w:r>
        <w:rPr>
          <w:rFonts w:hint="eastAsia"/>
          <w:sz w:val="24"/>
          <w:lang w:eastAsia="zh-CN"/>
        </w:rPr>
        <w:t>附件2：分项价格表</w:t>
      </w:r>
    </w:p>
    <w:p>
      <w:pPr>
        <w:tabs>
          <w:tab w:val="left" w:pos="2010"/>
        </w:tabs>
        <w:spacing w:line="360" w:lineRule="auto"/>
        <w:rPr>
          <w:sz w:val="24"/>
          <w:lang w:eastAsia="zh-CN"/>
        </w:rPr>
      </w:pPr>
      <w:r>
        <w:rPr>
          <w:rFonts w:hint="eastAsia" w:cs="Arial"/>
          <w:sz w:val="24"/>
          <w:lang w:eastAsia="zh-CN"/>
        </w:rPr>
        <w:t>附件3：</w:t>
      </w:r>
      <w:r>
        <w:rPr>
          <w:rFonts w:hint="eastAsia"/>
          <w:sz w:val="24"/>
          <w:lang w:eastAsia="zh-CN"/>
        </w:rPr>
        <w:t>安全环保协议</w:t>
      </w:r>
    </w:p>
    <w:p>
      <w:pPr>
        <w:pStyle w:val="2"/>
        <w:spacing w:line="360" w:lineRule="auto"/>
        <w:rPr>
          <w:sz w:val="24"/>
          <w:szCs w:val="24"/>
        </w:rPr>
      </w:pPr>
      <w:r>
        <w:rPr>
          <w:rFonts w:hint="eastAsia"/>
          <w:sz w:val="24"/>
          <w:szCs w:val="24"/>
        </w:rPr>
        <w:t>附件4：</w:t>
      </w:r>
      <w:r>
        <w:rPr>
          <w:rFonts w:hint="eastAsia" w:hAnsi="宋体"/>
          <w:snapToGrid w:val="0"/>
          <w:sz w:val="24"/>
          <w:szCs w:val="24"/>
        </w:rPr>
        <w:t>建设项目廉洁从业承诺书</w:t>
      </w:r>
    </w:p>
    <w:p>
      <w:pPr>
        <w:tabs>
          <w:tab w:val="left" w:pos="2010"/>
        </w:tabs>
        <w:spacing w:line="360" w:lineRule="auto"/>
        <w:rPr>
          <w:rFonts w:cs="Arial"/>
          <w:b/>
          <w:sz w:val="24"/>
          <w:lang w:eastAsia="zh-CN"/>
        </w:rPr>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b/>
          <w:sz w:val="24"/>
          <w:lang w:eastAsia="zh-CN"/>
        </w:rPr>
      </w:pPr>
      <w:r>
        <w:rPr>
          <w:rFonts w:hint="eastAsia"/>
          <w:b/>
          <w:spacing w:val="20"/>
          <w:sz w:val="24"/>
          <w:lang w:eastAsia="zh-CN"/>
        </w:rPr>
        <w:t xml:space="preserve">腾龙芳烃（漳州）有限公司          </w:t>
      </w:r>
    </w:p>
    <w:p>
      <w:pPr>
        <w:spacing w:line="360" w:lineRule="auto"/>
        <w:ind w:right="-147" w:rightChars="-67"/>
        <w:rPr>
          <w:rFonts w:cs="Arial"/>
          <w:b/>
          <w:sz w:val="24"/>
          <w:lang w:eastAsia="zh-CN"/>
        </w:rPr>
      </w:pPr>
    </w:p>
    <w:p>
      <w:pPr>
        <w:spacing w:line="360" w:lineRule="auto"/>
        <w:ind w:left="832" w:right="-147" w:rightChars="-67" w:hanging="831" w:hangingChars="378"/>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 xml:space="preserve">福建省漳州市古雷开发区        </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szCs w:val="21"/>
          <w:lang w:eastAsia="zh-CN"/>
        </w:rPr>
        <w:t xml:space="preserve"> </w:t>
      </w:r>
    </w:p>
    <w:p>
      <w:pPr>
        <w:spacing w:line="360" w:lineRule="auto"/>
        <w:ind w:left="832" w:leftChars="378" w:right="-147" w:rightChars="-67"/>
        <w:rPr>
          <w:lang w:eastAsia="zh-CN"/>
        </w:rPr>
      </w:pPr>
      <w:r>
        <w:rPr>
          <w:rFonts w:hint="eastAsia" w:hAnsi="Courier New" w:cs="Courier New"/>
          <w:szCs w:val="21"/>
          <w:lang w:eastAsia="zh-CN"/>
        </w:rPr>
        <w:t xml:space="preserve">腾龙路84号                                    </w:t>
      </w:r>
    </w:p>
    <w:p>
      <w:pPr>
        <w:spacing w:line="360" w:lineRule="auto"/>
        <w:ind w:left="1038" w:right="-147" w:rightChars="-67" w:hanging="1038" w:hangingChars="472"/>
        <w:rPr>
          <w:lang w:eastAsia="zh-CN"/>
        </w:rPr>
      </w:pPr>
      <w:r>
        <w:rPr>
          <w:rFonts w:hint="eastAsia"/>
          <w:szCs w:val="21"/>
          <w:lang w:eastAsia="zh-CN"/>
        </w:rPr>
        <w:t>开户行：中国农业银行股份有限公司漳浦         开户行：</w:t>
      </w:r>
      <w:r>
        <w:rPr>
          <w:lang w:eastAsia="zh-CN"/>
        </w:rPr>
        <w:t xml:space="preserve"> </w:t>
      </w:r>
    </w:p>
    <w:p>
      <w:pPr>
        <w:spacing w:line="360" w:lineRule="auto"/>
        <w:ind w:left="1038" w:right="-147" w:rightChars="-67" w:hanging="1038" w:hangingChars="472"/>
        <w:rPr>
          <w:lang w:eastAsia="zh-CN"/>
        </w:rPr>
      </w:pPr>
      <w:r>
        <w:rPr>
          <w:rFonts w:hint="eastAsia"/>
          <w:lang w:eastAsia="zh-CN"/>
        </w:rPr>
        <w:t xml:space="preserve">        </w:t>
      </w:r>
      <w:r>
        <w:rPr>
          <w:rFonts w:hint="eastAsia"/>
          <w:szCs w:val="21"/>
          <w:lang w:eastAsia="zh-CN"/>
        </w:rPr>
        <w:t>古雷石化支行</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13641501040004550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bCs/>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spacing w:line="360" w:lineRule="auto"/>
        <w:ind w:right="-147" w:rightChars="-67"/>
        <w:rPr>
          <w:szCs w:val="21"/>
          <w:lang w:eastAsia="zh-CN"/>
        </w:rPr>
      </w:pPr>
    </w:p>
    <w:p>
      <w:pPr>
        <w:spacing w:line="360" w:lineRule="auto"/>
        <w:ind w:right="-147" w:rightChars="-67"/>
        <w:rPr>
          <w:szCs w:val="21"/>
          <w:lang w:eastAsia="zh-CN"/>
        </w:rPr>
      </w:pPr>
    </w:p>
    <w:p>
      <w:pPr>
        <w:spacing w:line="300" w:lineRule="exact"/>
        <w:rPr>
          <w:lang w:eastAsia="zh-CN"/>
        </w:rPr>
      </w:pPr>
      <w:r>
        <w:rPr>
          <w:rFonts w:hint="eastAsia" w:asciiTheme="majorEastAsia" w:hAnsiTheme="majorEastAsia" w:eastAsiaTheme="majorEastAsia"/>
          <w:b/>
          <w:color w:val="000000"/>
          <w:sz w:val="30"/>
          <w:szCs w:val="30"/>
          <w:lang w:eastAsia="zh-CN"/>
        </w:rPr>
        <w:t>附件1：</w:t>
      </w:r>
    </w:p>
    <w:p>
      <w:pPr>
        <w:pStyle w:val="2"/>
        <w:spacing w:line="360" w:lineRule="auto"/>
      </w:pPr>
    </w:p>
    <w:p>
      <w:pPr>
        <w:spacing w:line="360" w:lineRule="auto"/>
        <w:jc w:val="center"/>
        <w:rPr>
          <w:rFonts w:ascii="黑体" w:hAnsi="黑体" w:eastAsia="黑体"/>
          <w:sz w:val="44"/>
          <w:szCs w:val="44"/>
          <w:lang w:eastAsia="zh-CN"/>
        </w:rPr>
      </w:pPr>
      <w:r>
        <w:rPr>
          <w:rFonts w:hint="eastAsia" w:ascii="黑体" w:hAnsi="黑体" w:eastAsia="黑体"/>
          <w:sz w:val="44"/>
          <w:szCs w:val="44"/>
          <w:lang w:eastAsia="zh-CN"/>
        </w:rPr>
        <w:t>技术规范书</w:t>
      </w:r>
    </w:p>
    <w:p>
      <w:pPr>
        <w:pStyle w:val="2"/>
        <w:spacing w:line="360" w:lineRule="auto"/>
      </w:pPr>
    </w:p>
    <w:p>
      <w:pPr>
        <w:pStyle w:val="2"/>
      </w:pPr>
    </w:p>
    <w:p>
      <w:pPr>
        <w:spacing w:line="400" w:lineRule="exact"/>
        <w:ind w:left="262" w:hanging="262" w:hangingChars="87"/>
        <w:rPr>
          <w:rFonts w:asciiTheme="majorEastAsia" w:hAnsiTheme="majorEastAsia" w:eastAsiaTheme="majorEastAsia"/>
          <w:b/>
          <w:color w:val="000000"/>
          <w:sz w:val="30"/>
          <w:szCs w:val="30"/>
          <w:lang w:eastAsia="zh-CN"/>
        </w:rPr>
      </w:pPr>
      <w:r>
        <w:rPr>
          <w:rFonts w:hint="eastAsia" w:asciiTheme="majorEastAsia" w:hAnsiTheme="majorEastAsia" w:eastAsiaTheme="majorEastAsia"/>
          <w:b/>
          <w:color w:val="000000"/>
          <w:sz w:val="30"/>
          <w:szCs w:val="30"/>
          <w:lang w:eastAsia="zh-CN"/>
        </w:rPr>
        <w:t>附件3：</w:t>
      </w:r>
    </w:p>
    <w:p>
      <w:pPr>
        <w:pStyle w:val="8"/>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腾龙芳烃（漳州）有限公司</w:t>
      </w:r>
      <w:r>
        <w:rPr>
          <w:rFonts w:hint="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w:t>
      </w:r>
      <w:r>
        <w:rPr>
          <w:rFonts w:hint="eastAsia" w:asciiTheme="majorEastAsia" w:hAnsiTheme="majorEastAsia" w:eastAsiaTheme="majorEastAsia"/>
          <w:bCs/>
          <w:sz w:val="21"/>
          <w:szCs w:val="21"/>
          <w:u w:val="single"/>
          <w:lang w:eastAsia="zh-CN"/>
        </w:rPr>
        <w:t>220KV GIS、35KV气体绝缘封闭式开关柜维修及预防性试验</w:t>
      </w:r>
      <w:r>
        <w:rPr>
          <w:rFonts w:hint="eastAsia"/>
          <w:sz w:val="21"/>
          <w:szCs w:val="21"/>
          <w:u w:val="single"/>
          <w:lang w:eastAsia="zh-CN"/>
        </w:rPr>
        <w:t>项目</w:t>
      </w:r>
      <w:r>
        <w:rPr>
          <w:rFonts w:hint="eastAsia" w:asciiTheme="minorEastAsia" w:hAnsiTheme="minorEastAsia" w:eastAsiaTheme="minorEastAsia"/>
          <w:szCs w:val="21"/>
          <w:lang w:eastAsia="zh-CN"/>
        </w:rPr>
        <w:t>签订了</w:t>
      </w:r>
      <w:r>
        <w:rPr>
          <w:rFonts w:hint="eastAsia" w:asciiTheme="minorEastAsia" w:hAnsiTheme="minorEastAsia" w:eastAsiaTheme="minorEastAsia"/>
          <w:szCs w:val="21"/>
          <w:u w:val="single"/>
          <w:lang w:eastAsia="zh-CN"/>
        </w:rPr>
        <w:t xml:space="preserve">服务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依据《中华人民共和国安全生产法》、《中华人民共和国环境保护法》等相关法规及腾龙芳烃（漳州）有限公司HSE管理制度，经双方协商，双方自愿签订本安全环保协议，作为主合同的附件。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甲方负责对乙方进行厂级和部门级安全培训教育和考核，考核合格方可办理入厂手续。</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1" w:hanging="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left="-187" w:hanging="1"/>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left="-187" w:hanging="1"/>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82"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105" w:hanging="1"/>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ind w:left="-105" w:hanging="1"/>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20"/>
        <w:numPr>
          <w:ilvl w:val="0"/>
          <w:numId w:val="2"/>
        </w:numPr>
        <w:autoSpaceDE/>
        <w:autoSpaceDN/>
        <w:spacing w:before="0" w:line="550" w:lineRule="exact"/>
        <w:ind w:left="0" w:firstLine="0"/>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 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 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ind w:left="-551" w:leftChars="-339" w:hanging="195" w:hangingChars="89"/>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rPr>
          <w:szCs w:val="21"/>
          <w:lang w:eastAsia="zh-CN"/>
        </w:rPr>
      </w:pPr>
      <w:r>
        <w:rPr>
          <w:rFonts w:hint="eastAsia"/>
          <w:szCs w:val="21"/>
          <w:lang w:eastAsia="zh-CN"/>
        </w:rPr>
        <w:t xml:space="preserve">腾龙芳烃（漳州）有限公司                    </w:t>
      </w:r>
    </w:p>
    <w:p>
      <w:pPr>
        <w:spacing w:line="276" w:lineRule="auto"/>
        <w:rPr>
          <w:szCs w:val="21"/>
          <w:lang w:eastAsia="zh-CN"/>
        </w:rPr>
      </w:pPr>
    </w:p>
    <w:p>
      <w:pPr>
        <w:spacing w:line="276" w:lineRule="auto"/>
        <w:rPr>
          <w:szCs w:val="21"/>
          <w:lang w:eastAsia="zh-CN"/>
        </w:rPr>
      </w:pPr>
    </w:p>
    <w:p>
      <w:pPr>
        <w:spacing w:line="276" w:lineRule="auto"/>
        <w:rPr>
          <w:szCs w:val="21"/>
          <w:lang w:eastAsia="zh-CN"/>
        </w:rPr>
      </w:pPr>
    </w:p>
    <w:p>
      <w:pPr>
        <w:spacing w:line="276" w:lineRule="auto"/>
        <w:rPr>
          <w:b/>
          <w:sz w:val="32"/>
          <w:szCs w:val="32"/>
          <w:lang w:eastAsia="zh-CN"/>
        </w:rPr>
      </w:pPr>
      <w:r>
        <w:rPr>
          <w:rFonts w:hint="eastAsia"/>
          <w:szCs w:val="21"/>
          <w:lang w:eastAsia="zh-CN"/>
        </w:rPr>
        <w:t xml:space="preserve">签定日期：     年    月    日                      </w:t>
      </w:r>
    </w:p>
    <w:p>
      <w:pPr>
        <w:pStyle w:val="8"/>
        <w:spacing w:line="360" w:lineRule="auto"/>
        <w:rPr>
          <w:rFonts w:asciiTheme="minorEastAsia" w:hAnsiTheme="minorEastAsia" w:eastAsiaTheme="minorEastAsia"/>
          <w:sz w:val="24"/>
          <w:szCs w:val="24"/>
          <w:lang w:eastAsia="zh-CN"/>
        </w:rPr>
      </w:pPr>
    </w:p>
    <w:p>
      <w:pPr>
        <w:pStyle w:val="8"/>
        <w:spacing w:line="360" w:lineRule="auto"/>
        <w:rPr>
          <w:rFonts w:asciiTheme="minorEastAsia" w:hAnsiTheme="minorEastAsia" w:eastAsiaTheme="minorEastAsia"/>
          <w:sz w:val="24"/>
          <w:szCs w:val="24"/>
          <w:lang w:eastAsia="zh-CN"/>
        </w:rPr>
      </w:pPr>
    </w:p>
    <w:p>
      <w:pPr>
        <w:spacing w:line="300" w:lineRule="exact"/>
        <w:rPr>
          <w:sz w:val="32"/>
          <w:szCs w:val="32"/>
          <w:lang w:eastAsia="zh-CN"/>
        </w:rPr>
      </w:pPr>
      <w:r>
        <w:rPr>
          <w:rFonts w:hint="eastAsia"/>
          <w:sz w:val="32"/>
          <w:szCs w:val="32"/>
          <w:lang w:eastAsia="zh-CN"/>
        </w:rPr>
        <w:t>附件4：</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480" w:lineRule="exact"/>
        <w:rPr>
          <w:color w:val="000000"/>
          <w:sz w:val="21"/>
          <w:szCs w:val="21"/>
          <w:lang w:eastAsia="zh-CN"/>
        </w:rPr>
      </w:pPr>
      <w:r>
        <w:rPr>
          <w:rFonts w:hint="eastAsia"/>
          <w:snapToGrid w:val="0"/>
          <w:sz w:val="21"/>
          <w:szCs w:val="21"/>
          <w:lang w:eastAsia="zh-CN"/>
        </w:rPr>
        <w:t>项目名称：</w:t>
      </w:r>
      <w:r>
        <w:rPr>
          <w:rFonts w:hint="eastAsia" w:asciiTheme="majorEastAsia" w:hAnsiTheme="majorEastAsia" w:eastAsiaTheme="majorEastAsia"/>
          <w:bCs/>
          <w:sz w:val="21"/>
          <w:szCs w:val="21"/>
          <w:lang w:eastAsia="zh-CN"/>
        </w:rPr>
        <w:t>220KV GIS、35KV气体绝缘封闭式开关柜维修及预防性试验</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漳州市古雷经济开发区腾龙路86</w:t>
      </w:r>
      <w:r>
        <w:rPr>
          <w:sz w:val="21"/>
          <w:szCs w:val="21"/>
          <w:lang w:eastAsia="zh-CN"/>
        </w:rPr>
        <w:t>号</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 xml:space="preserve">腾龙芳烃（漳州）有限公司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pPr>
        <w:pStyle w:val="7"/>
        <w:adjustRightInd w:val="0"/>
        <w:spacing w:after="156" w:line="360" w:lineRule="auto"/>
        <w:ind w:left="440" w:firstLine="482"/>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w:t>
      </w:r>
      <w:r>
        <w:rPr>
          <w:sz w:val="21"/>
          <w:szCs w:val="21"/>
          <w:lang w:eastAsia="zh-CN"/>
        </w:rPr>
        <w:t xml:space="preserve">6号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rPr>
          <w:sz w:val="21"/>
          <w:szCs w:val="21"/>
          <w:lang w:eastAsia="zh-CN"/>
        </w:rPr>
      </w:pPr>
    </w:p>
    <w:p>
      <w:pPr>
        <w:spacing w:line="300" w:lineRule="exact"/>
        <w:rPr>
          <w:lang w:eastAsia="zh-CN"/>
        </w:rPr>
      </w:pPr>
    </w:p>
    <w:p>
      <w:pPr>
        <w:spacing w:line="300" w:lineRule="exact"/>
        <w:rPr>
          <w:lang w:eastAsia="zh-CN"/>
        </w:rPr>
      </w:pPr>
    </w:p>
    <w:p>
      <w:pPr>
        <w:pStyle w:val="8"/>
        <w:spacing w:line="360" w:lineRule="auto"/>
        <w:rPr>
          <w:rFonts w:asciiTheme="minorEastAsia" w:hAnsiTheme="minorEastAsia" w:eastAsiaTheme="minorEastAsia"/>
          <w:sz w:val="24"/>
          <w:szCs w:val="24"/>
          <w:lang w:eastAsia="zh-CN"/>
        </w:rPr>
      </w:pPr>
    </w:p>
    <w:p>
      <w:pPr>
        <w:spacing w:before="11"/>
        <w:rPr>
          <w:b/>
          <w:bCs/>
          <w:sz w:val="24"/>
          <w:szCs w:val="24"/>
          <w:lang w:eastAsia="zh-CN"/>
        </w:rPr>
      </w:pPr>
      <w:r>
        <w:rPr>
          <w:lang w:eastAsia="zh-CN"/>
        </w:rPr>
        <w:br w:type="column"/>
      </w:r>
      <w:bookmarkStart w:id="9" w:name="_Toc251742852"/>
      <w:r>
        <w:rPr>
          <w:rFonts w:hint="eastAsia"/>
          <w:b/>
          <w:bCs/>
          <w:sz w:val="24"/>
          <w:szCs w:val="24"/>
          <w:lang w:eastAsia="zh-CN"/>
        </w:rPr>
        <w:t>附件三、参选文件范本</w:t>
      </w:r>
    </w:p>
    <w:p>
      <w:pPr>
        <w:pStyle w:val="2"/>
        <w:rPr>
          <w:sz w:val="24"/>
          <w:szCs w:val="24"/>
        </w:rPr>
      </w:pPr>
    </w:p>
    <w:p>
      <w:pPr>
        <w:pStyle w:val="2"/>
        <w:rPr>
          <w:sz w:val="24"/>
          <w:szCs w:val="24"/>
        </w:rPr>
      </w:pPr>
      <w:r>
        <w:rPr>
          <w:rFonts w:hint="eastAsia"/>
          <w:sz w:val="24"/>
          <w:szCs w:val="24"/>
        </w:rPr>
        <w:t>附件1、</w:t>
      </w:r>
    </w:p>
    <w:p>
      <w:pPr>
        <w:pStyle w:val="8"/>
        <w:jc w:val="center"/>
        <w:rPr>
          <w:rFonts w:ascii="Times New Roman" w:hAnsi="Times New Roman"/>
          <w:b/>
          <w:sz w:val="52"/>
          <w:szCs w:val="52"/>
          <w:lang w:eastAsia="zh-CN"/>
        </w:rPr>
      </w:pPr>
    </w:p>
    <w:p>
      <w:pPr>
        <w:spacing w:line="520" w:lineRule="exact"/>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的车辆及人员信息、以往承揽类似业绩的合同等其他可以证明参选人具有良好业绩的相关材料，凡弄虚作假的，一经查实，比选人有权取消其中选资格。）</w:t>
      </w:r>
    </w:p>
    <w:p>
      <w:pPr>
        <w:spacing w:line="520" w:lineRule="exact"/>
        <w:rPr>
          <w:color w:val="000000"/>
          <w:sz w:val="24"/>
          <w:szCs w:val="24"/>
          <w:lang w:eastAsia="zh-CN"/>
        </w:rPr>
      </w:pPr>
    </w:p>
    <w:p>
      <w:pPr>
        <w:spacing w:line="520" w:lineRule="exact"/>
        <w:rPr>
          <w:sz w:val="24"/>
          <w:szCs w:val="24"/>
          <w:lang w:eastAsia="zh-CN"/>
        </w:rPr>
      </w:pPr>
      <w:r>
        <w:rPr>
          <w:rFonts w:hint="eastAsia"/>
          <w:color w:val="000000"/>
          <w:sz w:val="24"/>
          <w:szCs w:val="24"/>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ajorEastAsia" w:hAnsiTheme="majorEastAsia" w:eastAsiaTheme="majorEastAsia"/>
          <w:bCs/>
          <w:sz w:val="24"/>
          <w:szCs w:val="24"/>
          <w:lang w:eastAsia="zh-CN"/>
        </w:rPr>
        <w:t>220KV GIS、35KV气体绝缘封闭式开关柜维修及预防性试验</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8"/>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8"/>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38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bCs/>
          <w:sz w:val="24"/>
          <w:szCs w:val="24"/>
          <w:u w:val="single"/>
          <w:lang w:eastAsia="zh-CN"/>
        </w:rPr>
        <w:t>220KV GIS、35KV气体绝缘封闭式开关柜维修及预防性试验</w:t>
      </w:r>
      <w:r>
        <w:rPr>
          <w:rFonts w:hint="eastAsia" w:asciiTheme="majorEastAsia" w:hAnsiTheme="majorEastAsia" w:eastAsiaTheme="major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2"/>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22"/>
        <w:spacing w:beforeLines="0" w:afterLines="0" w:line="240" w:lineRule="auto"/>
        <w:ind w:firstLine="413" w:firstLineChars="147"/>
        <w:rPr>
          <w:rFonts w:ascii="Times New Roman" w:hAnsi="Times New Roman" w:cs="Times New Roman"/>
          <w:b/>
          <w:color w:val="FF0000"/>
          <w:lang w:eastAsia="zh-CN"/>
        </w:rPr>
      </w:pPr>
      <w:r>
        <w:rPr>
          <w:rFonts w:hint="eastAsia" w:ascii="Times New Roman" w:hAnsi="Times New Roman" w:cs="Times New Roman"/>
          <w:b/>
          <w:color w:val="FF0000"/>
          <w:lang w:eastAsia="zh-CN"/>
        </w:rPr>
        <w:t>（注：本报价单和附表需单独盖章密封）</w:t>
      </w:r>
    </w:p>
    <w:p>
      <w:pPr>
        <w:pStyle w:val="22"/>
        <w:spacing w:beforeLines="0" w:afterLines="0" w:line="240" w:lineRule="auto"/>
        <w:ind w:firstLine="548" w:firstLineChars="196"/>
        <w:rPr>
          <w:rFonts w:ascii="Times New Roman" w:hAnsi="Times New Roman" w:cs="Times New Roman"/>
          <w:b/>
          <w:lang w:eastAsia="zh-CN"/>
        </w:rPr>
      </w:pPr>
      <w:r>
        <w:rPr>
          <w:rFonts w:hint="eastAsia"/>
          <w:lang w:eastAsia="zh-CN"/>
        </w:rPr>
        <w:t>参选单位：</w:t>
      </w:r>
      <w:r>
        <w:rPr>
          <w:sz w:val="36"/>
          <w:lang w:eastAsia="zh-CN"/>
        </w:rPr>
        <w:t xml:space="preserve"> ____________________</w:t>
      </w:r>
    </w:p>
    <w:p>
      <w:pPr>
        <w:ind w:firstLine="560" w:firstLineChars="200"/>
        <w:rPr>
          <w:sz w:val="28"/>
          <w:u w:val="single"/>
          <w:lang w:eastAsia="zh-CN"/>
        </w:rPr>
      </w:pPr>
      <w:r>
        <w:rPr>
          <w:rFonts w:hint="eastAsia"/>
          <w:sz w:val="28"/>
          <w:lang w:eastAsia="zh-CN"/>
        </w:rPr>
        <w:t xml:space="preserve">项目名称： </w:t>
      </w:r>
      <w:r>
        <w:rPr>
          <w:rFonts w:hint="eastAsia" w:asciiTheme="majorEastAsia" w:hAnsiTheme="majorEastAsia" w:eastAsiaTheme="majorEastAsia"/>
          <w:bCs/>
          <w:sz w:val="24"/>
          <w:szCs w:val="24"/>
          <w:lang w:eastAsia="zh-CN"/>
        </w:rPr>
        <w:t>220KV GIS、35KV气体绝缘封闭式开关柜维修及预防性试验</w:t>
      </w:r>
    </w:p>
    <w:p>
      <w:pPr>
        <w:ind w:firstLine="560" w:firstLineChars="200"/>
        <w:rPr>
          <w:sz w:val="28"/>
          <w:lang w:eastAsia="zh-CN"/>
        </w:rPr>
      </w:pPr>
      <w:r>
        <w:rPr>
          <w:rFonts w:hint="eastAsia"/>
          <w:sz w:val="28"/>
          <w:lang w:eastAsia="zh-CN"/>
        </w:rPr>
        <w:t>参选报价：</w:t>
      </w:r>
    </w:p>
    <w:p>
      <w:pPr>
        <w:ind w:firstLine="1540" w:firstLineChars="550"/>
        <w:rPr>
          <w:b/>
          <w:color w:val="00B050"/>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pPr>
        <w:pStyle w:val="2"/>
        <w:spacing w:line="240" w:lineRule="auto"/>
        <w:rPr>
          <w:sz w:val="28"/>
          <w:szCs w:val="28"/>
        </w:rPr>
      </w:pPr>
      <w:r>
        <w:rPr>
          <w:rFonts w:hint="eastAsia"/>
          <w:sz w:val="28"/>
          <w:szCs w:val="28"/>
        </w:rPr>
        <w:t xml:space="preserve">            具体分项报价见附表“报价表”</w:t>
      </w:r>
    </w:p>
    <w:p>
      <w:pPr>
        <w:ind w:firstLine="840" w:firstLineChars="300"/>
        <w:rPr>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pPr>
        <w:pStyle w:val="2"/>
        <w:spacing w:line="240" w:lineRule="auto"/>
        <w:rPr>
          <w:sz w:val="28"/>
          <w:szCs w:val="28"/>
        </w:rPr>
      </w:pPr>
      <w:r>
        <w:rPr>
          <w:rFonts w:hint="eastAsia"/>
          <w:sz w:val="28"/>
          <w:szCs w:val="28"/>
        </w:rPr>
        <w:t xml:space="preserve">           2、付款方式：</w:t>
      </w:r>
      <w:r>
        <w:rPr>
          <w:rFonts w:hint="eastAsia"/>
          <w:sz w:val="28"/>
          <w:szCs w:val="28"/>
          <w:u w:val="single"/>
        </w:rPr>
        <w:t xml:space="preserve">                 </w:t>
      </w:r>
      <w:r>
        <w:rPr>
          <w:rFonts w:hint="eastAsia"/>
          <w:sz w:val="28"/>
          <w:szCs w:val="28"/>
        </w:rPr>
        <w:t>；</w:t>
      </w:r>
    </w:p>
    <w:p>
      <w:pPr>
        <w:pStyle w:val="2"/>
        <w:spacing w:line="240" w:lineRule="auto"/>
        <w:rPr>
          <w:sz w:val="28"/>
          <w:szCs w:val="28"/>
          <w:u w:val="single"/>
        </w:rPr>
      </w:pPr>
      <w:r>
        <w:rPr>
          <w:rFonts w:hint="eastAsia"/>
          <w:sz w:val="28"/>
          <w:szCs w:val="28"/>
        </w:rPr>
        <w:t xml:space="preserve">           3、服务期限：</w:t>
      </w:r>
      <w:r>
        <w:rPr>
          <w:rFonts w:hint="eastAsia"/>
          <w:sz w:val="28"/>
          <w:szCs w:val="28"/>
          <w:u w:val="single"/>
        </w:rPr>
        <w:t xml:space="preserve">                 </w:t>
      </w:r>
    </w:p>
    <w:p>
      <w:pPr>
        <w:pStyle w:val="2"/>
        <w:spacing w:line="240" w:lineRule="auto"/>
        <w:ind w:firstLine="560" w:firstLineChars="20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pPr>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pPr>
        <w:pStyle w:val="2"/>
      </w:pPr>
    </w:p>
    <w:p>
      <w:pPr>
        <w:pStyle w:val="2"/>
      </w:pPr>
    </w:p>
    <w:p>
      <w:pPr>
        <w:pStyle w:val="2"/>
      </w:pPr>
    </w:p>
    <w:p>
      <w:pPr>
        <w:pStyle w:val="2"/>
      </w:pPr>
    </w:p>
    <w:bookmarkEnd w:id="9"/>
    <w:p>
      <w:pPr>
        <w:pStyle w:val="6"/>
        <w:spacing w:before="106"/>
        <w:rPr>
          <w:lang w:eastAsia="zh-CN"/>
        </w:rPr>
      </w:pPr>
    </w:p>
    <w:p>
      <w:pPr>
        <w:pStyle w:val="6"/>
        <w:spacing w:before="106"/>
        <w:rPr>
          <w:lang w:eastAsia="zh-CN"/>
        </w:rPr>
      </w:pPr>
    </w:p>
    <w:p>
      <w:pPr>
        <w:pStyle w:val="6"/>
        <w:spacing w:before="106"/>
        <w:rPr>
          <w:lang w:eastAsia="zh-CN"/>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1">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94F"/>
    <w:rsid w:val="000056FD"/>
    <w:rsid w:val="0000761A"/>
    <w:rsid w:val="000248EF"/>
    <w:rsid w:val="0004059F"/>
    <w:rsid w:val="00044E6D"/>
    <w:rsid w:val="000459D3"/>
    <w:rsid w:val="00054C3E"/>
    <w:rsid w:val="00062313"/>
    <w:rsid w:val="00075F90"/>
    <w:rsid w:val="00082A22"/>
    <w:rsid w:val="000A68F3"/>
    <w:rsid w:val="000C05B1"/>
    <w:rsid w:val="000C3751"/>
    <w:rsid w:val="000D1D82"/>
    <w:rsid w:val="000D32E2"/>
    <w:rsid w:val="000E032E"/>
    <w:rsid w:val="000E3AD8"/>
    <w:rsid w:val="00144B4E"/>
    <w:rsid w:val="001503EF"/>
    <w:rsid w:val="0015787E"/>
    <w:rsid w:val="00175904"/>
    <w:rsid w:val="001877FB"/>
    <w:rsid w:val="00190E3D"/>
    <w:rsid w:val="00191802"/>
    <w:rsid w:val="00193817"/>
    <w:rsid w:val="001A2748"/>
    <w:rsid w:val="001A5EDC"/>
    <w:rsid w:val="001B2778"/>
    <w:rsid w:val="001B698B"/>
    <w:rsid w:val="001C36E6"/>
    <w:rsid w:val="002032FC"/>
    <w:rsid w:val="00221D1E"/>
    <w:rsid w:val="0022717E"/>
    <w:rsid w:val="00227556"/>
    <w:rsid w:val="00235C2A"/>
    <w:rsid w:val="002373F3"/>
    <w:rsid w:val="00245C4E"/>
    <w:rsid w:val="00254651"/>
    <w:rsid w:val="0025532C"/>
    <w:rsid w:val="00260302"/>
    <w:rsid w:val="00260C9D"/>
    <w:rsid w:val="00266C58"/>
    <w:rsid w:val="0029525B"/>
    <w:rsid w:val="00295B59"/>
    <w:rsid w:val="002A1064"/>
    <w:rsid w:val="002C794A"/>
    <w:rsid w:val="002D07A9"/>
    <w:rsid w:val="002D2D0E"/>
    <w:rsid w:val="002D7B4B"/>
    <w:rsid w:val="002E46AF"/>
    <w:rsid w:val="00321AAF"/>
    <w:rsid w:val="00322549"/>
    <w:rsid w:val="00322AF7"/>
    <w:rsid w:val="00322FA1"/>
    <w:rsid w:val="00341823"/>
    <w:rsid w:val="003546C3"/>
    <w:rsid w:val="00375E4D"/>
    <w:rsid w:val="00376CE1"/>
    <w:rsid w:val="00381044"/>
    <w:rsid w:val="003C6281"/>
    <w:rsid w:val="003D14E9"/>
    <w:rsid w:val="003D68E3"/>
    <w:rsid w:val="003D7661"/>
    <w:rsid w:val="003E020B"/>
    <w:rsid w:val="003E090F"/>
    <w:rsid w:val="003E4E63"/>
    <w:rsid w:val="00402400"/>
    <w:rsid w:val="0040417A"/>
    <w:rsid w:val="00421627"/>
    <w:rsid w:val="00430503"/>
    <w:rsid w:val="0044356B"/>
    <w:rsid w:val="00452278"/>
    <w:rsid w:val="00452D25"/>
    <w:rsid w:val="00465AA2"/>
    <w:rsid w:val="00467513"/>
    <w:rsid w:val="00467CED"/>
    <w:rsid w:val="0047282D"/>
    <w:rsid w:val="004835AF"/>
    <w:rsid w:val="004A0304"/>
    <w:rsid w:val="004A3FAD"/>
    <w:rsid w:val="004F5293"/>
    <w:rsid w:val="004F6EF2"/>
    <w:rsid w:val="00525F14"/>
    <w:rsid w:val="00544A8B"/>
    <w:rsid w:val="005461F1"/>
    <w:rsid w:val="005500D0"/>
    <w:rsid w:val="00571A8B"/>
    <w:rsid w:val="00580170"/>
    <w:rsid w:val="00594407"/>
    <w:rsid w:val="00595F8F"/>
    <w:rsid w:val="00597289"/>
    <w:rsid w:val="005A1C86"/>
    <w:rsid w:val="005A2B72"/>
    <w:rsid w:val="005A31B3"/>
    <w:rsid w:val="005B09F8"/>
    <w:rsid w:val="005B4BA0"/>
    <w:rsid w:val="005C3474"/>
    <w:rsid w:val="005D12E3"/>
    <w:rsid w:val="005D647F"/>
    <w:rsid w:val="005D6BFE"/>
    <w:rsid w:val="005F7CAD"/>
    <w:rsid w:val="00605340"/>
    <w:rsid w:val="00631705"/>
    <w:rsid w:val="00643B6F"/>
    <w:rsid w:val="006440D7"/>
    <w:rsid w:val="006510CC"/>
    <w:rsid w:val="00674766"/>
    <w:rsid w:val="00685693"/>
    <w:rsid w:val="00685A36"/>
    <w:rsid w:val="006A6DAF"/>
    <w:rsid w:val="006A7E64"/>
    <w:rsid w:val="0070126F"/>
    <w:rsid w:val="00702A99"/>
    <w:rsid w:val="00704862"/>
    <w:rsid w:val="0071095C"/>
    <w:rsid w:val="007265B0"/>
    <w:rsid w:val="00732A76"/>
    <w:rsid w:val="00746559"/>
    <w:rsid w:val="007543B5"/>
    <w:rsid w:val="0077495E"/>
    <w:rsid w:val="007834F9"/>
    <w:rsid w:val="0078761B"/>
    <w:rsid w:val="007A7AF3"/>
    <w:rsid w:val="007A7F5A"/>
    <w:rsid w:val="007F6141"/>
    <w:rsid w:val="00867275"/>
    <w:rsid w:val="00873D0A"/>
    <w:rsid w:val="00884958"/>
    <w:rsid w:val="0088574D"/>
    <w:rsid w:val="0089373F"/>
    <w:rsid w:val="008A570D"/>
    <w:rsid w:val="008D2283"/>
    <w:rsid w:val="008F43DC"/>
    <w:rsid w:val="008F6012"/>
    <w:rsid w:val="00914962"/>
    <w:rsid w:val="00926559"/>
    <w:rsid w:val="009312CA"/>
    <w:rsid w:val="0093460D"/>
    <w:rsid w:val="00954536"/>
    <w:rsid w:val="00954D9B"/>
    <w:rsid w:val="00967702"/>
    <w:rsid w:val="00970ABE"/>
    <w:rsid w:val="0097131F"/>
    <w:rsid w:val="009B507A"/>
    <w:rsid w:val="009D3075"/>
    <w:rsid w:val="009E5808"/>
    <w:rsid w:val="009F4452"/>
    <w:rsid w:val="009F4AC1"/>
    <w:rsid w:val="009F7E67"/>
    <w:rsid w:val="00A06849"/>
    <w:rsid w:val="00A1293A"/>
    <w:rsid w:val="00A12C2C"/>
    <w:rsid w:val="00A305C9"/>
    <w:rsid w:val="00A33476"/>
    <w:rsid w:val="00A37301"/>
    <w:rsid w:val="00A44E5A"/>
    <w:rsid w:val="00A54719"/>
    <w:rsid w:val="00A56063"/>
    <w:rsid w:val="00A571C0"/>
    <w:rsid w:val="00A73A5E"/>
    <w:rsid w:val="00A84167"/>
    <w:rsid w:val="00AA7013"/>
    <w:rsid w:val="00AB2654"/>
    <w:rsid w:val="00AB5DE0"/>
    <w:rsid w:val="00AC0076"/>
    <w:rsid w:val="00AD0525"/>
    <w:rsid w:val="00AE540F"/>
    <w:rsid w:val="00B25D73"/>
    <w:rsid w:val="00B3280D"/>
    <w:rsid w:val="00B35490"/>
    <w:rsid w:val="00B4061B"/>
    <w:rsid w:val="00B44FC3"/>
    <w:rsid w:val="00B53468"/>
    <w:rsid w:val="00B5723E"/>
    <w:rsid w:val="00B63F98"/>
    <w:rsid w:val="00B75985"/>
    <w:rsid w:val="00B803B3"/>
    <w:rsid w:val="00B87975"/>
    <w:rsid w:val="00BA452D"/>
    <w:rsid w:val="00BA56AC"/>
    <w:rsid w:val="00BB123D"/>
    <w:rsid w:val="00BB7BD5"/>
    <w:rsid w:val="00BE4370"/>
    <w:rsid w:val="00BF609C"/>
    <w:rsid w:val="00C0622C"/>
    <w:rsid w:val="00C133A8"/>
    <w:rsid w:val="00C31532"/>
    <w:rsid w:val="00C37205"/>
    <w:rsid w:val="00C533BE"/>
    <w:rsid w:val="00C57D4A"/>
    <w:rsid w:val="00C618E5"/>
    <w:rsid w:val="00C74089"/>
    <w:rsid w:val="00C95E31"/>
    <w:rsid w:val="00CB2E01"/>
    <w:rsid w:val="00CB5050"/>
    <w:rsid w:val="00CE1FBD"/>
    <w:rsid w:val="00CE5691"/>
    <w:rsid w:val="00CF74B9"/>
    <w:rsid w:val="00D15A84"/>
    <w:rsid w:val="00D239EF"/>
    <w:rsid w:val="00D37E8E"/>
    <w:rsid w:val="00D440EF"/>
    <w:rsid w:val="00D47E50"/>
    <w:rsid w:val="00D749CB"/>
    <w:rsid w:val="00D87F63"/>
    <w:rsid w:val="00D947D8"/>
    <w:rsid w:val="00DC1121"/>
    <w:rsid w:val="00DC22FC"/>
    <w:rsid w:val="00DC3BF2"/>
    <w:rsid w:val="00DD56C2"/>
    <w:rsid w:val="00E01C65"/>
    <w:rsid w:val="00E13998"/>
    <w:rsid w:val="00E22E7E"/>
    <w:rsid w:val="00E347E6"/>
    <w:rsid w:val="00E50CA8"/>
    <w:rsid w:val="00E55109"/>
    <w:rsid w:val="00E911A8"/>
    <w:rsid w:val="00E948B8"/>
    <w:rsid w:val="00E95ACA"/>
    <w:rsid w:val="00E95E0C"/>
    <w:rsid w:val="00E976A2"/>
    <w:rsid w:val="00EA66EF"/>
    <w:rsid w:val="00EB3FDC"/>
    <w:rsid w:val="00EC6F75"/>
    <w:rsid w:val="00EC7B58"/>
    <w:rsid w:val="00EE5A05"/>
    <w:rsid w:val="00EE60EB"/>
    <w:rsid w:val="00EF2B8B"/>
    <w:rsid w:val="00F07AB2"/>
    <w:rsid w:val="00F41B1E"/>
    <w:rsid w:val="00F6409E"/>
    <w:rsid w:val="00F81188"/>
    <w:rsid w:val="00F87131"/>
    <w:rsid w:val="00F95F2C"/>
    <w:rsid w:val="00FA4745"/>
    <w:rsid w:val="00FC571D"/>
    <w:rsid w:val="00FD7EDF"/>
    <w:rsid w:val="00FE30D5"/>
    <w:rsid w:val="00FE4F90"/>
    <w:rsid w:val="00FF1A9C"/>
    <w:rsid w:val="00FF56A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1180C5D"/>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5"/>
    <w:qFormat/>
    <w:uiPriority w:val="0"/>
    <w:pPr>
      <w:ind w:left="538"/>
      <w:outlineLvl w:val="0"/>
    </w:pPr>
    <w:rPr>
      <w:b/>
      <w:bCs/>
      <w:sz w:val="28"/>
      <w:szCs w:val="28"/>
    </w:rPr>
  </w:style>
  <w:style w:type="paragraph" w:styleId="4">
    <w:name w:val="heading 2"/>
    <w:basedOn w:val="1"/>
    <w:next w:val="1"/>
    <w:link w:val="29"/>
    <w:qFormat/>
    <w:uiPriority w:val="0"/>
    <w:pPr>
      <w:ind w:left="629"/>
      <w:outlineLvl w:val="1"/>
    </w:pPr>
    <w:rPr>
      <w:b/>
      <w:bCs/>
      <w:sz w:val="24"/>
      <w:szCs w:val="24"/>
    </w:rPr>
  </w:style>
  <w:style w:type="character" w:default="1" w:styleId="12">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27"/>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Body Text"/>
    <w:basedOn w:val="1"/>
    <w:link w:val="28"/>
    <w:qFormat/>
    <w:uiPriority w:val="1"/>
    <w:rPr>
      <w:sz w:val="24"/>
      <w:szCs w:val="24"/>
    </w:rPr>
  </w:style>
  <w:style w:type="paragraph" w:styleId="7">
    <w:name w:val="Body Text Indent"/>
    <w:basedOn w:val="1"/>
    <w:link w:val="30"/>
    <w:qFormat/>
    <w:uiPriority w:val="0"/>
    <w:pPr>
      <w:spacing w:after="120"/>
      <w:ind w:left="420" w:leftChars="200"/>
    </w:pPr>
  </w:style>
  <w:style w:type="paragraph" w:styleId="8">
    <w:name w:val="Plain Text"/>
    <w:basedOn w:val="1"/>
    <w:link w:val="23"/>
    <w:qFormat/>
    <w:uiPriority w:val="0"/>
    <w:rPr>
      <w:rFonts w:hAnsi="Courier New" w:cs="Courier New"/>
      <w:szCs w:val="21"/>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Normal (Web)"/>
    <w:basedOn w:val="1"/>
    <w:unhideWhenUsed/>
    <w:qFormat/>
    <w:uiPriority w:val="99"/>
    <w:pPr>
      <w:widowControl/>
      <w:autoSpaceDE/>
      <w:autoSpaceDN/>
      <w:spacing w:before="100" w:beforeAutospacing="1" w:after="100" w:afterAutospacing="1"/>
    </w:pPr>
    <w:rPr>
      <w:sz w:val="24"/>
      <w:szCs w:val="24"/>
      <w:lang w:eastAsia="zh-CN"/>
    </w:rPr>
  </w:style>
  <w:style w:type="character" w:styleId="13">
    <w:name w:val="endnote reference"/>
    <w:basedOn w:val="12"/>
    <w:qFormat/>
    <w:uiPriority w:val="0"/>
    <w:rPr>
      <w:vertAlign w:val="superscript"/>
    </w:rPr>
  </w:style>
  <w:style w:type="character" w:styleId="14">
    <w:name w:val="page number"/>
    <w:basedOn w:val="12"/>
    <w:qFormat/>
    <w:uiPriority w:val="0"/>
  </w:style>
  <w:style w:type="character" w:styleId="15">
    <w:name w:val="Hyperlink"/>
    <w:basedOn w:val="12"/>
    <w:qFormat/>
    <w:uiPriority w:val="99"/>
    <w:rPr>
      <w:color w:val="0000FF"/>
      <w:u w:val="single"/>
    </w:rPr>
  </w:style>
  <w:style w:type="character" w:styleId="16">
    <w:name w:val="HTML Code"/>
    <w:unhideWhenUsed/>
    <w:qFormat/>
    <w:uiPriority w:val="99"/>
    <w:rPr>
      <w:rFonts w:ascii="Courier New" w:hAnsi="Courier New"/>
      <w:sz w:val="20"/>
    </w:rPr>
  </w:style>
  <w:style w:type="table" w:styleId="18">
    <w:name w:val="Table Grid"/>
    <w:basedOn w:val="17"/>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
    <w:name w:val="Table Normal"/>
    <w:semiHidden/>
    <w:unhideWhenUsed/>
    <w:qFormat/>
    <w:uiPriority w:val="2"/>
    <w:tblPr>
      <w:tblLayout w:type="fixed"/>
      <w:tblCellMar>
        <w:top w:w="0" w:type="dxa"/>
        <w:left w:w="0" w:type="dxa"/>
        <w:bottom w:w="0" w:type="dxa"/>
        <w:right w:w="0" w:type="dxa"/>
      </w:tblCellMar>
    </w:tblPr>
  </w:style>
  <w:style w:type="paragraph" w:styleId="20">
    <w:name w:val="List Paragraph"/>
    <w:basedOn w:val="1"/>
    <w:qFormat/>
    <w:uiPriority w:val="34"/>
    <w:pPr>
      <w:spacing w:before="206"/>
      <w:ind w:left="959" w:hanging="361"/>
    </w:pPr>
  </w:style>
  <w:style w:type="paragraph" w:customStyle="1" w:styleId="21">
    <w:name w:val="Table Paragraph"/>
    <w:basedOn w:val="1"/>
    <w:qFormat/>
    <w:uiPriority w:val="1"/>
  </w:style>
  <w:style w:type="paragraph" w:customStyle="1" w:styleId="22">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3">
    <w:name w:val="纯文本 Char"/>
    <w:basedOn w:val="12"/>
    <w:link w:val="8"/>
    <w:qFormat/>
    <w:uiPriority w:val="99"/>
    <w:rPr>
      <w:rFonts w:ascii="宋体" w:hAnsi="Courier New" w:cs="Courier New"/>
      <w:sz w:val="22"/>
      <w:szCs w:val="21"/>
      <w:lang w:eastAsia="en-US"/>
    </w:rPr>
  </w:style>
  <w:style w:type="character" w:customStyle="1" w:styleId="24">
    <w:name w:val="font21"/>
    <w:qFormat/>
    <w:uiPriority w:val="0"/>
    <w:rPr>
      <w:rFonts w:hint="eastAsia" w:ascii="宋体" w:hAnsi="宋体" w:eastAsia="宋体" w:cs="宋体"/>
      <w:color w:val="000000"/>
      <w:sz w:val="20"/>
      <w:szCs w:val="20"/>
      <w:u w:val="none"/>
    </w:rPr>
  </w:style>
  <w:style w:type="character" w:customStyle="1" w:styleId="25">
    <w:name w:val="标题 1 Char"/>
    <w:link w:val="3"/>
    <w:qFormat/>
    <w:uiPriority w:val="9"/>
    <w:rPr>
      <w:rFonts w:ascii="宋体" w:hAnsi="宋体" w:cs="宋体"/>
      <w:b/>
      <w:bCs/>
      <w:sz w:val="28"/>
      <w:szCs w:val="28"/>
      <w:lang w:eastAsia="en-US"/>
    </w:rPr>
  </w:style>
  <w:style w:type="character" w:customStyle="1" w:styleId="26">
    <w:name w:val="apple-converted-space"/>
    <w:basedOn w:val="12"/>
    <w:qFormat/>
    <w:uiPriority w:val="0"/>
  </w:style>
  <w:style w:type="character" w:customStyle="1" w:styleId="27">
    <w:name w:val="正文缩进 Char"/>
    <w:link w:val="5"/>
    <w:qFormat/>
    <w:uiPriority w:val="0"/>
    <w:rPr>
      <w:kern w:val="2"/>
      <w:sz w:val="21"/>
    </w:rPr>
  </w:style>
  <w:style w:type="character" w:customStyle="1" w:styleId="28">
    <w:name w:val="正文文本 Char"/>
    <w:basedOn w:val="12"/>
    <w:link w:val="6"/>
    <w:qFormat/>
    <w:uiPriority w:val="0"/>
    <w:rPr>
      <w:rFonts w:ascii="宋体" w:hAnsi="宋体" w:cs="宋体"/>
      <w:sz w:val="24"/>
      <w:szCs w:val="24"/>
      <w:lang w:eastAsia="en-US"/>
    </w:rPr>
  </w:style>
  <w:style w:type="character" w:customStyle="1" w:styleId="29">
    <w:name w:val="标题 2 Char"/>
    <w:basedOn w:val="12"/>
    <w:link w:val="4"/>
    <w:qFormat/>
    <w:uiPriority w:val="0"/>
    <w:rPr>
      <w:rFonts w:ascii="宋体" w:hAnsi="宋体" w:cs="宋体"/>
      <w:b/>
      <w:bCs/>
      <w:sz w:val="24"/>
      <w:szCs w:val="24"/>
      <w:lang w:eastAsia="en-US"/>
    </w:rPr>
  </w:style>
  <w:style w:type="character" w:customStyle="1" w:styleId="30">
    <w:name w:val="正文文本缩进 Char"/>
    <w:basedOn w:val="12"/>
    <w:link w:val="7"/>
    <w:uiPriority w:val="0"/>
    <w:rPr>
      <w:rFonts w:ascii="宋体" w:hAnsi="宋体" w:cs="宋体"/>
      <w:sz w:val="22"/>
      <w:szCs w:val="22"/>
      <w:lang w:eastAsia="en-US"/>
    </w:rPr>
  </w:style>
  <w:style w:type="character" w:customStyle="1" w:styleId="31">
    <w:name w:val="font01"/>
    <w:basedOn w:val="12"/>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32</Pages>
  <Words>3147</Words>
  <Characters>17940</Characters>
  <Lines>149</Lines>
  <Paragraphs>42</Paragraphs>
  <TotalTime>353</TotalTime>
  <ScaleCrop>false</ScaleCrop>
  <LinksUpToDate>false</LinksUpToDate>
  <CharactersWithSpaces>21045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2020-10-22T02:41:00Z</dcterms:created>
  <dc:creator>CGC</dc:creator>
  <cp:lastModifiedBy>李若桑</cp:lastModifiedBy>
  <dcterms:modified xsi:type="dcterms:W3CDTF">2020-10-30T07:40:49Z</dcterms:modified>
  <dc:title>公开招标文件（货物服务类）</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2052-10.8.2.6666</vt:lpwstr>
  </property>
</Properties>
</file>