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1台排风机采购发包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1台排风机采购发包（项目编号：FHC-PTCG20</w:t>
      </w:r>
      <w:r>
        <w:rPr>
          <w:rFonts w:cs="Helvetica" w:asciiTheme="minorEastAsia" w:hAnsiTheme="minorEastAsia" w:eastAsiaTheme="minorEastAsia"/>
          <w:kern w:val="0"/>
          <w:szCs w:val="21"/>
        </w:rPr>
        <w:t>200910001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20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21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10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 xml:space="preserve"> 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Fonts w:cs="Helvetica" w:asciiTheme="minorEastAsia" w:hAnsiTheme="minorEastAsia" w:eastAsiaTheme="minorEastAsia"/>
          <w:sz w:val="21"/>
          <w:szCs w:val="21"/>
        </w:rPr>
        <w:t>qlin@fhcpec.com.cn</w:t>
      </w:r>
      <w:r>
        <w:rPr>
          <w:rFonts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20B22"/>
    <w:rsid w:val="001373B4"/>
    <w:rsid w:val="00170ADF"/>
    <w:rsid w:val="00191A6C"/>
    <w:rsid w:val="001A7A9F"/>
    <w:rsid w:val="0034487F"/>
    <w:rsid w:val="0036458C"/>
    <w:rsid w:val="003824E4"/>
    <w:rsid w:val="003A4AE6"/>
    <w:rsid w:val="003F0073"/>
    <w:rsid w:val="00417002"/>
    <w:rsid w:val="0046720F"/>
    <w:rsid w:val="00487C4B"/>
    <w:rsid w:val="004B2012"/>
    <w:rsid w:val="00630E22"/>
    <w:rsid w:val="00660DE8"/>
    <w:rsid w:val="00674B2B"/>
    <w:rsid w:val="006A215E"/>
    <w:rsid w:val="006B0D05"/>
    <w:rsid w:val="006E2018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C2322E"/>
    <w:rsid w:val="00C2625D"/>
    <w:rsid w:val="00C70BD5"/>
    <w:rsid w:val="00CA3E48"/>
    <w:rsid w:val="00CA6F78"/>
    <w:rsid w:val="00D05D2C"/>
    <w:rsid w:val="00D129FB"/>
    <w:rsid w:val="00E00168"/>
    <w:rsid w:val="00E91D2B"/>
    <w:rsid w:val="00E97572"/>
    <w:rsid w:val="00EA1F6F"/>
    <w:rsid w:val="00FA0475"/>
    <w:rsid w:val="00FB3F05"/>
    <w:rsid w:val="00FE484E"/>
    <w:rsid w:val="524C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qFormat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qFormat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364</Characters>
  <Lines>3</Lines>
  <Paragraphs>1</Paragraphs>
  <TotalTime>177</TotalTime>
  <ScaleCrop>false</ScaleCrop>
  <LinksUpToDate>false</LinksUpToDate>
  <CharactersWithSpaces>426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panpan</cp:lastModifiedBy>
  <dcterms:modified xsi:type="dcterms:W3CDTF">2020-10-21T07:09:08Z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