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余热发电项目电力监控系统等级保护测评及</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安全防护评估与整改加固</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FHC-PTCG20200904001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附件5：技术偏离表</w:t>
      </w:r>
    </w:p>
    <w:p>
      <w:pPr>
        <w:spacing w:line="360" w:lineRule="auto"/>
        <w:ind w:firstLine="980" w:firstLineChars="350"/>
        <w:rPr>
          <w:color w:val="000000"/>
          <w:sz w:val="28"/>
          <w:szCs w:val="28"/>
          <w:lang w:eastAsia="zh-CN"/>
        </w:rPr>
      </w:pPr>
      <w:r>
        <w:rPr>
          <w:rFonts w:hint="eastAsia"/>
          <w:color w:val="000000"/>
          <w:sz w:val="28"/>
          <w:szCs w:val="28"/>
          <w:lang w:eastAsia="zh-CN"/>
        </w:rPr>
        <w:t>附件6：报价单</w:t>
      </w: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line="360" w:lineRule="auto"/>
        <w:ind w:firstLine="600" w:firstLineChars="250"/>
        <w:rPr>
          <w:bCs/>
          <w:sz w:val="24"/>
          <w:szCs w:val="24"/>
          <w:lang w:eastAsia="zh-CN"/>
        </w:rPr>
      </w:pP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余热发电项目电力监控系统等级保护测评及安全防护评估与整改加固</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FHC-PTCG20200904001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 xml:space="preserve">余热发电项目电力监控系统等级保护测评及安全防护评估与整改加                  </w:t>
      </w:r>
    </w:p>
    <w:p>
      <w:pPr>
        <w:pStyle w:val="44"/>
        <w:autoSpaceDE/>
        <w:autoSpaceDN/>
        <w:spacing w:before="0" w:line="360" w:lineRule="auto"/>
        <w:ind w:left="1192" w:leftChars="542" w:firstLine="1200" w:firstLineChars="500"/>
        <w:jc w:val="both"/>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固</w:t>
      </w:r>
      <w:r>
        <w:rPr>
          <w:rFonts w:hint="eastAsia" w:asciiTheme="majorEastAsia" w:hAnsiTheme="majorEastAsia" w:eastAsiaTheme="majorEastAsia"/>
          <w:bCs/>
          <w:sz w:val="24"/>
          <w:szCs w:val="24"/>
          <w:lang w:eastAsia="zh-CN"/>
        </w:rPr>
        <w:t>项目</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asciiTheme="majorEastAsia" w:hAnsiTheme="majorEastAsia" w:eastAsiaTheme="majorEastAsia"/>
          <w:sz w:val="24"/>
          <w:szCs w:val="24"/>
          <w:lang w:eastAsia="zh-CN"/>
        </w:rPr>
        <w:t xml:space="preserve">电力监控系统等级保护测评及安全防护评估与整改加固                    </w:t>
      </w:r>
    </w:p>
    <w:p>
      <w:pPr>
        <w:pStyle w:val="44"/>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38万元</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参选人应属于公安部及国家能源局认可的电力行业等级保护测评中心实验室或是具有此资质证书的授权单位，并提供授权承诺函证明；</w:t>
      </w:r>
    </w:p>
    <w:p>
      <w:pPr>
        <w:pStyle w:val="44"/>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3. 参选人具有连续2年（2018-2019）在国网福建省供电公司实施等保测评的经验，并提供相应的合同证明</w:t>
      </w:r>
      <w:r>
        <w:rPr>
          <w:rFonts w:hint="eastAsia"/>
          <w:sz w:val="24"/>
          <w:szCs w:val="24"/>
          <w:lang w:eastAsia="zh-CN"/>
        </w:rPr>
        <w:t>；</w:t>
      </w:r>
    </w:p>
    <w:p>
      <w:pPr>
        <w:pStyle w:val="2"/>
        <w:spacing w:line="360" w:lineRule="auto"/>
        <w:ind w:left="832"/>
        <w:rPr>
          <w:sz w:val="24"/>
          <w:szCs w:val="24"/>
        </w:rPr>
      </w:pPr>
      <w:r>
        <w:rPr>
          <w:rFonts w:hint="eastAsia"/>
          <w:sz w:val="24"/>
          <w:szCs w:val="24"/>
        </w:rPr>
        <w:t>4. 参选人提供专业技术人员的信息安全专业认证证书，机构内部具有等级保护测评资质人员应包含1名高级测评师和1名CISP认证测评师；</w:t>
      </w:r>
    </w:p>
    <w:p>
      <w:pPr>
        <w:pStyle w:val="2"/>
        <w:spacing w:line="360" w:lineRule="auto"/>
        <w:ind w:left="832"/>
        <w:rPr>
          <w:sz w:val="24"/>
          <w:szCs w:val="24"/>
        </w:rPr>
      </w:pPr>
      <w:r>
        <w:rPr>
          <w:rFonts w:hint="eastAsia"/>
          <w:sz w:val="24"/>
          <w:szCs w:val="24"/>
        </w:rPr>
        <w:t>5. 参选人须具有中国信息安全认证中心颁发的《信息安全风险评估服务资质》二级及以上；</w:t>
      </w:r>
    </w:p>
    <w:p>
      <w:pPr>
        <w:pStyle w:val="2"/>
        <w:spacing w:line="360" w:lineRule="auto"/>
        <w:ind w:left="832"/>
        <w:rPr>
          <w:sz w:val="24"/>
          <w:szCs w:val="24"/>
        </w:rPr>
      </w:pPr>
      <w:r>
        <w:rPr>
          <w:rFonts w:hint="eastAsia"/>
          <w:sz w:val="24"/>
          <w:szCs w:val="24"/>
        </w:rPr>
        <w:t>6. 参选人须具有中国合格评定国家认可委员会颁发的CNAS证书；</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2020年9月</w:t>
      </w:r>
      <w:r>
        <w:rPr>
          <w:rFonts w:hint="eastAsia" w:asciiTheme="majorEastAsia" w:hAnsiTheme="majorEastAsia" w:eastAsiaTheme="majorEastAsia"/>
          <w:sz w:val="24"/>
          <w:szCs w:val="24"/>
          <w:lang w:val="en-US" w:eastAsia="zh-CN"/>
        </w:rPr>
        <w:t>22</w:t>
      </w:r>
      <w:r>
        <w:rPr>
          <w:rFonts w:hint="eastAsia" w:asciiTheme="majorEastAsia" w:hAnsiTheme="majorEastAsia" w:eastAsiaTheme="majorEastAsia"/>
          <w:sz w:val="24"/>
          <w:szCs w:val="24"/>
          <w:lang w:eastAsia="zh-CN"/>
        </w:rPr>
        <w:t>日至2020年10月</w:t>
      </w:r>
      <w:r>
        <w:rPr>
          <w:rFonts w:hint="eastAsia" w:asciiTheme="majorEastAsia" w:hAnsiTheme="majorEastAsia" w:eastAsiaTheme="majorEastAsia"/>
          <w:sz w:val="24"/>
          <w:szCs w:val="24"/>
          <w:lang w:val="en-US" w:eastAsia="zh-CN"/>
        </w:rPr>
        <w:t>1</w:t>
      </w:r>
      <w:bookmarkStart w:id="10" w:name="_GoBack"/>
      <w:bookmarkEnd w:id="10"/>
      <w:r>
        <w:rPr>
          <w:rFonts w:hint="eastAsia" w:asciiTheme="majorEastAsia" w:hAnsiTheme="majorEastAsia" w:eastAsiaTheme="majorEastAsia"/>
          <w:sz w:val="24"/>
          <w:szCs w:val="24"/>
          <w:lang w:eastAsia="zh-CN"/>
        </w:rPr>
        <w:t>日（共10天）</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报名方式：邮件报名（须同时提交盖公章的法定代表人授权书及营业执照扫描件），邮件发至：</w:t>
      </w:r>
      <w:r>
        <w:rPr>
          <w:rFonts w:hint="eastAsia" w:asciiTheme="majorEastAsia" w:hAnsiTheme="majorEastAsia" w:eastAsiaTheme="majorEastAsia"/>
          <w:bCs/>
          <w:sz w:val="24"/>
          <w:szCs w:val="24"/>
        </w:rPr>
        <w:t>hzji@fhcpec.com.cn</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递交截止时间：至报名截止时间延后2天</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8"/>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福建福海沧石油化工有限公司</w:t>
      </w:r>
    </w:p>
    <w:p>
      <w:pPr>
        <w:tabs>
          <w:tab w:val="left" w:pos="1272"/>
        </w:tabs>
        <w:spacing w:line="360" w:lineRule="auto"/>
        <w:ind w:left="9"/>
        <w:jc w:val="center"/>
        <w:rPr>
          <w:sz w:val="24"/>
          <w:szCs w:val="24"/>
          <w:lang w:eastAsia="zh-CN"/>
        </w:rPr>
      </w:pPr>
      <w:r>
        <w:rPr>
          <w:rFonts w:hint="eastAsia"/>
          <w:sz w:val="24"/>
          <w:szCs w:val="24"/>
          <w:lang w:eastAsia="zh-CN"/>
        </w:rPr>
        <w:t>2020.09.22</w:t>
      </w:r>
    </w:p>
    <w:p>
      <w:pPr>
        <w:tabs>
          <w:tab w:val="left" w:pos="1272"/>
        </w:tabs>
        <w:ind w:left="9"/>
        <w:jc w:val="center"/>
        <w:rPr>
          <w:b/>
          <w:sz w:val="28"/>
          <w:lang w:eastAsia="zh-CN"/>
        </w:rPr>
      </w:pPr>
    </w:p>
    <w:p>
      <w:pPr>
        <w:pStyle w:val="44"/>
        <w:spacing w:before="0" w:line="360" w:lineRule="auto"/>
        <w:ind w:left="360" w:firstLine="0"/>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 xml:space="preserve">余热发电项目电力监控系统等级保护测评及安全防护评估与整改加                  </w:t>
      </w:r>
    </w:p>
    <w:p>
      <w:pPr>
        <w:pStyle w:val="13"/>
        <w:spacing w:line="360" w:lineRule="auto"/>
        <w:ind w:right="121" w:firstLine="1920" w:firstLineChars="800"/>
        <w:jc w:val="both"/>
        <w:rPr>
          <w:lang w:eastAsia="zh-CN"/>
        </w:rPr>
      </w:pPr>
      <w:r>
        <w:rPr>
          <w:rFonts w:hint="eastAsia" w:asciiTheme="majorEastAsia" w:hAnsiTheme="majorEastAsia" w:eastAsiaTheme="majorEastAsia"/>
          <w:lang w:eastAsia="zh-CN"/>
        </w:rPr>
        <w:t>固</w:t>
      </w:r>
      <w:r>
        <w:rPr>
          <w:rFonts w:hint="eastAsia" w:asciiTheme="majorEastAsia" w:hAnsiTheme="majorEastAsia" w:eastAsiaTheme="majorEastAsia"/>
          <w:bCs/>
          <w:lang w:eastAsia="zh-CN"/>
        </w:rPr>
        <w:t>项目</w:t>
      </w:r>
    </w:p>
    <w:p>
      <w:pPr>
        <w:pStyle w:val="13"/>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3"/>
        <w:spacing w:line="360" w:lineRule="auto"/>
        <w:ind w:right="121"/>
        <w:jc w:val="both"/>
        <w:rPr>
          <w:lang w:eastAsia="zh-CN"/>
        </w:rPr>
      </w:pPr>
      <w:r>
        <w:rPr>
          <w:rFonts w:hint="eastAsia"/>
          <w:lang w:eastAsia="zh-CN"/>
        </w:rPr>
        <w:t xml:space="preserve">    3.承包方式：固定总价包干</w:t>
      </w:r>
    </w:p>
    <w:p>
      <w:pPr>
        <w:pStyle w:val="13"/>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见附件1“技术规范书”</w:t>
      </w:r>
    </w:p>
    <w:p>
      <w:pPr>
        <w:pStyle w:val="13"/>
        <w:spacing w:line="360" w:lineRule="auto"/>
        <w:ind w:right="121" w:firstLine="480"/>
        <w:jc w:val="both"/>
        <w:rPr>
          <w:lang w:eastAsia="zh-CN"/>
        </w:rPr>
      </w:pPr>
      <w:r>
        <w:rPr>
          <w:lang w:eastAsia="zh-CN"/>
        </w:rPr>
        <w:t>5.服务期限</w:t>
      </w:r>
      <w:r>
        <w:rPr>
          <w:rFonts w:hint="eastAsia"/>
          <w:lang w:eastAsia="zh-CN"/>
        </w:rPr>
        <w:t>：合同生效后三个月（暂定）</w:t>
      </w:r>
    </w:p>
    <w:p>
      <w:pPr>
        <w:pStyle w:val="13"/>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3"/>
        <w:spacing w:line="360" w:lineRule="auto"/>
        <w:ind w:right="121" w:firstLine="465"/>
        <w:jc w:val="both"/>
        <w:rPr>
          <w:lang w:eastAsia="zh-CN"/>
        </w:rPr>
      </w:pPr>
      <w:r>
        <w:rPr>
          <w:rFonts w:hint="eastAsia"/>
          <w:lang w:eastAsia="zh-CN"/>
        </w:rPr>
        <w:t>技术联系人：孙先生 19959614344 zfsun@fhcpec.com.cn</w:t>
      </w:r>
      <w:r>
        <w:rPr>
          <w:lang w:eastAsia="zh-CN"/>
        </w:rPr>
        <w:t xml:space="preserve"> </w:t>
      </w:r>
    </w:p>
    <w:p>
      <w:pPr>
        <w:pStyle w:val="13"/>
        <w:spacing w:line="360" w:lineRule="auto"/>
        <w:ind w:right="121" w:firstLine="465"/>
        <w:jc w:val="both"/>
        <w:rPr>
          <w:lang w:eastAsia="zh-CN"/>
        </w:rPr>
      </w:pPr>
      <w:r>
        <w:rPr>
          <w:rFonts w:hint="eastAsia"/>
          <w:lang w:eastAsia="zh-CN"/>
        </w:rPr>
        <w:t>商务联系人：纪先生 0596-6311823  hzji@fhcpec.com.cn</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参选人应属于公安部及国家能源局认可的电力行业等级保护测评中心实验室或是具有此资质证书的授权单位，并提供授权承诺函证明；</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3. 参选人具有连续2年（2018-2019）在国网福建省供电公司实施等保测评的经验，并提供相应的合同证明</w:t>
      </w:r>
      <w:r>
        <w:rPr>
          <w:rFonts w:hint="eastAsia"/>
          <w:sz w:val="24"/>
          <w:szCs w:val="24"/>
          <w:lang w:eastAsia="zh-CN"/>
        </w:rPr>
        <w:t>；</w:t>
      </w:r>
    </w:p>
    <w:p>
      <w:pPr>
        <w:pStyle w:val="2"/>
        <w:spacing w:line="360" w:lineRule="auto"/>
        <w:ind w:firstLine="480" w:firstLineChars="200"/>
        <w:rPr>
          <w:sz w:val="24"/>
          <w:szCs w:val="24"/>
        </w:rPr>
      </w:pPr>
      <w:r>
        <w:rPr>
          <w:rFonts w:hint="eastAsia"/>
          <w:sz w:val="24"/>
          <w:szCs w:val="24"/>
        </w:rPr>
        <w:t>4. 参选人提供专业技术人员的信息安全专业认证证书，机构内部具有等级保护测评资质人员应包含1名高级测评师和1名CISP认证测评师；</w:t>
      </w:r>
    </w:p>
    <w:p>
      <w:pPr>
        <w:pStyle w:val="2"/>
        <w:spacing w:line="360" w:lineRule="auto"/>
        <w:ind w:firstLine="480" w:firstLineChars="200"/>
        <w:rPr>
          <w:sz w:val="24"/>
          <w:szCs w:val="24"/>
        </w:rPr>
      </w:pPr>
      <w:r>
        <w:rPr>
          <w:rFonts w:hint="eastAsia"/>
          <w:sz w:val="24"/>
          <w:szCs w:val="24"/>
        </w:rPr>
        <w:t>5. 参选人须具有中国信息安全认证中心颁发的《信息安全风险评估服务资质》二级及以上；</w:t>
      </w:r>
    </w:p>
    <w:p>
      <w:pPr>
        <w:pStyle w:val="2"/>
        <w:spacing w:line="360" w:lineRule="auto"/>
        <w:ind w:firstLine="480" w:firstLineChars="200"/>
        <w:rPr>
          <w:sz w:val="24"/>
          <w:szCs w:val="24"/>
        </w:rPr>
      </w:pPr>
      <w:r>
        <w:rPr>
          <w:rFonts w:hint="eastAsia"/>
          <w:sz w:val="24"/>
          <w:szCs w:val="24"/>
        </w:rPr>
        <w:t>6. 参选人须具有中国合格评定国家认可委员会颁发的CNAS证书；</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2"/>
      </w:pPr>
    </w:p>
    <w:p>
      <w:pPr>
        <w:pStyle w:val="3"/>
        <w:spacing w:line="360" w:lineRule="auto"/>
        <w:rPr>
          <w:lang w:eastAsia="zh-CN"/>
        </w:rPr>
      </w:pPr>
      <w:r>
        <w:rPr>
          <w:w w:val="95"/>
          <w:lang w:eastAsia="zh-CN"/>
        </w:rPr>
        <w:t>七、参选保证金</w:t>
      </w:r>
    </w:p>
    <w:p>
      <w:pPr>
        <w:pStyle w:val="13"/>
        <w:spacing w:line="360" w:lineRule="auto"/>
        <w:ind w:right="121" w:firstLine="480" w:firstLineChars="200"/>
        <w:jc w:val="both"/>
        <w:rPr>
          <w:lang w:eastAsia="zh-CN"/>
        </w:rPr>
      </w:pPr>
      <w:r>
        <w:rPr>
          <w:rFonts w:hint="eastAsia"/>
          <w:lang w:eastAsia="zh-CN"/>
        </w:rPr>
        <w:t>1.参选单位应缴纳参选保证金，保证金金额5</w:t>
      </w:r>
      <w:r>
        <w:rPr>
          <w:lang w:eastAsia="zh-CN"/>
        </w:rPr>
        <w:t>00</w:t>
      </w:r>
      <w:r>
        <w:rPr>
          <w:rFonts w:hint="eastAsia"/>
          <w:lang w:eastAsia="zh-CN"/>
        </w:rPr>
        <w:t>0元整，参选单位应按照要求从参选单位基本账户转入比选单位的账户，比选单位账户信息如下：</w:t>
      </w:r>
    </w:p>
    <w:p>
      <w:pPr>
        <w:pStyle w:val="13"/>
        <w:spacing w:line="360" w:lineRule="auto"/>
        <w:ind w:right="121"/>
        <w:jc w:val="both"/>
        <w:rPr>
          <w:lang w:eastAsia="zh-CN"/>
        </w:rPr>
      </w:pPr>
      <w:r>
        <w:rPr>
          <w:rFonts w:hint="eastAsia"/>
          <w:lang w:eastAsia="zh-CN"/>
        </w:rPr>
        <w:t xml:space="preserve">    开户名称：翔鹭石化（漳州）有限公司</w:t>
      </w:r>
    </w:p>
    <w:p>
      <w:pPr>
        <w:pStyle w:val="13"/>
        <w:spacing w:line="360" w:lineRule="auto"/>
        <w:ind w:right="121" w:firstLine="480"/>
        <w:jc w:val="both"/>
        <w:rPr>
          <w:lang w:eastAsia="zh-CN"/>
        </w:rPr>
      </w:pPr>
      <w:r>
        <w:rPr>
          <w:rFonts w:hint="eastAsia"/>
          <w:lang w:eastAsia="zh-CN"/>
        </w:rPr>
        <w:t>开户银行：中国银行漳州分行</w:t>
      </w:r>
    </w:p>
    <w:p>
      <w:pPr>
        <w:pStyle w:val="13"/>
        <w:spacing w:line="360" w:lineRule="auto"/>
        <w:ind w:right="121" w:firstLine="480"/>
        <w:jc w:val="both"/>
        <w:rPr>
          <w:lang w:eastAsia="zh-CN"/>
        </w:rPr>
      </w:pPr>
      <w:r>
        <w:rPr>
          <w:rFonts w:hint="eastAsia"/>
          <w:lang w:eastAsia="zh-CN"/>
        </w:rPr>
        <w:t>帐  号：416958369985</w:t>
      </w:r>
    </w:p>
    <w:p>
      <w:pPr>
        <w:autoSpaceDE/>
        <w:autoSpaceDN/>
        <w:spacing w:line="360" w:lineRule="auto"/>
        <w:ind w:firstLine="480" w:firstLineChars="200"/>
        <w:jc w:val="both"/>
        <w:rPr>
          <w:lang w:eastAsia="zh-CN"/>
        </w:rPr>
      </w:pPr>
      <w:r>
        <w:rPr>
          <w:rFonts w:hint="eastAsia"/>
          <w:sz w:val="24"/>
          <w:szCs w:val="24"/>
          <w:lang w:eastAsia="zh-CN"/>
        </w:rPr>
        <w:t>注明用途：</w:t>
      </w:r>
      <w:r>
        <w:rPr>
          <w:rFonts w:hint="eastAsia" w:asciiTheme="majorEastAsia" w:hAnsiTheme="majorEastAsia" w:eastAsiaTheme="majorEastAsia"/>
          <w:sz w:val="24"/>
          <w:szCs w:val="24"/>
          <w:lang w:eastAsia="zh-CN"/>
        </w:rPr>
        <w:t>监控系统等级保护测评及安全防护评估与整改加固</w:t>
      </w:r>
      <w:r>
        <w:rPr>
          <w:rFonts w:hint="eastAsia" w:asciiTheme="majorEastAsia" w:hAnsiTheme="majorEastAsia" w:eastAsiaTheme="majorEastAsia"/>
          <w:bCs/>
          <w:sz w:val="24"/>
          <w:szCs w:val="24"/>
          <w:lang w:eastAsia="zh-CN"/>
        </w:rPr>
        <w:t>项目</w:t>
      </w:r>
      <w:r>
        <w:rPr>
          <w:rFonts w:hint="eastAsia"/>
          <w:sz w:val="24"/>
          <w:szCs w:val="24"/>
          <w:lang w:eastAsia="zh-CN"/>
        </w:rPr>
        <w:t>参选</w:t>
      </w:r>
      <w:r>
        <w:rPr>
          <w:sz w:val="24"/>
          <w:szCs w:val="24"/>
          <w:lang w:eastAsia="zh-CN"/>
        </w:rPr>
        <w:t>保证金</w:t>
      </w:r>
    </w:p>
    <w:p>
      <w:pPr>
        <w:pStyle w:val="13"/>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3"/>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3"/>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13"/>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pPr>
        <w:pStyle w:val="13"/>
        <w:spacing w:line="360" w:lineRule="auto"/>
        <w:ind w:right="121"/>
        <w:jc w:val="both"/>
        <w:rPr>
          <w:color w:val="000000" w:themeColor="text1"/>
          <w:lang w:eastAsia="zh-CN"/>
        </w:rPr>
      </w:pPr>
      <w:r>
        <w:rPr>
          <w:rFonts w:hint="eastAsia"/>
          <w:lang w:eastAsia="zh-CN"/>
        </w:rPr>
        <w:t xml:space="preserve">    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jc w:val="both"/>
        <w:rPr>
          <w:lang w:eastAsia="zh-CN"/>
        </w:rPr>
      </w:pPr>
      <w:r>
        <w:rPr>
          <w:rFonts w:hint="eastAsia"/>
          <w:lang w:eastAsia="zh-CN"/>
        </w:rPr>
        <w:t xml:space="preserve">    5.如有下列情况发生，将被没收参选保证金：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至报名截止时间延后2天</w:t>
      </w:r>
      <w:r>
        <w:rPr>
          <w:rFonts w:hint="eastAsia"/>
          <w:lang w:eastAsia="zh-CN"/>
        </w:rPr>
        <w:t>。</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38万元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3"/>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3"/>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,及参选保证金银行回单（复印件）和技术偏离表。</w:t>
      </w:r>
    </w:p>
    <w:p>
      <w:pPr>
        <w:pStyle w:val="13"/>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3"/>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3"/>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3"/>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430490619"/>
      <w:bookmarkStart w:id="5" w:name="_Toc304357904"/>
      <w:bookmarkStart w:id="6" w:name="_Toc430489126"/>
      <w:bookmarkStart w:id="7" w:name="_Toc177186249"/>
      <w:bookmarkStart w:id="8" w:name="_Toc430492133"/>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38万元整</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"mailto:如参选人对控制价存疑请于报价截止前发邮件至hzji@fhcpec.com.cn" </w:instrText>
      </w:r>
      <w:r>
        <w:fldChar w:fldCharType="separate"/>
      </w:r>
      <w:r>
        <w:rPr>
          <w:rStyle w:val="34"/>
          <w:rFonts w:hint="eastAsia"/>
          <w:lang w:eastAsia="zh-CN"/>
        </w:rPr>
        <w:t>如参选人对控制价存疑请于报价截止前发邮件至hzji@fhcpec.com.cn</w:t>
      </w:r>
      <w:r>
        <w:rPr>
          <w:rStyle w:val="34"/>
          <w:rFonts w:hint="eastAsia"/>
          <w:lang w:eastAsia="zh-CN"/>
        </w:rPr>
        <w:fldChar w:fldCharType="end"/>
      </w:r>
      <w:r>
        <w:rPr>
          <w:rFonts w:hint="eastAsia"/>
          <w:lang w:eastAsia="zh-CN"/>
        </w:rPr>
        <w:t>。</w:t>
      </w:r>
    </w:p>
    <w:p>
      <w:pPr>
        <w:pStyle w:val="13"/>
        <w:spacing w:line="360" w:lineRule="auto"/>
        <w:ind w:left="120" w:right="222" w:firstLine="480" w:firstLineChars="200"/>
        <w:rPr>
          <w:lang w:eastAsia="zh-CN"/>
        </w:rPr>
      </w:pP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进行商务报价的评选，商务报价最低者中选。</w:t>
      </w:r>
    </w:p>
    <w:p>
      <w:pPr>
        <w:pStyle w:val="13"/>
        <w:spacing w:line="360" w:lineRule="auto"/>
        <w:ind w:right="121" w:firstLine="480" w:firstLineChars="200"/>
        <w:jc w:val="both"/>
        <w:rPr>
          <w:lang w:eastAsia="zh-CN"/>
        </w:rPr>
      </w:pPr>
      <w:r>
        <w:rPr>
          <w:rFonts w:hint="eastAsia"/>
          <w:lang w:eastAsia="zh-CN"/>
        </w:rPr>
        <w:t>1</w:t>
      </w:r>
      <w:r>
        <w:rPr>
          <w:lang w:eastAsia="zh-CN"/>
        </w:rPr>
        <w:t>.技术</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资格符合业主要求方可进行商务报价评选。</w:t>
      </w:r>
    </w:p>
    <w:p>
      <w:pPr>
        <w:pStyle w:val="13"/>
        <w:spacing w:line="360" w:lineRule="auto"/>
        <w:ind w:right="121" w:firstLine="480" w:firstLineChars="200"/>
        <w:jc w:val="both"/>
        <w:rPr>
          <w:lang w:eastAsia="zh-CN"/>
        </w:rPr>
      </w:pPr>
      <w:r>
        <w:rPr>
          <w:rFonts w:hint="eastAsia"/>
          <w:lang w:eastAsia="zh-CN"/>
        </w:rPr>
        <w:t>2</w:t>
      </w:r>
      <w:r>
        <w:rPr>
          <w:lang w:eastAsia="zh-CN"/>
        </w:rPr>
        <w:t>.商务</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商务报价最低者中选。</w:t>
      </w:r>
    </w:p>
    <w:p>
      <w:pPr>
        <w:spacing w:before="15" w:line="360" w:lineRule="auto"/>
        <w:ind w:firstLine="534" w:firstLineChars="200"/>
        <w:rPr>
          <w:b/>
          <w:w w:val="95"/>
          <w:sz w:val="28"/>
          <w:lang w:eastAsia="zh-CN"/>
        </w:rPr>
      </w:pPr>
      <w:r>
        <w:rPr>
          <w:b/>
          <w:w w:val="95"/>
          <w:sz w:val="28"/>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3"/>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60" w:lineRule="auto"/>
        <w:ind w:left="367" w:leftChars="167" w:firstLine="360" w:firstLineChars="150"/>
        <w:jc w:val="both"/>
        <w:rPr>
          <w:b w:val="0"/>
          <w:sz w:val="24"/>
          <w:szCs w:val="24"/>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福建福海创石油化工有限公司的权属子公司“翔鹭石化（漳州）有限公司”作为合同执行主体，将于中选通知书发出之日起20个工作日内与中选人完成合同签订事宜。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余热发电项目电力监控系统等级保护测评及安全防护评估与整改加固</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pStyle w:val="16"/>
        <w:spacing w:line="360" w:lineRule="auto"/>
        <w:jc w:val="center"/>
        <w:rPr>
          <w:rFonts w:hAnsi="宋体"/>
          <w:b/>
          <w:sz w:val="36"/>
          <w:szCs w:val="36"/>
          <w:lang w:eastAsia="zh-CN"/>
        </w:rPr>
      </w:pPr>
      <w:r>
        <w:rPr>
          <w:rFonts w:hint="eastAsia" w:hAnsi="宋体"/>
          <w:b/>
          <w:sz w:val="36"/>
          <w:szCs w:val="36"/>
          <w:lang w:eastAsia="zh-CN"/>
        </w:rPr>
        <w:t>翔鹭石化（漳州）有限公司</w:t>
      </w:r>
    </w:p>
    <w:p>
      <w:pPr>
        <w:pStyle w:val="16"/>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余热发电项目电力监控系统等级保护测评及安全防护</w:t>
      </w:r>
    </w:p>
    <w:p>
      <w:pPr>
        <w:pStyle w:val="16"/>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评估与整改加固</w:t>
      </w:r>
      <w:r>
        <w:rPr>
          <w:rFonts w:hint="eastAsia" w:asciiTheme="majorEastAsia" w:hAnsiTheme="majorEastAsia" w:eastAsiaTheme="majorEastAsia"/>
          <w:b/>
          <w:bCs/>
          <w:sz w:val="36"/>
          <w:szCs w:val="36"/>
          <w:lang w:eastAsia="zh-CN"/>
        </w:rPr>
        <w:t>项目</w:t>
      </w:r>
      <w:r>
        <w:rPr>
          <w:rFonts w:hint="eastAsia" w:hAnsi="宋体"/>
          <w:b/>
          <w:sz w:val="36"/>
          <w:szCs w:val="36"/>
          <w:lang w:eastAsia="zh-CN"/>
        </w:rPr>
        <w:t>技术服务合同</w:t>
      </w:r>
    </w:p>
    <w:p>
      <w:pPr>
        <w:pStyle w:val="16"/>
        <w:spacing w:line="400" w:lineRule="exact"/>
        <w:ind w:right="480"/>
        <w:jc w:val="center"/>
        <w:rPr>
          <w:rFonts w:hAnsi="宋体"/>
          <w:sz w:val="24"/>
          <w:szCs w:val="24"/>
          <w:lang w:eastAsia="zh-CN"/>
        </w:rPr>
      </w:pPr>
      <w:r>
        <w:rPr>
          <w:rFonts w:hint="eastAsia" w:hAnsi="宋体"/>
          <w:sz w:val="24"/>
          <w:szCs w:val="24"/>
          <w:lang w:eastAsia="zh-CN"/>
        </w:rPr>
        <w:t xml:space="preserve">        合同编号：</w:t>
      </w:r>
    </w:p>
    <w:p>
      <w:pPr>
        <w:pStyle w:val="16"/>
        <w:spacing w:line="400" w:lineRule="exact"/>
        <w:jc w:val="center"/>
        <w:rPr>
          <w:rFonts w:hAnsi="宋体"/>
          <w:sz w:val="24"/>
          <w:szCs w:val="24"/>
          <w:lang w:eastAsia="zh-CN"/>
        </w:rPr>
      </w:pPr>
      <w:r>
        <w:rPr>
          <w:rFonts w:hint="eastAsia" w:hAnsi="宋体"/>
          <w:sz w:val="24"/>
          <w:szCs w:val="24"/>
          <w:lang w:eastAsia="zh-CN"/>
        </w:rPr>
        <w:t xml:space="preserve">                       签订日期：     年    月    日</w:t>
      </w:r>
    </w:p>
    <w:p>
      <w:pPr>
        <w:pStyle w:val="16"/>
        <w:spacing w:line="400" w:lineRule="exact"/>
        <w:rPr>
          <w:rFonts w:hAnsi="宋体"/>
          <w:sz w:val="32"/>
          <w:szCs w:val="32"/>
          <w:lang w:eastAsia="zh-CN"/>
        </w:rPr>
      </w:pP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：翔鹭石化（漳州）有限公司</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福建省漳州市古雷开发区腾龙路86号</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：孙赞法</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：福建省漳州市漳浦县古雷经济开发区腾龙路86号</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：19959614344</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 zfsun@fhcpec.com.cn</w:t>
      </w:r>
    </w:p>
    <w:p>
      <w:pPr>
        <w:pStyle w:val="16"/>
        <w:spacing w:line="360" w:lineRule="auto"/>
        <w:rPr>
          <w:rFonts w:asciiTheme="minorEastAsia" w:hAnsiTheme="minorEastAsia" w:eastAsiaTheme="minorEastAsia"/>
          <w:sz w:val="24"/>
          <w:szCs w:val="24"/>
          <w:lang w:eastAsia="zh-CN"/>
        </w:rPr>
      </w:pP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项目联系人：</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传    真：</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翔鹭石化（漳州）有限公司余热发电项目电力监控系统等级保护测评及安全防护评估与整改加固项目</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进行技术服务及咨询，并支付技术服务及咨询报酬。双方经过平等协商，在真实、充分地表达各自意愿的基础上，根据《中华人民共和国合同法》的规定，达成如下协议，并由双方共同恪守。</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乙方进行技术咨询的内容、要求、方式：</w:t>
      </w:r>
    </w:p>
    <w:p>
      <w:pPr>
        <w:pStyle w:val="16"/>
        <w:spacing w:line="360" w:lineRule="auto"/>
        <w:ind w:left="2760" w:hanging="2760" w:hangingChars="1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1.技术服务及咨询内容：</w:t>
      </w:r>
      <w:r>
        <w:rPr>
          <w:rFonts w:hint="eastAsia" w:asciiTheme="minorEastAsia" w:hAnsiTheme="minorEastAsia" w:eastAsiaTheme="minorEastAsia"/>
          <w:sz w:val="24"/>
          <w:szCs w:val="24"/>
          <w:u w:val="single"/>
          <w:lang w:eastAsia="zh-CN"/>
        </w:rPr>
        <w:t xml:space="preserve"> 余热发电项目电力监控系统等级保护测评及安全防护评估与整改加固项目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2.技术服务及咨询要求：</w:t>
      </w:r>
      <w:r>
        <w:rPr>
          <w:rFonts w:hint="eastAsia" w:asciiTheme="minorEastAsia" w:hAnsiTheme="minorEastAsia" w:eastAsiaTheme="minorEastAsia"/>
          <w:sz w:val="24"/>
          <w:szCs w:val="24"/>
          <w:u w:val="single"/>
          <w:lang w:eastAsia="zh-CN"/>
        </w:rPr>
        <w:t xml:space="preserve"> 见技术规范书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乙方按照下列要求进行本合同项目的技术咨询工作：</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1.技术服务及咨询地点：</w:t>
      </w:r>
      <w:r>
        <w:rPr>
          <w:rFonts w:hint="eastAsia" w:asciiTheme="minorEastAsia" w:hAnsiTheme="minorEastAsia" w:eastAsiaTheme="minorEastAsia"/>
          <w:sz w:val="24"/>
          <w:szCs w:val="24"/>
          <w:u w:val="single"/>
          <w:lang w:eastAsia="zh-CN"/>
        </w:rPr>
        <w:t xml:space="preserve"> 翔鹭石化（漳州）有限公司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2.技术服务及咨询期限：</w:t>
      </w:r>
      <w:r>
        <w:rPr>
          <w:rFonts w:hint="eastAsia" w:asciiTheme="minorEastAsia" w:hAnsiTheme="minorEastAsia" w:eastAsiaTheme="minorEastAsia"/>
          <w:sz w:val="24"/>
          <w:szCs w:val="24"/>
          <w:u w:val="single"/>
          <w:lang w:eastAsia="zh-CN"/>
        </w:rPr>
        <w:t xml:space="preserve">  合同生效后3个月（暂定）,甲方确认。  </w:t>
      </w:r>
    </w:p>
    <w:p>
      <w:pPr>
        <w:pStyle w:val="16"/>
        <w:spacing w:line="360" w:lineRule="auto"/>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3.技术服务及咨询进度：</w:t>
      </w:r>
      <w:r>
        <w:rPr>
          <w:rFonts w:hint="eastAsia" w:asciiTheme="minorEastAsia" w:hAnsiTheme="minorEastAsia" w:eastAsiaTheme="minorEastAsia"/>
          <w:sz w:val="24"/>
          <w:szCs w:val="24"/>
          <w:u w:val="single"/>
          <w:lang w:eastAsia="zh-CN"/>
        </w:rPr>
        <w:t xml:space="preserve">  依据甲方现场情况执行，乙方须无条件根据甲方厂区工作进度计划的总体安排开展相关技术服务工作，并满足工期调整的要求。 </w:t>
      </w:r>
    </w:p>
    <w:p>
      <w:pPr>
        <w:pStyle w:val="16"/>
        <w:spacing w:line="360" w:lineRule="auto"/>
        <w:ind w:left="1"/>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4、技术服务及咨询质量要求：</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napToGrid w:val="0"/>
          <w:color w:val="000000"/>
          <w:sz w:val="24"/>
          <w:szCs w:val="24"/>
          <w:u w:val="single"/>
          <w:lang w:eastAsia="zh-CN"/>
        </w:rPr>
        <w:t>使</w:t>
      </w:r>
      <w:r>
        <w:rPr>
          <w:rFonts w:hint="eastAsia" w:asciiTheme="minorEastAsia" w:hAnsiTheme="minorEastAsia" w:eastAsiaTheme="minorEastAsia"/>
          <w:snapToGrid w:val="0"/>
          <w:color w:val="000000"/>
          <w:sz w:val="24"/>
          <w:szCs w:val="24"/>
          <w:u w:val="single"/>
          <w:lang w:eastAsia="zh-CN"/>
        </w:rPr>
        <w:t>甲方电力</w:t>
      </w:r>
      <w:r>
        <w:rPr>
          <w:rFonts w:asciiTheme="minorEastAsia" w:hAnsiTheme="minorEastAsia" w:eastAsiaTheme="minorEastAsia"/>
          <w:snapToGrid w:val="0"/>
          <w:color w:val="000000"/>
          <w:sz w:val="24"/>
          <w:szCs w:val="24"/>
          <w:u w:val="single"/>
          <w:lang w:eastAsia="zh-CN"/>
        </w:rPr>
        <w:t>系统正常投入运行、完成</w:t>
      </w:r>
      <w:r>
        <w:rPr>
          <w:rFonts w:hint="eastAsia" w:asciiTheme="minorEastAsia" w:hAnsiTheme="minorEastAsia" w:eastAsiaTheme="minorEastAsia"/>
          <w:snapToGrid w:val="0"/>
          <w:color w:val="000000"/>
          <w:sz w:val="24"/>
          <w:szCs w:val="24"/>
          <w:u w:val="single"/>
          <w:lang w:eastAsia="zh-CN"/>
        </w:rPr>
        <w:t>24</w:t>
      </w:r>
      <w:r>
        <w:rPr>
          <w:rFonts w:asciiTheme="minorEastAsia" w:hAnsiTheme="minorEastAsia" w:eastAsiaTheme="minorEastAsia"/>
          <w:snapToGrid w:val="0"/>
          <w:color w:val="000000"/>
          <w:sz w:val="24"/>
          <w:szCs w:val="24"/>
          <w:u w:val="single"/>
          <w:lang w:eastAsia="zh-CN"/>
        </w:rPr>
        <w:t>小时连续试运行并达标</w:t>
      </w:r>
      <w:r>
        <w:rPr>
          <w:rFonts w:hint="eastAsia" w:asciiTheme="minorEastAsia" w:hAnsiTheme="minorEastAsia" w:eastAsiaTheme="minorEastAsia"/>
          <w:snapToGrid w:val="0"/>
          <w:color w:val="000000"/>
          <w:sz w:val="24"/>
          <w:szCs w:val="24"/>
          <w:u w:val="single"/>
          <w:lang w:eastAsia="zh-CN"/>
        </w:rPr>
        <w:t>；</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5、技术服务及咨询质量期限要求：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napToGrid w:val="0"/>
          <w:color w:val="000000"/>
          <w:sz w:val="24"/>
          <w:szCs w:val="24"/>
          <w:u w:val="single"/>
          <w:lang w:eastAsia="zh-CN"/>
        </w:rPr>
        <w:t>24</w:t>
      </w:r>
      <w:r>
        <w:rPr>
          <w:rFonts w:asciiTheme="minorEastAsia" w:hAnsiTheme="minorEastAsia" w:eastAsiaTheme="minorEastAsia"/>
          <w:snapToGrid w:val="0"/>
          <w:color w:val="000000"/>
          <w:sz w:val="24"/>
          <w:szCs w:val="24"/>
          <w:u w:val="single"/>
          <w:lang w:eastAsia="zh-CN"/>
        </w:rPr>
        <w:t>小时连续试运行</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为保证乙方有效进行技术咨询工作，甲方应当向乙方提供下列协作事项：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按工作要求提供相关的资料和信息，详见技术规范书   </w:t>
      </w:r>
      <w:r>
        <w:rPr>
          <w:rFonts w:hint="eastAsia" w:asciiTheme="minorEastAsia" w:hAnsiTheme="minorEastAsia" w:eastAsiaTheme="minorEastAsia"/>
          <w:sz w:val="24"/>
          <w:szCs w:val="24"/>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详见技术规范书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甲方负责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16"/>
        <w:numPr>
          <w:ilvl w:val="0"/>
          <w:numId w:val="5"/>
        </w:numPr>
        <w:autoSpaceDE/>
        <w:autoSpaceDN/>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技术服务及咨询报酬总价款为：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，税率     </w:t>
      </w:r>
    </w:p>
    <w:p>
      <w:pPr>
        <w:pStyle w:val="44"/>
        <w:widowControl/>
        <w:spacing w:before="0" w:line="360" w:lineRule="auto"/>
        <w:ind w:left="0" w:firstLine="482"/>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本合同的技术服务费为包干制，</w:t>
      </w:r>
      <w:r>
        <w:rPr>
          <w:rFonts w:hint="eastAsia" w:asciiTheme="minorEastAsia" w:hAnsiTheme="minorEastAsia" w:eastAsiaTheme="minorEastAsia"/>
          <w:sz w:val="24"/>
          <w:lang w:eastAsia="zh-CN"/>
        </w:rPr>
        <w:t>费用包括乙方工作涉及到的劳务费、管理费、工具费、劳保费、所有税费、各种保险、安全费用、利润、食宿费、加班费、办公费、运输费、耗材费及合同涉及到的所有风险、责任、义务等费用</w:t>
      </w:r>
      <w:r>
        <w:rPr>
          <w:rFonts w:hint="eastAsia" w:asciiTheme="minorEastAsia" w:hAnsiTheme="minorEastAsia" w:eastAsiaTheme="minorEastAsia"/>
          <w:color w:val="000000"/>
          <w:sz w:val="24"/>
          <w:lang w:eastAsia="zh-CN"/>
        </w:rPr>
        <w:t>。乙方根据实际需要增加或者减少工作人员数量，本合同总价不变。</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具体支付方式和时间分配如下：</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1）预付款：合同生效后甲方支付合同总价的10%（即</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元）作为预付款；</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2）验收款：工作完成并经甲方及政府相关部门验收合格后，支付合同总价90%（即</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元）作为验收款，</w:t>
      </w:r>
      <w:r>
        <w:rPr>
          <w:rFonts w:hint="eastAsia"/>
          <w:sz w:val="24"/>
          <w:lang w:eastAsia="zh-CN"/>
        </w:rPr>
        <w:t>领取</w:t>
      </w:r>
      <w:r>
        <w:rPr>
          <w:rFonts w:hint="eastAsia" w:asciiTheme="minorEastAsia" w:hAnsiTheme="minorEastAsia" w:eastAsiaTheme="minorEastAsia"/>
          <w:sz w:val="24"/>
          <w:szCs w:val="24"/>
          <w:lang w:eastAsia="zh-CN"/>
        </w:rPr>
        <w:t>《等级保护测评报告》及《安全防护评估报告》。</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3）乙方应在甲方每次付款期限届满</w:t>
      </w:r>
      <w:r>
        <w:rPr>
          <w:rFonts w:hint="eastAsia" w:asciiTheme="minorEastAsia" w:hAnsiTheme="minorEastAsia" w:eastAsiaTheme="minorEastAsia"/>
          <w:sz w:val="24"/>
          <w:szCs w:val="24"/>
          <w:u w:val="single"/>
          <w:lang w:eastAsia="zh-CN"/>
        </w:rPr>
        <w:t xml:space="preserve"> 10</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日前提供相应的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 司  名 称：</w:t>
      </w:r>
      <w:r>
        <w:rPr>
          <w:rFonts w:hint="eastAsia" w:asciiTheme="minorEastAsia" w:hAnsiTheme="minorEastAsia" w:eastAsiaTheme="minorEastAsia"/>
          <w:sz w:val="24"/>
          <w:szCs w:val="24"/>
          <w:u w:val="single"/>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乙方开户银行：</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        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  按本合同约定及国家有关保密法的规定执行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1.保密内容：甲方提供的资料以及乙方在提供本合同约定服务过程中知悉的甲方技术信息、经营信息、生产工艺、操作流程等。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注：具体见</w:t>
      </w:r>
      <w:r>
        <w:rPr>
          <w:rFonts w:hint="eastAsia" w:asciiTheme="minorEastAsia" w:hAnsiTheme="minorEastAsia" w:eastAsiaTheme="minorEastAsia"/>
          <w:b/>
          <w:sz w:val="24"/>
          <w:szCs w:val="24"/>
          <w:lang w:eastAsia="zh-CN"/>
        </w:rPr>
        <w:t>附件四“保密协议”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1、乙方提交技术服务工作成果的形式：</w:t>
      </w:r>
      <w:r>
        <w:rPr>
          <w:rFonts w:hint="eastAsia" w:asciiTheme="minorEastAsia" w:hAnsiTheme="minorEastAsia" w:eastAsiaTheme="minorEastAsia"/>
          <w:sz w:val="24"/>
          <w:szCs w:val="24"/>
          <w:u w:val="single"/>
          <w:lang w:eastAsia="zh-CN"/>
        </w:rPr>
        <w:t xml:space="preserve"> 按验收测试大纲进行，全过程须有甲方在场见证，具体见技术规范书。</w:t>
      </w:r>
      <w:r>
        <w:rPr>
          <w:rFonts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2、技术服务工作成果的验收标准：</w:t>
      </w:r>
    </w:p>
    <w:p>
      <w:pPr>
        <w:spacing w:line="360" w:lineRule="auto"/>
        <w:ind w:firstLine="480" w:firstLineChars="200"/>
        <w:rPr>
          <w:sz w:val="24"/>
          <w:lang w:eastAsia="zh-CN"/>
        </w:rPr>
      </w:pPr>
      <w:r>
        <w:rPr>
          <w:rFonts w:hint="eastAsia"/>
          <w:sz w:val="24"/>
          <w:lang w:eastAsia="zh-CN"/>
        </w:rPr>
        <w:t>乙方应依照相关国家、行业标准提供用于本项目的合格设备、材料及组织施工。以技术规范书中1.3条标准和规范作为完成本项目所需的基本标准及规范，如在工作中需引用其他标准或规范，则该标准或规范同样是承揽商所遵循的依据，若当技术标准、规范、工程图等出现矛盾时，除特别规定外，其余依照要求高的规范执行，并及时通知甲方审核确认。若在工作前有更高版本时，按更高版本来执行。</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 xml:space="preserve">  翔鹭石化（漳州）有限公司</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孙赞法</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16"/>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hAnsi="宋体" w:cs="宋体"/>
          <w:sz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甲乙方的责任和义务</w:t>
      </w:r>
    </w:p>
    <w:p>
      <w:pPr>
        <w:pStyle w:val="16"/>
        <w:numPr>
          <w:ilvl w:val="0"/>
          <w:numId w:val="6"/>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乙方的一般责任</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合同的各项规定，乙方应按照甲方工厂章程开展工作，精心组织，加强质量控制，按时完成本合同项目工作及其服务缺陷的恢复，确保测评及评估工作质量。为此，乙方应按合同规定提供所需的全部监督管理、劳务、材料、设备和其他物品。</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乙方应为本合同的工作内容建立强有力的质保体系和质检系统，按质量体系文件要求开展全面质量管理，确保工作质量。乙方应执行国家和电力行业的法规与文件，服从甲方的质量管理要求。具体做到：</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建立质量责任制；</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1）对现场人员加强质量教育，强化质量意识，开工前技术交底；</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2）加强质量监控，确保规范规定的检验，现场质检的原始资料必须真实、准确、可靠；</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3）必须完备检验手段，要根据技术规范的规定配齐检测和试验仪器、仪表；</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应负担由于服务措施不当（或欠考虑）而造成的全部损失，乙方应采取有效措施使得服务作业不至于损害乙方及他人的人身、设备、设施等，乙方对由此引起的事件负有全部责任，保障甲方免于承担由乙方负责事项所导致的诉讼、行政处罚或一切索赔、罚款。</w:t>
      </w:r>
    </w:p>
    <w:p>
      <w:pPr>
        <w:pStyle w:val="16"/>
        <w:numPr>
          <w:ilvl w:val="0"/>
          <w:numId w:val="6"/>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甲方的责任</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1）将负责测评实施过程中同相关单位和部门的协调，在取得甲方同意的情况下为乙方提供的工作、生活必要的帮助；</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2）向乙方提供良好的工作场地和环境；</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3）协调工作现场上的各相互交叉作业关系，及时处理有关问题；</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4）按工作要求提供相关的资料和信息；</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5）准备应急措施，负责实施过程中的紧急情况的处理。</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保险</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除非合同另有规定，在本合同工程的施工和缺陷修复过程中，甲方对乙方的人身死亡或伤残，或财产的损失或损害不予赔偿。甲方也不对乙方与此有关的索赔、损害、赔偿及诉讼等费用和其他开支承担责任。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违约责任</w:t>
      </w:r>
    </w:p>
    <w:p>
      <w:pPr>
        <w:spacing w:line="360" w:lineRule="auto"/>
        <w:rPr>
          <w:rStyle w:val="53"/>
          <w:rFonts w:asciiTheme="minorEastAsia" w:hAnsiTheme="minorEastAsia" w:eastAsiaTheme="minorEastAsia"/>
          <w:sz w:val="24"/>
          <w:lang w:eastAsia="zh-CN"/>
        </w:rPr>
      </w:pPr>
      <w:r>
        <w:rPr>
          <w:rStyle w:val="53"/>
          <w:rFonts w:hint="eastAsia" w:asciiTheme="minorEastAsia" w:hAnsiTheme="minorEastAsia" w:eastAsiaTheme="minorEastAsia"/>
          <w:color w:val="000000"/>
          <w:sz w:val="24"/>
          <w:lang w:eastAsia="zh-CN"/>
        </w:rPr>
        <w:t>1．乙方逾期完成工作目标的，每日应向甲方支付违约金为合同价格的3‰，逾期超过</w:t>
      </w:r>
      <w:r>
        <w:rPr>
          <w:rFonts w:hint="eastAsia" w:asciiTheme="minorEastAsia" w:hAnsiTheme="minorEastAsia" w:eastAsiaTheme="minorEastAsia"/>
          <w:sz w:val="24"/>
          <w:u w:val="single"/>
          <w:lang w:eastAsia="zh-CN"/>
        </w:rPr>
        <w:t xml:space="preserve"> 15</w:t>
      </w:r>
      <w:r>
        <w:rPr>
          <w:rFonts w:asciiTheme="minorEastAsia" w:hAnsiTheme="minorEastAsia" w:eastAsiaTheme="minorEastAsia"/>
          <w:sz w:val="24"/>
          <w:u w:val="single"/>
          <w:lang w:eastAsia="zh-CN"/>
        </w:rPr>
        <w:t xml:space="preserve"> </w:t>
      </w:r>
      <w:r>
        <w:rPr>
          <w:rStyle w:val="53"/>
          <w:rFonts w:hint="eastAsia" w:asciiTheme="minorEastAsia" w:hAnsiTheme="minorEastAsia" w:eastAsiaTheme="minorEastAsia"/>
          <w:color w:val="000000"/>
          <w:sz w:val="24"/>
          <w:lang w:eastAsia="zh-CN"/>
        </w:rPr>
        <w:t>日的，甲方还有权解除本合同并要求乙方退还已经收取的费用及占用期间利息，乙方还需支付甲方合同总</w:t>
      </w:r>
      <w:r>
        <w:rPr>
          <w:rStyle w:val="53"/>
          <w:rFonts w:hint="eastAsia" w:asciiTheme="minorEastAsia" w:hAnsiTheme="minorEastAsia" w:eastAsiaTheme="minorEastAsia"/>
          <w:sz w:val="24"/>
          <w:lang w:eastAsia="zh-CN"/>
        </w:rPr>
        <w:t>额</w:t>
      </w:r>
      <w:r>
        <w:rPr>
          <w:rStyle w:val="53"/>
          <w:rFonts w:asciiTheme="minorEastAsia" w:hAnsiTheme="minorEastAsia" w:eastAsiaTheme="minorEastAsia"/>
          <w:sz w:val="24"/>
          <w:u w:val="single"/>
          <w:lang w:eastAsia="zh-CN"/>
        </w:rPr>
        <w:t>5</w:t>
      </w:r>
      <w:r>
        <w:rPr>
          <w:rStyle w:val="53"/>
          <w:rFonts w:hint="eastAsia" w:asciiTheme="minorEastAsia" w:hAnsiTheme="minorEastAsia" w:eastAsiaTheme="minorEastAsia"/>
          <w:sz w:val="24"/>
          <w:u w:val="single"/>
          <w:lang w:eastAsia="zh-CN"/>
        </w:rPr>
        <w:t>%</w:t>
      </w:r>
      <w:r>
        <w:rPr>
          <w:rStyle w:val="53"/>
          <w:rFonts w:hint="eastAsia" w:asciiTheme="minorEastAsia" w:hAnsiTheme="minorEastAsia" w:eastAsiaTheme="minorEastAsia"/>
          <w:sz w:val="24"/>
          <w:lang w:eastAsia="zh-CN"/>
        </w:rPr>
        <w:t>的违约金。</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2．乙方提交的服务咨询结果不符合合同约定的，应在甲方指定期限内修改完善直至符合合同约定为止，由此造成逾期提交的，按照第1款约定执行。</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壹万</w:t>
      </w:r>
      <w:r>
        <w:rPr>
          <w:rFonts w:asciiTheme="minorEastAsia" w:hAnsiTheme="minorEastAsia" w:eastAsiaTheme="minorEastAsia"/>
          <w:sz w:val="24"/>
          <w:szCs w:val="24"/>
          <w:u w:val="single"/>
          <w:lang w:eastAsia="zh-CN"/>
        </w:rPr>
        <w:t xml:space="preserve"> </w:t>
      </w:r>
      <w:r>
        <w:rPr>
          <w:rStyle w:val="53"/>
          <w:rFonts w:hint="eastAsia" w:asciiTheme="minorEastAsia" w:hAnsiTheme="minorEastAsia" w:eastAsiaTheme="minorEastAsia"/>
          <w:sz w:val="24"/>
          <w:szCs w:val="24"/>
          <w:lang w:eastAsia="zh-CN"/>
        </w:rPr>
        <w:t>元；并赔偿由此给对方造成的损失。</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4、任何一方无正当理由单方解除合同的，应向对方支付合同总额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的违约金，并赔偿对方的损失。</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5、若乙方在履行合同过程中存在弄虚作假的情形，甲方有权单方解除合同，乙方应退还已收取的费用及占用期间利息，并支付甲方合同总额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w:t>
      </w:r>
    </w:p>
    <w:p>
      <w:pPr>
        <w:pStyle w:val="16"/>
        <w:spacing w:line="360" w:lineRule="auto"/>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sz w:val="24"/>
          <w:szCs w:val="24"/>
          <w:lang w:eastAsia="zh-CN"/>
        </w:rPr>
        <w:t>6、乙方进入甲方现场服务期间，因不可归责于甲方的原因造成甲方、</w:t>
      </w:r>
      <w:r>
        <w:rPr>
          <w:rStyle w:val="53"/>
          <w:rFonts w:hint="eastAsia" w:asciiTheme="minorEastAsia" w:hAnsiTheme="minorEastAsia" w:eastAsiaTheme="minorEastAsia"/>
          <w:color w:val="000000"/>
          <w:sz w:val="24"/>
          <w:szCs w:val="24"/>
          <w:lang w:eastAsia="zh-CN"/>
        </w:rPr>
        <w:t>乙方或任何第三方人身财产损失的，由乙方承担全部责任。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双方因履行本合同而发生的争议，可协商、调解解决，也可直接采取下列第</w:t>
      </w:r>
      <w:r>
        <w:rPr>
          <w:rFonts w:hint="eastAsia" w:asciiTheme="minorEastAsia" w:hAnsiTheme="minorEastAsia" w:eastAsiaTheme="minorEastAsia"/>
          <w:sz w:val="24"/>
          <w:szCs w:val="24"/>
          <w:u w:val="single"/>
          <w:lang w:eastAsia="zh-CN"/>
        </w:rPr>
        <w:t xml:space="preserve"> 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种方式解决：</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仲裁委员会申请仲裁；</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其他</w:t>
      </w:r>
    </w:p>
    <w:p>
      <w:pPr>
        <w:pStyle w:val="16"/>
        <w:spacing w:line="360" w:lineRule="auto"/>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本合同经双方盖章后生效。本合同一式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pPr>
        <w:tabs>
          <w:tab w:val="left" w:pos="2010"/>
        </w:tabs>
        <w:spacing w:line="520" w:lineRule="exact"/>
        <w:ind w:firstLine="360" w:firstLineChars="150"/>
        <w:rPr>
          <w:sz w:val="24"/>
          <w:lang w:eastAsia="zh-CN"/>
        </w:rPr>
      </w:pPr>
      <w:r>
        <w:rPr>
          <w:rFonts w:hint="eastAsia"/>
          <w:sz w:val="24"/>
          <w:lang w:eastAsia="zh-CN"/>
        </w:rPr>
        <w:t>本合同未尽事宜，如需更改经双方协商后可另签补充协议。</w:t>
      </w:r>
    </w:p>
    <w:p>
      <w:pPr>
        <w:tabs>
          <w:tab w:val="left" w:pos="2010"/>
        </w:tabs>
        <w:spacing w:line="520" w:lineRule="exact"/>
        <w:ind w:firstLine="360" w:firstLineChars="150"/>
        <w:rPr>
          <w:sz w:val="24"/>
          <w:lang w:eastAsia="zh-CN"/>
        </w:rPr>
      </w:pPr>
    </w:p>
    <w:p>
      <w:pPr>
        <w:tabs>
          <w:tab w:val="left" w:pos="2010"/>
        </w:tabs>
        <w:spacing w:line="360" w:lineRule="auto"/>
        <w:rPr>
          <w:sz w:val="24"/>
          <w:lang w:eastAsia="zh-CN"/>
        </w:rPr>
      </w:pPr>
      <w:r>
        <w:rPr>
          <w:rFonts w:hint="eastAsia"/>
          <w:sz w:val="24"/>
          <w:lang w:eastAsia="zh-CN"/>
        </w:rPr>
        <w:t>附件1、技术规范书</w:t>
      </w:r>
    </w:p>
    <w:p>
      <w:pPr>
        <w:tabs>
          <w:tab w:val="left" w:pos="2010"/>
        </w:tabs>
        <w:spacing w:line="360" w:lineRule="auto"/>
        <w:rPr>
          <w:sz w:val="24"/>
          <w:lang w:eastAsia="zh-CN"/>
        </w:rPr>
      </w:pPr>
      <w:r>
        <w:rPr>
          <w:rFonts w:hint="eastAsia"/>
          <w:sz w:val="24"/>
          <w:lang w:eastAsia="zh-CN"/>
        </w:rPr>
        <w:t>附件2、报价表</w:t>
      </w:r>
    </w:p>
    <w:p>
      <w:pPr>
        <w:tabs>
          <w:tab w:val="left" w:pos="2010"/>
        </w:tabs>
        <w:spacing w:line="360" w:lineRule="auto"/>
        <w:rPr>
          <w:sz w:val="24"/>
          <w:lang w:eastAsia="zh-CN"/>
        </w:rPr>
      </w:pPr>
      <w:r>
        <w:rPr>
          <w:rFonts w:hint="eastAsia"/>
          <w:sz w:val="24"/>
          <w:lang w:eastAsia="zh-CN"/>
        </w:rPr>
        <w:t>附件3、安全环保协议书</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附件4、保密协议</w:t>
      </w: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r>
        <w:rPr>
          <w:rFonts w:hint="eastAsia" w:cs="Arial"/>
          <w:b/>
          <w:sz w:val="24"/>
          <w:lang w:eastAsia="zh-CN"/>
        </w:rPr>
        <w:t>（以下无正文）</w:t>
      </w:r>
    </w:p>
    <w:p>
      <w:pPr>
        <w:tabs>
          <w:tab w:val="left" w:pos="2010"/>
        </w:tabs>
        <w:spacing w:line="360" w:lineRule="auto"/>
        <w:ind w:firstLine="964" w:firstLineChars="400"/>
        <w:rPr>
          <w:rFonts w:cs="Arial"/>
          <w:b/>
          <w:sz w:val="24"/>
          <w:lang w:eastAsia="zh-CN"/>
        </w:rPr>
      </w:pP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受托</w:t>
      </w:r>
      <w:r>
        <w:rPr>
          <w:rFonts w:cs="Arial"/>
          <w:b/>
          <w:sz w:val="24"/>
          <w:lang w:eastAsia="zh-CN"/>
        </w:rPr>
        <w:t>方</w:t>
      </w:r>
      <w:r>
        <w:rPr>
          <w:rFonts w:hint="eastAsia" w:cs="Arial"/>
          <w:b/>
          <w:sz w:val="24"/>
          <w:lang w:eastAsia="zh-CN"/>
        </w:rPr>
        <w:t>（乙方）：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翔鹭石化（漳州）有限公司          </w:t>
      </w:r>
    </w:p>
    <w:p>
      <w:pPr>
        <w:spacing w:line="360" w:lineRule="auto"/>
        <w:ind w:right="-147" w:rightChars="-67"/>
        <w:rPr>
          <w:rFonts w:cs="Arial"/>
          <w:b/>
          <w:sz w:val="24"/>
          <w:lang w:eastAsia="zh-CN"/>
        </w:rPr>
      </w:pPr>
    </w:p>
    <w:p>
      <w:pPr>
        <w:spacing w:line="360" w:lineRule="auto"/>
        <w:ind w:left="832" w:right="-147" w:rightChars="-67" w:hanging="831" w:hangingChars="378"/>
        <w:rPr>
          <w:szCs w:val="21"/>
          <w:lang w:eastAsia="zh-CN"/>
        </w:rPr>
      </w:pPr>
      <w:r>
        <w:rPr>
          <w:rFonts w:hint="eastAsia"/>
          <w:szCs w:val="21"/>
          <w:lang w:eastAsia="zh-CN"/>
        </w:rPr>
        <w:t>地</w:t>
      </w:r>
      <w:r>
        <w:rPr>
          <w:szCs w:val="21"/>
          <w:lang w:eastAsia="zh-CN"/>
        </w:rPr>
        <w:t xml:space="preserve">  </w:t>
      </w:r>
      <w:r>
        <w:rPr>
          <w:rFonts w:hint="eastAsia"/>
          <w:szCs w:val="21"/>
          <w:lang w:eastAsia="zh-CN"/>
        </w:rPr>
        <w:t>址：福建省漳州市漳州古雷经济开发区       地</w:t>
      </w:r>
      <w:r>
        <w:rPr>
          <w:szCs w:val="21"/>
          <w:lang w:eastAsia="zh-CN"/>
        </w:rPr>
        <w:t xml:space="preserve"> </w:t>
      </w:r>
      <w:r>
        <w:rPr>
          <w:rFonts w:hint="eastAsia"/>
          <w:szCs w:val="21"/>
          <w:lang w:eastAsia="zh-CN"/>
        </w:rPr>
        <w:t xml:space="preserve"> 址：</w:t>
      </w:r>
    </w:p>
    <w:p>
      <w:pPr>
        <w:spacing w:line="360" w:lineRule="auto"/>
        <w:ind w:left="832" w:leftChars="378" w:right="-147" w:rightChars="-67"/>
        <w:rPr>
          <w:lang w:eastAsia="zh-CN"/>
        </w:rPr>
      </w:pPr>
      <w:r>
        <w:rPr>
          <w:rFonts w:hint="eastAsia"/>
          <w:szCs w:val="21"/>
          <w:lang w:eastAsia="zh-CN"/>
        </w:rPr>
        <w:t>腾</w:t>
      </w:r>
      <w:r>
        <w:rPr>
          <w:rFonts w:hint="eastAsia" w:hAnsi="Courier New" w:cs="Courier New"/>
          <w:szCs w:val="21"/>
          <w:lang w:eastAsia="zh-CN"/>
        </w:rPr>
        <w:t xml:space="preserve">龙路86号                                    </w:t>
      </w:r>
    </w:p>
    <w:p>
      <w:pPr>
        <w:spacing w:line="360" w:lineRule="auto"/>
        <w:ind w:left="1038" w:right="-147" w:rightChars="-67" w:hanging="1038" w:hangingChars="472"/>
        <w:rPr>
          <w:lang w:eastAsia="zh-CN"/>
        </w:rPr>
      </w:pPr>
      <w:r>
        <w:rPr>
          <w:rFonts w:hint="eastAsia"/>
          <w:szCs w:val="21"/>
          <w:lang w:eastAsia="zh-CN"/>
        </w:rPr>
        <w:t>开户行：中国银行漳州分行                     开户行：</w:t>
      </w:r>
      <w:r>
        <w:rPr>
          <w:lang w:eastAsia="zh-CN"/>
        </w:rPr>
        <w:t xml:space="preserve">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416958369985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913506006765392255</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bCs/>
          <w:szCs w:val="21"/>
          <w:lang w:eastAsia="zh-CN"/>
        </w:rPr>
      </w:pPr>
      <w:r>
        <w:rPr>
          <w:rFonts w:hint="eastAsia"/>
          <w:szCs w:val="21"/>
          <w:lang w:eastAsia="zh-CN"/>
        </w:rPr>
        <w:t>电</w:t>
      </w:r>
      <w:r>
        <w:rPr>
          <w:szCs w:val="21"/>
          <w:lang w:eastAsia="zh-CN"/>
        </w:rPr>
        <w:t xml:space="preserve">  </w:t>
      </w:r>
      <w:r>
        <w:rPr>
          <w:rFonts w:hint="eastAsia"/>
          <w:szCs w:val="21"/>
          <w:lang w:eastAsia="zh-CN"/>
        </w:rPr>
        <w:t>话：  0592-6808888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16"/>
        <w:spacing w:line="360" w:lineRule="auto"/>
        <w:rPr>
          <w:rFonts w:asciiTheme="minorEastAsia" w:hAnsiTheme="minorEastAsia" w:eastAsiaTheme="minorEastAsia"/>
          <w:sz w:val="24"/>
          <w:szCs w:val="24"/>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b/>
          <w:sz w:val="28"/>
          <w:szCs w:val="28"/>
          <w:lang w:eastAsia="zh-CN"/>
        </w:rPr>
      </w:pPr>
      <w:r>
        <w:rPr>
          <w:rFonts w:hint="eastAsia" w:hAnsi="宋体"/>
          <w:b/>
          <w:sz w:val="28"/>
          <w:szCs w:val="28"/>
          <w:lang w:eastAsia="zh-CN"/>
        </w:rPr>
        <w:t>附件3</w:t>
      </w:r>
    </w:p>
    <w:p>
      <w:pPr>
        <w:pStyle w:val="16"/>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翔鹭石化（漳州）有限公司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asciiTheme="minorEastAsia" w:hAnsiTheme="minorEastAsia" w:eastAsiaTheme="minorEastAsia"/>
          <w:szCs w:val="21"/>
          <w:u w:val="single"/>
          <w:lang w:eastAsia="zh-CN"/>
        </w:rPr>
        <w:t xml:space="preserve">                      </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翔鹭石化（漳州）有限公司余热发电项目电力监控系统等级保护测评及安全防护评估与整改加固</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技术服务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44"/>
        <w:numPr>
          <w:ilvl w:val="0"/>
          <w:numId w:val="7"/>
        </w:numPr>
        <w:autoSpaceDE/>
        <w:autoSpaceDN/>
        <w:spacing w:before="0" w:line="550" w:lineRule="exact"/>
        <w:ind w:left="0" w:firstLine="0"/>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ind w:left="-2" w:leftChars="-1"/>
        <w:rPr>
          <w:szCs w:val="21"/>
          <w:lang w:eastAsia="zh-CN"/>
        </w:rPr>
      </w:pPr>
    </w:p>
    <w:p>
      <w:pPr>
        <w:spacing w:line="276" w:lineRule="auto"/>
        <w:ind w:left="-2" w:leftChars="-1"/>
        <w:rPr>
          <w:szCs w:val="21"/>
          <w:lang w:eastAsia="zh-CN"/>
        </w:rPr>
      </w:pPr>
      <w:r>
        <w:rPr>
          <w:rFonts w:hint="eastAsia"/>
          <w:szCs w:val="21"/>
          <w:lang w:eastAsia="zh-CN"/>
        </w:rPr>
        <w:t>甲方 (章)：                                  乙方(章)：</w:t>
      </w:r>
    </w:p>
    <w:p>
      <w:pPr>
        <w:spacing w:line="276" w:lineRule="auto"/>
        <w:ind w:left="-2" w:leftChars="-1"/>
        <w:rPr>
          <w:szCs w:val="21"/>
          <w:lang w:eastAsia="zh-CN"/>
        </w:rPr>
      </w:pPr>
      <w:r>
        <w:rPr>
          <w:rFonts w:hint="eastAsia"/>
          <w:szCs w:val="21"/>
          <w:lang w:eastAsia="zh-CN"/>
        </w:rPr>
        <w:t xml:space="preserve">翔鹭石化（漳州）有限公司                       </w:t>
      </w:r>
    </w:p>
    <w:p>
      <w:pPr>
        <w:spacing w:line="276" w:lineRule="auto"/>
        <w:ind w:left="-2" w:leftChars="-1"/>
        <w:rPr>
          <w:szCs w:val="21"/>
          <w:lang w:eastAsia="zh-CN"/>
        </w:rPr>
      </w:pPr>
    </w:p>
    <w:p>
      <w:pPr>
        <w:spacing w:line="276" w:lineRule="auto"/>
        <w:ind w:left="-2" w:leftChars="-1"/>
        <w:rPr>
          <w:szCs w:val="21"/>
          <w:lang w:eastAsia="zh-CN"/>
        </w:rPr>
      </w:pPr>
    </w:p>
    <w:p>
      <w:pPr>
        <w:spacing w:line="276" w:lineRule="auto"/>
        <w:ind w:left="-2" w:leftChars="-1"/>
        <w:rPr>
          <w:szCs w:val="21"/>
          <w:lang w:eastAsia="zh-CN"/>
        </w:rPr>
      </w:pPr>
    </w:p>
    <w:p>
      <w:pPr>
        <w:spacing w:line="276" w:lineRule="auto"/>
        <w:ind w:left="-2" w:leftChars="-1"/>
        <w:rPr>
          <w:szCs w:val="21"/>
          <w:lang w:eastAsia="zh-CN"/>
        </w:rPr>
      </w:pPr>
      <w:r>
        <w:rPr>
          <w:rFonts w:hint="eastAsia"/>
          <w:szCs w:val="21"/>
          <w:lang w:eastAsia="zh-CN"/>
        </w:rPr>
        <w:t>签定日期：    年    月    日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afterLines="50" w:line="520" w:lineRule="exact"/>
        <w:rPr>
          <w:b/>
          <w:sz w:val="28"/>
          <w:szCs w:val="28"/>
          <w:lang w:eastAsia="zh-CN"/>
        </w:rPr>
      </w:pPr>
      <w:r>
        <w:rPr>
          <w:rFonts w:hint="eastAsia"/>
          <w:b/>
          <w:sz w:val="28"/>
          <w:szCs w:val="28"/>
          <w:lang w:eastAsia="zh-CN"/>
        </w:rPr>
        <w:t>附件四：</w:t>
      </w:r>
    </w:p>
    <w:p>
      <w:pPr>
        <w:spacing w:afterLines="50" w:line="520" w:lineRule="exact"/>
        <w:jc w:val="center"/>
        <w:rPr>
          <w:b/>
          <w:sz w:val="36"/>
          <w:szCs w:val="36"/>
          <w:lang w:eastAsia="zh-CN"/>
        </w:rPr>
      </w:pPr>
      <w:r>
        <w:rPr>
          <w:rFonts w:hint="eastAsia"/>
          <w:b/>
          <w:sz w:val="36"/>
          <w:szCs w:val="36"/>
          <w:lang w:eastAsia="zh-CN"/>
        </w:rPr>
        <w:t>保密协议</w:t>
      </w:r>
    </w:p>
    <w:p>
      <w:pPr>
        <w:spacing w:line="520" w:lineRule="exact"/>
        <w:jc w:val="right"/>
        <w:rPr>
          <w:sz w:val="24"/>
          <w:lang w:eastAsia="zh-CN"/>
        </w:rPr>
      </w:pPr>
      <w:r>
        <w:rPr>
          <w:rFonts w:hint="eastAsia"/>
          <w:sz w:val="24"/>
          <w:lang w:eastAsia="zh-CN"/>
        </w:rPr>
        <w:t>于2020年09月  日于</w:t>
      </w:r>
      <w:r>
        <w:rPr>
          <w:rFonts w:hint="eastAsia"/>
          <w:sz w:val="24"/>
          <w:u w:val="single"/>
          <w:lang w:eastAsia="zh-CN"/>
        </w:rPr>
        <w:t>漳州古雷</w:t>
      </w:r>
      <w:r>
        <w:rPr>
          <w:rFonts w:hint="eastAsia"/>
          <w:sz w:val="24"/>
          <w:lang w:eastAsia="zh-CN"/>
        </w:rPr>
        <w:t>订立</w:t>
      </w:r>
    </w:p>
    <w:p>
      <w:pPr>
        <w:spacing w:line="360" w:lineRule="auto"/>
        <w:rPr>
          <w:b/>
          <w:sz w:val="24"/>
          <w:lang w:eastAsia="zh-CN"/>
        </w:rPr>
      </w:pPr>
      <w:r>
        <w:rPr>
          <w:rFonts w:hint="eastAsia"/>
          <w:b/>
          <w:sz w:val="24"/>
          <w:lang w:eastAsia="zh-CN"/>
        </w:rPr>
        <w:t>甲方：翔鹭石化（漳州）有限公司</w:t>
      </w:r>
    </w:p>
    <w:p>
      <w:pPr>
        <w:spacing w:line="360" w:lineRule="auto"/>
        <w:rPr>
          <w:sz w:val="24"/>
          <w:lang w:eastAsia="zh-CN"/>
        </w:rPr>
      </w:pPr>
      <w:r>
        <w:rPr>
          <w:rFonts w:hint="eastAsia"/>
          <w:sz w:val="24"/>
          <w:lang w:eastAsia="zh-CN"/>
        </w:rPr>
        <w:t>授权代表：</w:t>
      </w:r>
    </w:p>
    <w:p>
      <w:pPr>
        <w:spacing w:afterLines="50" w:line="360" w:lineRule="auto"/>
        <w:rPr>
          <w:sz w:val="24"/>
          <w:lang w:eastAsia="zh-CN"/>
        </w:rPr>
      </w:pPr>
      <w:r>
        <w:rPr>
          <w:rFonts w:hint="eastAsia"/>
          <w:sz w:val="24"/>
          <w:lang w:eastAsia="zh-CN"/>
        </w:rPr>
        <w:t>住所地：漳州市古雷经济开发区</w:t>
      </w:r>
    </w:p>
    <w:p>
      <w:pPr>
        <w:spacing w:line="360" w:lineRule="auto"/>
        <w:rPr>
          <w:b/>
          <w:sz w:val="24"/>
          <w:lang w:eastAsia="zh-CN"/>
        </w:rPr>
      </w:pPr>
      <w:r>
        <w:rPr>
          <w:rFonts w:hint="eastAsia"/>
          <w:b/>
          <w:sz w:val="24"/>
          <w:lang w:eastAsia="zh-CN"/>
        </w:rPr>
        <w:t xml:space="preserve">乙方： </w:t>
      </w:r>
    </w:p>
    <w:p>
      <w:pPr>
        <w:spacing w:line="360" w:lineRule="auto"/>
        <w:rPr>
          <w:sz w:val="24"/>
          <w:lang w:eastAsia="zh-CN"/>
        </w:rPr>
      </w:pPr>
      <w:r>
        <w:rPr>
          <w:rFonts w:hint="eastAsia"/>
          <w:sz w:val="24"/>
          <w:lang w:eastAsia="zh-CN"/>
        </w:rPr>
        <w:t>授权代表：</w:t>
      </w:r>
    </w:p>
    <w:p>
      <w:pPr>
        <w:spacing w:line="360" w:lineRule="auto"/>
        <w:rPr>
          <w:sz w:val="24"/>
          <w:lang w:eastAsia="zh-CN"/>
        </w:rPr>
      </w:pPr>
      <w:r>
        <w:rPr>
          <w:rFonts w:hint="eastAsia"/>
          <w:sz w:val="24"/>
          <w:lang w:eastAsia="zh-CN"/>
        </w:rPr>
        <w:t>住所地：</w:t>
      </w:r>
    </w:p>
    <w:p>
      <w:pPr>
        <w:spacing w:line="360" w:lineRule="auto"/>
        <w:ind w:firstLine="480" w:firstLineChars="200"/>
        <w:rPr>
          <w:sz w:val="24"/>
          <w:lang w:eastAsia="zh-CN"/>
        </w:rPr>
      </w:pPr>
      <w:r>
        <w:rPr>
          <w:rFonts w:hint="eastAsia"/>
          <w:sz w:val="24"/>
          <w:lang w:eastAsia="zh-CN"/>
        </w:rPr>
        <w:t>鉴于：</w:t>
      </w:r>
    </w:p>
    <w:p>
      <w:pPr>
        <w:spacing w:line="360" w:lineRule="auto"/>
        <w:ind w:firstLine="480" w:firstLineChars="200"/>
        <w:rPr>
          <w:sz w:val="24"/>
          <w:lang w:eastAsia="zh-CN"/>
        </w:rPr>
      </w:pPr>
      <w:r>
        <w:rPr>
          <w:rFonts w:hint="eastAsia"/>
          <w:sz w:val="24"/>
          <w:lang w:eastAsia="zh-CN"/>
        </w:rPr>
        <w:t>甲乙双方为进行</w:t>
      </w:r>
      <w:r>
        <w:rPr>
          <w:rFonts w:hint="eastAsia"/>
          <w:sz w:val="24"/>
          <w:u w:val="single"/>
          <w:lang w:eastAsia="zh-CN"/>
        </w:rPr>
        <w:t xml:space="preserve"> </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sz w:val="24"/>
          <w:u w:val="single"/>
          <w:lang w:eastAsia="zh-CN"/>
        </w:rPr>
        <w:t xml:space="preserve"> </w:t>
      </w:r>
      <w:r>
        <w:rPr>
          <w:rFonts w:hint="eastAsia"/>
          <w:sz w:val="24"/>
          <w:lang w:eastAsia="zh-CN"/>
        </w:rPr>
        <w:t>之目的（以下简称“本项目”），甲方及其关联企业为本项目能够取得正式的</w:t>
      </w:r>
      <w:r>
        <w:rPr>
          <w:rFonts w:hint="eastAsia" w:asciiTheme="minorEastAsia" w:hAnsiTheme="minorEastAsia" w:eastAsiaTheme="minorEastAsia"/>
          <w:sz w:val="24"/>
          <w:szCs w:val="24"/>
          <w:lang w:eastAsia="zh-CN"/>
        </w:rPr>
        <w:t>《等级保护测评报告》及《安全防护评估报告》</w:t>
      </w:r>
      <w:r>
        <w:rPr>
          <w:rFonts w:hint="eastAsia"/>
          <w:sz w:val="24"/>
          <w:lang w:eastAsia="zh-CN"/>
        </w:rPr>
        <w:t>，将向乙方提供甲方及其关联企业的保密信息（以下简称保密信息）。甲乙双方为审慎处理本项目的有关事务、保障本项目的顺利完成，并切实对知悉、接触甲方的保密信息予以保密，经双方充分友好协商，达成本协议。</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保密信息</w:t>
      </w:r>
    </w:p>
    <w:p>
      <w:pPr>
        <w:numPr>
          <w:ilvl w:val="0"/>
          <w:numId w:val="9"/>
        </w:numPr>
        <w:autoSpaceDE/>
        <w:autoSpaceDN/>
        <w:spacing w:line="360" w:lineRule="auto"/>
        <w:jc w:val="both"/>
        <w:rPr>
          <w:sz w:val="24"/>
          <w:lang w:eastAsia="zh-CN"/>
        </w:rPr>
      </w:pPr>
      <w:r>
        <w:rPr>
          <w:rFonts w:hint="eastAsia"/>
          <w:sz w:val="24"/>
          <w:lang w:eastAsia="zh-CN"/>
        </w:rPr>
        <w:t>本协议所称的“保密信息”，指甲方及其关联企业以各种形式向乙方披露、提供、制作的各种信函、报告、数据、传真、电话、电话记录、电子邮件、会议记录、有关协议等相关信息及材料。包括但不限于技术文件、设计、（设计、建筑）图纸；与工艺有关的描述和参数；工厂的设备、管道及仪表图；商业秘密；专有知识；环境风险；产品信息及其他所有种类的由甲方或其关联企业直接或间接透露给乙方及/或其任何关系人及/或员工及/或分包商（以下统称为“乙方”）的与项目有关的数据，无论是书面的、电子方式的、口头的或其他任何的通讯形式。上述资料无须被注明是机密或是专有的，乙方均应合理地理解为属于甲方机密或专有资料。</w:t>
      </w:r>
    </w:p>
    <w:p>
      <w:pPr>
        <w:numPr>
          <w:ilvl w:val="0"/>
          <w:numId w:val="9"/>
        </w:numPr>
        <w:autoSpaceDE/>
        <w:autoSpaceDN/>
        <w:spacing w:line="360" w:lineRule="auto"/>
        <w:jc w:val="both"/>
        <w:rPr>
          <w:sz w:val="24"/>
          <w:lang w:eastAsia="zh-CN"/>
        </w:rPr>
      </w:pPr>
      <w:r>
        <w:rPr>
          <w:rFonts w:hint="eastAsia"/>
          <w:sz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pPr>
        <w:numPr>
          <w:ilvl w:val="0"/>
          <w:numId w:val="9"/>
        </w:numPr>
        <w:autoSpaceDE/>
        <w:autoSpaceDN/>
        <w:spacing w:line="360" w:lineRule="auto"/>
        <w:jc w:val="both"/>
        <w:rPr>
          <w:sz w:val="24"/>
          <w:lang w:eastAsia="zh-CN"/>
        </w:rPr>
      </w:pPr>
      <w:r>
        <w:rPr>
          <w:rFonts w:hint="eastAsia"/>
          <w:sz w:val="24"/>
          <w:lang w:eastAsia="zh-CN"/>
        </w:rPr>
        <w:t>保密信息的所有权归属于甲方。甲方披露、提供、制作的任何保密信息不应构成向乙方明示或暗示地授予任何对其专利、著作权、商标、商业秘密或其他知识产权的任何权利。</w:t>
      </w:r>
    </w:p>
    <w:p>
      <w:pPr>
        <w:numPr>
          <w:ilvl w:val="0"/>
          <w:numId w:val="9"/>
        </w:numPr>
        <w:autoSpaceDE/>
        <w:autoSpaceDN/>
        <w:spacing w:line="360" w:lineRule="auto"/>
        <w:jc w:val="both"/>
        <w:rPr>
          <w:sz w:val="24"/>
          <w:lang w:eastAsia="zh-CN"/>
        </w:rPr>
      </w:pPr>
      <w:r>
        <w:rPr>
          <w:rFonts w:hint="eastAsia"/>
          <w:sz w:val="24"/>
          <w:lang w:eastAsia="zh-CN"/>
        </w:rPr>
        <w:t>乙方指定</w:t>
      </w:r>
      <w:r>
        <w:rPr>
          <w:rFonts w:hint="eastAsia"/>
          <w:sz w:val="24"/>
          <w:u w:val="single"/>
          <w:lang w:eastAsia="zh-CN"/>
        </w:rPr>
        <w:t xml:space="preserve">              </w:t>
      </w:r>
      <w:r>
        <w:rPr>
          <w:rFonts w:hint="eastAsia"/>
          <w:sz w:val="24"/>
          <w:lang w:eastAsia="zh-CN"/>
        </w:rPr>
        <w:t>为保密信息接收人，除乙方指定的信息接收人外，甲方无义务向包括乙方员工在内的任何第三方提供保密信息。</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乙方保密义务</w:t>
      </w:r>
    </w:p>
    <w:p>
      <w:pPr>
        <w:numPr>
          <w:ilvl w:val="0"/>
          <w:numId w:val="10"/>
        </w:numPr>
        <w:autoSpaceDE/>
        <w:autoSpaceDN/>
        <w:spacing w:line="360" w:lineRule="auto"/>
        <w:jc w:val="both"/>
        <w:rPr>
          <w:sz w:val="24"/>
          <w:lang w:eastAsia="zh-CN"/>
        </w:rPr>
      </w:pPr>
      <w:r>
        <w:rPr>
          <w:rFonts w:hint="eastAsia"/>
          <w:sz w:val="24"/>
          <w:lang w:eastAsia="zh-CN"/>
        </w:rPr>
        <w:t>不披露、不遗漏、不主动或被动的实施可能致使保密信息非依本协议规定的方式而被公开或泄露给第三方的行为，并以乙方保护其最高机密资料之措施保护甲方保密信息资料，保护措施应足以保护甲方保密信息的安全。</w:t>
      </w:r>
    </w:p>
    <w:p>
      <w:pPr>
        <w:numPr>
          <w:ilvl w:val="0"/>
          <w:numId w:val="10"/>
        </w:numPr>
        <w:autoSpaceDE/>
        <w:autoSpaceDN/>
        <w:spacing w:line="360" w:lineRule="auto"/>
        <w:jc w:val="both"/>
        <w:rPr>
          <w:sz w:val="24"/>
          <w:lang w:eastAsia="zh-CN"/>
        </w:rPr>
      </w:pPr>
      <w:r>
        <w:rPr>
          <w:rFonts w:hint="eastAsia"/>
          <w:sz w:val="24"/>
          <w:lang w:eastAsia="zh-CN"/>
        </w:rPr>
        <w:t>除本项目目的的合理使用以外，不会用于本项目目的之外的其他用途。</w:t>
      </w:r>
    </w:p>
    <w:p>
      <w:pPr>
        <w:numPr>
          <w:ilvl w:val="0"/>
          <w:numId w:val="10"/>
        </w:numPr>
        <w:autoSpaceDE/>
        <w:autoSpaceDN/>
        <w:spacing w:line="360" w:lineRule="auto"/>
        <w:jc w:val="both"/>
        <w:rPr>
          <w:sz w:val="24"/>
          <w:lang w:eastAsia="zh-CN"/>
        </w:rPr>
      </w:pPr>
      <w:r>
        <w:rPr>
          <w:rFonts w:hint="eastAsia"/>
          <w:sz w:val="24"/>
          <w:lang w:eastAsia="zh-CN"/>
        </w:rPr>
        <w:t>除非提前获得甲方书面同意或是国家机关依法律之规定而书面要求，不向任何第三方透露或泄露任何保密信息。在因国家机关依法律之规定而书面要求的情况下，乙方应在获得书面文件的第一时间书面通知甲方，并且将该保密信息的披露严格限制在国家机关要求的范围内。</w:t>
      </w:r>
    </w:p>
    <w:p>
      <w:pPr>
        <w:numPr>
          <w:ilvl w:val="0"/>
          <w:numId w:val="10"/>
        </w:numPr>
        <w:autoSpaceDE/>
        <w:autoSpaceDN/>
        <w:spacing w:line="360" w:lineRule="auto"/>
        <w:jc w:val="both"/>
        <w:rPr>
          <w:sz w:val="24"/>
          <w:lang w:eastAsia="zh-CN"/>
        </w:rPr>
      </w:pPr>
      <w:r>
        <w:rPr>
          <w:rFonts w:hint="eastAsia"/>
          <w:sz w:val="24"/>
          <w:lang w:eastAsia="zh-CN"/>
        </w:rPr>
        <w:t>除参与本项目之必须外，不复印、复制任何甲方的保密信息资料。</w:t>
      </w:r>
    </w:p>
    <w:p>
      <w:pPr>
        <w:numPr>
          <w:ilvl w:val="0"/>
          <w:numId w:val="10"/>
        </w:numPr>
        <w:autoSpaceDE/>
        <w:autoSpaceDN/>
        <w:spacing w:line="360" w:lineRule="auto"/>
        <w:jc w:val="both"/>
        <w:rPr>
          <w:sz w:val="24"/>
          <w:lang w:eastAsia="zh-CN"/>
        </w:rPr>
      </w:pPr>
      <w:r>
        <w:rPr>
          <w:rFonts w:hint="eastAsia"/>
          <w:sz w:val="24"/>
          <w:lang w:eastAsia="zh-CN"/>
        </w:rPr>
        <w:t>使用甲方保密信息的范围仅限于因参与本项目所必须的乙方工作人员，与本项目无关的乙方工作人员不得接触、使用甲方的保密信息资料。乙方工作人员在保密期限内离职的，仍应继续负有保密义务。如上述人员违反保密义务的，视同为乙方违反保密义务。</w:t>
      </w:r>
    </w:p>
    <w:p>
      <w:pPr>
        <w:numPr>
          <w:ilvl w:val="0"/>
          <w:numId w:val="10"/>
        </w:numPr>
        <w:autoSpaceDE/>
        <w:autoSpaceDN/>
        <w:spacing w:line="360" w:lineRule="auto"/>
        <w:jc w:val="both"/>
        <w:rPr>
          <w:sz w:val="24"/>
          <w:lang w:eastAsia="zh-CN"/>
        </w:rPr>
      </w:pPr>
      <w:r>
        <w:rPr>
          <w:rFonts w:hint="eastAsia"/>
          <w:sz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保密义务的例外</w:t>
      </w:r>
    </w:p>
    <w:p>
      <w:pPr>
        <w:numPr>
          <w:ilvl w:val="0"/>
          <w:numId w:val="11"/>
        </w:numPr>
        <w:autoSpaceDE/>
        <w:autoSpaceDN/>
        <w:spacing w:line="360" w:lineRule="auto"/>
        <w:jc w:val="both"/>
        <w:rPr>
          <w:sz w:val="24"/>
          <w:lang w:eastAsia="zh-CN"/>
        </w:rPr>
      </w:pPr>
      <w:r>
        <w:rPr>
          <w:rFonts w:hint="eastAsia"/>
          <w:sz w:val="24"/>
          <w:lang w:eastAsia="zh-CN"/>
        </w:rPr>
        <w:t>保密信息已被公众所知并可通过公开途径获得（非因违反本协议而造成）。</w:t>
      </w:r>
    </w:p>
    <w:p>
      <w:pPr>
        <w:numPr>
          <w:ilvl w:val="0"/>
          <w:numId w:val="11"/>
        </w:numPr>
        <w:autoSpaceDE/>
        <w:autoSpaceDN/>
        <w:spacing w:line="360" w:lineRule="auto"/>
        <w:jc w:val="both"/>
        <w:rPr>
          <w:sz w:val="24"/>
          <w:lang w:eastAsia="zh-CN"/>
        </w:rPr>
      </w:pPr>
      <w:r>
        <w:rPr>
          <w:rFonts w:hint="eastAsia"/>
          <w:sz w:val="24"/>
          <w:lang w:eastAsia="zh-CN"/>
        </w:rPr>
        <w:t>通过合法途径向第三方获得的资料，并且该第三方对该等资料并没有任何保密义务。</w:t>
      </w:r>
    </w:p>
    <w:p>
      <w:pPr>
        <w:numPr>
          <w:ilvl w:val="0"/>
          <w:numId w:val="11"/>
        </w:numPr>
        <w:autoSpaceDE/>
        <w:autoSpaceDN/>
        <w:spacing w:line="360" w:lineRule="auto"/>
        <w:jc w:val="both"/>
        <w:rPr>
          <w:sz w:val="24"/>
          <w:lang w:eastAsia="zh-CN"/>
        </w:rPr>
      </w:pPr>
      <w:r>
        <w:rPr>
          <w:rFonts w:hint="eastAsia"/>
          <w:sz w:val="24"/>
          <w:lang w:eastAsia="zh-CN"/>
        </w:rPr>
        <w:t>乙方在并无参考甲方保密资料的情况下独立开发的资料。</w:t>
      </w:r>
    </w:p>
    <w:p>
      <w:pPr>
        <w:numPr>
          <w:ilvl w:val="0"/>
          <w:numId w:val="11"/>
        </w:numPr>
        <w:autoSpaceDE/>
        <w:autoSpaceDN/>
        <w:spacing w:line="360" w:lineRule="auto"/>
        <w:jc w:val="both"/>
        <w:rPr>
          <w:sz w:val="24"/>
          <w:lang w:eastAsia="zh-CN"/>
        </w:rPr>
      </w:pPr>
      <w:r>
        <w:rPr>
          <w:rFonts w:hint="eastAsia"/>
          <w:sz w:val="24"/>
          <w:lang w:eastAsia="zh-CN"/>
        </w:rPr>
        <w:t>为完成本项目而将保密信息报送有关国家机关、机构进行审批或公开披露的（需经甲方事前书面确认）。</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资料返还与销毁</w:t>
      </w:r>
    </w:p>
    <w:p>
      <w:pPr>
        <w:spacing w:line="360" w:lineRule="auto"/>
        <w:rPr>
          <w:sz w:val="24"/>
          <w:lang w:eastAsia="zh-CN"/>
        </w:rPr>
      </w:pPr>
      <w:r>
        <w:rPr>
          <w:rFonts w:hint="eastAsia"/>
          <w:sz w:val="24"/>
          <w:lang w:eastAsia="zh-CN"/>
        </w:rPr>
        <w:t>在就项目所开展的任何讨论或乙方在此项目中的参与结束后：</w:t>
      </w:r>
    </w:p>
    <w:p>
      <w:pPr>
        <w:numPr>
          <w:ilvl w:val="1"/>
          <w:numId w:val="8"/>
        </w:numPr>
        <w:tabs>
          <w:tab w:val="left" w:pos="360"/>
        </w:tabs>
        <w:autoSpaceDE/>
        <w:autoSpaceDN/>
        <w:spacing w:line="360" w:lineRule="auto"/>
        <w:jc w:val="both"/>
        <w:rPr>
          <w:sz w:val="24"/>
          <w:lang w:eastAsia="zh-CN"/>
        </w:rPr>
      </w:pPr>
      <w:r>
        <w:rPr>
          <w:rFonts w:hint="eastAsia"/>
          <w:sz w:val="24"/>
          <w:lang w:eastAsia="zh-CN"/>
        </w:rPr>
        <w:t>乙方应立即向甲方归还任何反应出保密信息的所有纸质文件材料，并从乙方曾向其输入保密信息的任何电脑、存储设备或类似设施中删除全部保密资料。</w:t>
      </w:r>
    </w:p>
    <w:p>
      <w:pPr>
        <w:numPr>
          <w:ilvl w:val="1"/>
          <w:numId w:val="8"/>
        </w:numPr>
        <w:tabs>
          <w:tab w:val="left" w:pos="360"/>
        </w:tabs>
        <w:autoSpaceDE/>
        <w:autoSpaceDN/>
        <w:spacing w:line="360" w:lineRule="auto"/>
        <w:ind w:left="0" w:firstLine="0"/>
        <w:rPr>
          <w:sz w:val="24"/>
          <w:lang w:eastAsia="zh-CN"/>
        </w:rPr>
      </w:pPr>
      <w:r>
        <w:rPr>
          <w:rFonts w:hint="eastAsia"/>
          <w:sz w:val="24"/>
          <w:lang w:eastAsia="zh-CN"/>
        </w:rPr>
        <w:t xml:space="preserve">如为适用法律法规的强制要求，在甲方书面允许的前提下，乙方可保留保密       </w:t>
      </w:r>
    </w:p>
    <w:p>
      <w:pPr>
        <w:tabs>
          <w:tab w:val="left" w:pos="750"/>
        </w:tabs>
        <w:spacing w:line="360" w:lineRule="auto"/>
        <w:ind w:firstLine="360" w:firstLineChars="150"/>
        <w:rPr>
          <w:sz w:val="24"/>
          <w:lang w:eastAsia="zh-CN"/>
        </w:rPr>
      </w:pPr>
      <w:r>
        <w:rPr>
          <w:rFonts w:hint="eastAsia"/>
          <w:sz w:val="24"/>
          <w:lang w:eastAsia="zh-CN"/>
        </w:rPr>
        <w:t>信息中必要部分，乙方对此部分承担本协议规定的保密义务。</w:t>
      </w:r>
    </w:p>
    <w:p>
      <w:pPr>
        <w:numPr>
          <w:ilvl w:val="1"/>
          <w:numId w:val="8"/>
        </w:numPr>
        <w:tabs>
          <w:tab w:val="left" w:pos="360"/>
        </w:tabs>
        <w:autoSpaceDE/>
        <w:autoSpaceDN/>
        <w:spacing w:line="360" w:lineRule="auto"/>
        <w:jc w:val="both"/>
        <w:rPr>
          <w:sz w:val="24"/>
          <w:lang w:eastAsia="zh-CN"/>
        </w:rPr>
      </w:pPr>
      <w:r>
        <w:rPr>
          <w:rFonts w:hint="eastAsia"/>
          <w:sz w:val="24"/>
          <w:lang w:eastAsia="zh-CN"/>
        </w:rPr>
        <w:t>乙方不因归还或销毁保密资料的行为而免除其在本协议下所负有的任何义务和责任。</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保密期限</w:t>
      </w:r>
    </w:p>
    <w:p>
      <w:pPr>
        <w:numPr>
          <w:ilvl w:val="0"/>
          <w:numId w:val="12"/>
        </w:numPr>
        <w:autoSpaceDE/>
        <w:autoSpaceDN/>
        <w:spacing w:line="360" w:lineRule="auto"/>
        <w:jc w:val="both"/>
        <w:rPr>
          <w:sz w:val="24"/>
          <w:lang w:eastAsia="zh-CN"/>
        </w:rPr>
      </w:pPr>
      <w:r>
        <w:rPr>
          <w:rFonts w:hint="eastAsia"/>
          <w:sz w:val="24"/>
          <w:lang w:eastAsia="zh-CN"/>
        </w:rPr>
        <w:t>无论本项目是否交由乙方完成或本项目是否实际完成，乙方须对本协议约定的全部保密信息负有无限期之保密义务直至保密信息成为公开信息。</w:t>
      </w:r>
    </w:p>
    <w:p>
      <w:pPr>
        <w:numPr>
          <w:ilvl w:val="0"/>
          <w:numId w:val="12"/>
        </w:numPr>
        <w:autoSpaceDE/>
        <w:autoSpaceDN/>
        <w:spacing w:line="360" w:lineRule="auto"/>
        <w:jc w:val="both"/>
        <w:rPr>
          <w:sz w:val="24"/>
          <w:lang w:eastAsia="zh-CN"/>
        </w:rPr>
      </w:pPr>
      <w:r>
        <w:rPr>
          <w:rFonts w:hint="eastAsia"/>
          <w:sz w:val="24"/>
          <w:lang w:eastAsia="zh-CN"/>
        </w:rPr>
        <w:t>除依法已公开披露的信息外，乙方应继续对保密信息中未公开披露的部分承担无期之保密义务直至未公开披露部分成为公开信息。</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违约责任</w:t>
      </w:r>
    </w:p>
    <w:p>
      <w:pPr>
        <w:numPr>
          <w:ilvl w:val="0"/>
          <w:numId w:val="13"/>
        </w:numPr>
        <w:autoSpaceDE/>
        <w:autoSpaceDN/>
        <w:spacing w:line="360" w:lineRule="auto"/>
        <w:jc w:val="both"/>
        <w:rPr>
          <w:sz w:val="24"/>
          <w:lang w:eastAsia="zh-CN"/>
        </w:rPr>
      </w:pPr>
      <w:r>
        <w:rPr>
          <w:rFonts w:hint="eastAsia"/>
          <w:sz w:val="24"/>
          <w:lang w:eastAsia="zh-CN"/>
        </w:rPr>
        <w:t>本协议生效后，乙方违反本协议约定给甲方造成损失的，必须立即停止违约行为，并采取一切手段消除由此导致的不利影响，并应赔偿因违约导致的甲方全部经济损失。</w:t>
      </w:r>
    </w:p>
    <w:p>
      <w:pPr>
        <w:numPr>
          <w:ilvl w:val="0"/>
          <w:numId w:val="13"/>
        </w:numPr>
        <w:autoSpaceDE/>
        <w:autoSpaceDN/>
        <w:spacing w:line="360" w:lineRule="auto"/>
        <w:jc w:val="both"/>
        <w:rPr>
          <w:sz w:val="24"/>
          <w:lang w:eastAsia="zh-CN"/>
        </w:rPr>
      </w:pPr>
      <w:r>
        <w:rPr>
          <w:rFonts w:hint="eastAsia"/>
          <w:sz w:val="24"/>
          <w:lang w:eastAsia="zh-CN"/>
        </w:rPr>
        <w:t>前款所称的损失，包括但不限于守约方因违约方的违约行为而受到的索赔、</w:t>
      </w:r>
    </w:p>
    <w:p>
      <w:pPr>
        <w:spacing w:line="360" w:lineRule="auto"/>
        <w:ind w:firstLine="360" w:firstLineChars="150"/>
        <w:rPr>
          <w:sz w:val="24"/>
          <w:lang w:eastAsia="zh-CN"/>
        </w:rPr>
      </w:pPr>
      <w:r>
        <w:rPr>
          <w:rFonts w:hint="eastAsia"/>
          <w:sz w:val="24"/>
          <w:lang w:eastAsia="zh-CN"/>
        </w:rPr>
        <w:t>支出、商业损失、信誉和声誉损失、有权机构作出的处罚等。</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争议解决</w:t>
      </w:r>
    </w:p>
    <w:p>
      <w:pPr>
        <w:spacing w:line="360" w:lineRule="auto"/>
        <w:ind w:left="480" w:hanging="480" w:hangingChars="200"/>
        <w:rPr>
          <w:sz w:val="24"/>
          <w:lang w:eastAsia="zh-CN"/>
        </w:rPr>
      </w:pPr>
      <w:r>
        <w:rPr>
          <w:rFonts w:hint="eastAsia"/>
          <w:sz w:val="24"/>
          <w:lang w:eastAsia="zh-CN"/>
        </w:rPr>
        <w:t>1. 本协议的签订、效力、解释、履行及争议的解决，均适用中国现行有效的法律、法规。</w:t>
      </w:r>
    </w:p>
    <w:p>
      <w:pPr>
        <w:spacing w:line="360" w:lineRule="auto"/>
        <w:ind w:left="360" w:hanging="360" w:hangingChars="150"/>
        <w:rPr>
          <w:sz w:val="24"/>
          <w:lang w:eastAsia="zh-CN"/>
        </w:rPr>
      </w:pPr>
      <w:r>
        <w:rPr>
          <w:rFonts w:hint="eastAsia"/>
          <w:sz w:val="24"/>
          <w:lang w:eastAsia="zh-CN"/>
        </w:rPr>
        <w:t>2. 因签订及履行本协议而发生的任何纠纷，双方应首先通过友好协商方式解决。若在纠纷发生后30个工作日内协商不成，任何一方可向甲方所在地人民法院提起诉讼。</w:t>
      </w:r>
    </w:p>
    <w:p>
      <w:pPr>
        <w:spacing w:line="360" w:lineRule="auto"/>
        <w:rPr>
          <w:sz w:val="24"/>
          <w:lang w:eastAsia="zh-CN"/>
        </w:rPr>
      </w:pPr>
      <w:r>
        <w:rPr>
          <w:rFonts w:hint="eastAsia"/>
          <w:sz w:val="24"/>
          <w:lang w:eastAsia="zh-CN"/>
        </w:rPr>
        <w:t>3. 协商或诉讼期间，本协议不涉及纠纷的条款仍需履行。</w:t>
      </w:r>
    </w:p>
    <w:p>
      <w:pPr>
        <w:spacing w:line="360" w:lineRule="auto"/>
        <w:rPr>
          <w:b/>
          <w:sz w:val="24"/>
          <w:lang w:eastAsia="zh-CN"/>
        </w:rPr>
      </w:pPr>
      <w:r>
        <w:rPr>
          <w:rFonts w:hint="eastAsia"/>
          <w:b/>
          <w:sz w:val="24"/>
          <w:lang w:eastAsia="zh-CN"/>
        </w:rPr>
        <w:t>第八条  协议变更</w:t>
      </w:r>
    </w:p>
    <w:p>
      <w:pPr>
        <w:spacing w:line="360" w:lineRule="auto"/>
        <w:ind w:firstLine="480" w:firstLineChars="200"/>
        <w:rPr>
          <w:sz w:val="24"/>
          <w:lang w:eastAsia="zh-CN"/>
        </w:rPr>
      </w:pPr>
      <w:r>
        <w:rPr>
          <w:rFonts w:hint="eastAsia"/>
          <w:sz w:val="24"/>
          <w:lang w:eastAsia="zh-CN"/>
        </w:rPr>
        <w:t>本协议生效后，对本协议未尽事宜或为履行本协议而需变更的，双方可以在充分协商后签订书面补充协议做出补充或变更。</w:t>
      </w:r>
    </w:p>
    <w:p>
      <w:pPr>
        <w:numPr>
          <w:ilvl w:val="0"/>
          <w:numId w:val="14"/>
        </w:numPr>
        <w:autoSpaceDE/>
        <w:autoSpaceDN/>
        <w:spacing w:line="360" w:lineRule="auto"/>
        <w:jc w:val="both"/>
        <w:rPr>
          <w:b/>
          <w:sz w:val="24"/>
        </w:rPr>
      </w:pPr>
      <w:r>
        <w:rPr>
          <w:rFonts w:hint="eastAsia"/>
          <w:b/>
          <w:sz w:val="24"/>
        </w:rPr>
        <w:t>其他</w:t>
      </w:r>
    </w:p>
    <w:p>
      <w:pPr>
        <w:tabs>
          <w:tab w:val="left" w:pos="750"/>
        </w:tabs>
        <w:spacing w:line="360" w:lineRule="auto"/>
        <w:ind w:left="360" w:hanging="360" w:hangingChars="150"/>
        <w:rPr>
          <w:sz w:val="24"/>
          <w:lang w:eastAsia="zh-CN"/>
        </w:rPr>
      </w:pPr>
      <w:r>
        <w:rPr>
          <w:rFonts w:hint="eastAsia"/>
          <w:sz w:val="24"/>
          <w:lang w:eastAsia="zh-CN"/>
        </w:rPr>
        <w:t>1. 双方确认</w:t>
      </w:r>
      <w:r>
        <w:rPr>
          <w:sz w:val="24"/>
          <w:lang w:eastAsia="zh-CN"/>
        </w:rPr>
        <w:t>本协议及其内容并非双方就本项目进行谈判和达成任何独立的最终协议的基础，也不构成</w:t>
      </w:r>
      <w:r>
        <w:rPr>
          <w:rFonts w:hint="eastAsia"/>
          <w:sz w:val="24"/>
          <w:lang w:eastAsia="zh-CN"/>
        </w:rPr>
        <w:t>甲</w:t>
      </w:r>
      <w:r>
        <w:rPr>
          <w:sz w:val="24"/>
          <w:lang w:eastAsia="zh-CN"/>
        </w:rPr>
        <w:t>方对本项目最终协议的任何承诺</w:t>
      </w:r>
      <w:r>
        <w:rPr>
          <w:rFonts w:hint="eastAsia"/>
          <w:sz w:val="24"/>
          <w:lang w:eastAsia="zh-CN"/>
        </w:rPr>
        <w:t>。甲方无义务承担所提供信息所造成的任何特殊的、偶然的、后续的、间接的损害或损失</w:t>
      </w:r>
      <w:r>
        <w:rPr>
          <w:sz w:val="24"/>
          <w:lang w:eastAsia="zh-CN"/>
        </w:rPr>
        <w:t>。</w:t>
      </w:r>
    </w:p>
    <w:p>
      <w:pPr>
        <w:tabs>
          <w:tab w:val="left" w:pos="750"/>
        </w:tabs>
        <w:spacing w:line="360" w:lineRule="auto"/>
        <w:rPr>
          <w:sz w:val="24"/>
          <w:lang w:eastAsia="zh-CN"/>
        </w:rPr>
      </w:pPr>
      <w:r>
        <w:rPr>
          <w:rFonts w:hint="eastAsia"/>
          <w:sz w:val="24"/>
          <w:lang w:eastAsia="zh-CN"/>
        </w:rPr>
        <w:t>2. 本协议经协议各方签订后生效。</w:t>
      </w:r>
    </w:p>
    <w:p>
      <w:pPr>
        <w:tabs>
          <w:tab w:val="left" w:pos="750"/>
        </w:tabs>
        <w:spacing w:line="360" w:lineRule="auto"/>
        <w:rPr>
          <w:sz w:val="24"/>
          <w:lang w:eastAsia="zh-CN"/>
        </w:rPr>
      </w:pPr>
      <w:r>
        <w:rPr>
          <w:rFonts w:hint="eastAsia"/>
          <w:sz w:val="24"/>
          <w:lang w:eastAsia="zh-CN"/>
        </w:rPr>
        <w:t>3. 本协议一式陆份，甲方执四份，乙方执二份，具有同等法律效力。</w:t>
      </w:r>
    </w:p>
    <w:p>
      <w:pPr>
        <w:spacing w:line="360" w:lineRule="auto"/>
        <w:rPr>
          <w:b/>
          <w:sz w:val="24"/>
          <w:lang w:eastAsia="zh-CN"/>
        </w:rPr>
      </w:pPr>
      <w:r>
        <w:rPr>
          <w:rFonts w:hint="eastAsia"/>
          <w:b/>
          <w:sz w:val="24"/>
          <w:lang w:eastAsia="zh-CN"/>
        </w:rPr>
        <w:t>（以下无正文）</w:t>
      </w:r>
    </w:p>
    <w:p>
      <w:pPr>
        <w:spacing w:line="520" w:lineRule="exact"/>
        <w:ind w:left="-444" w:leftChars="-202" w:firstLine="472" w:firstLineChars="196"/>
        <w:rPr>
          <w:sz w:val="24"/>
          <w:lang w:eastAsia="zh-CN"/>
        </w:rPr>
      </w:pPr>
      <w:r>
        <w:rPr>
          <w:rFonts w:hint="eastAsia"/>
          <w:b/>
          <w:sz w:val="24"/>
          <w:lang w:eastAsia="zh-CN"/>
        </w:rPr>
        <w:t xml:space="preserve">甲方：腾龙芳烃（漳州）有限公司   </w:t>
      </w:r>
    </w:p>
    <w:p>
      <w:pPr>
        <w:spacing w:line="520" w:lineRule="exact"/>
        <w:ind w:firstLine="240" w:firstLineChars="100"/>
        <w:rPr>
          <w:sz w:val="24"/>
          <w:lang w:eastAsia="zh-CN"/>
        </w:rPr>
      </w:pPr>
      <w:r>
        <w:rPr>
          <w:rFonts w:hint="eastAsia"/>
          <w:sz w:val="24"/>
          <w:lang w:eastAsia="zh-CN"/>
        </w:rPr>
        <w:t xml:space="preserve">授权代表：                            </w:t>
      </w:r>
    </w:p>
    <w:p>
      <w:pPr>
        <w:spacing w:line="520" w:lineRule="exact"/>
        <w:rPr>
          <w:sz w:val="24"/>
          <w:lang w:eastAsia="zh-CN"/>
        </w:rPr>
      </w:pPr>
    </w:p>
    <w:p>
      <w:pPr>
        <w:spacing w:line="520" w:lineRule="exact"/>
        <w:rPr>
          <w:sz w:val="24"/>
          <w:lang w:eastAsia="zh-CN"/>
        </w:rPr>
      </w:pPr>
      <w:r>
        <w:rPr>
          <w:rFonts w:hint="eastAsia"/>
          <w:b/>
          <w:sz w:val="24"/>
          <w:lang w:eastAsia="zh-CN"/>
        </w:rPr>
        <w:t>乙方：</w:t>
      </w:r>
      <w:r>
        <w:rPr>
          <w:rFonts w:hint="eastAsia"/>
          <w:sz w:val="24"/>
          <w:lang w:eastAsia="zh-CN"/>
        </w:rPr>
        <w:t xml:space="preserve"> </w:t>
      </w:r>
    </w:p>
    <w:p>
      <w:pPr>
        <w:spacing w:line="520" w:lineRule="exact"/>
        <w:ind w:firstLine="240" w:firstLineChars="100"/>
        <w:rPr>
          <w:sz w:val="24"/>
          <w:lang w:eastAsia="zh-CN"/>
        </w:rPr>
      </w:pPr>
      <w:r>
        <w:rPr>
          <w:rFonts w:hint="eastAsia"/>
          <w:sz w:val="24"/>
          <w:lang w:eastAsia="zh-CN"/>
        </w:rPr>
        <w:t>授权代表：</w:t>
      </w:r>
    </w:p>
    <w:p>
      <w:pPr>
        <w:pStyle w:val="2"/>
      </w:pPr>
    </w:p>
    <w:p>
      <w:pPr>
        <w:pStyle w:val="16"/>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inorEastAsia" w:hAnsiTheme="minorEastAsia" w:eastAsiaTheme="minorEastAsia"/>
          <w:b/>
          <w:sz w:val="36"/>
          <w:szCs w:val="36"/>
          <w:u w:val="single"/>
          <w:lang w:eastAsia="zh-CN"/>
        </w:rPr>
        <w:t>余热发电项目电力监控系统等级保护测评及安全防护评估与整改加固</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9</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p>
    <w:p>
      <w:pPr>
        <w:pStyle w:val="2"/>
        <w:rPr>
          <w:sz w:val="24"/>
          <w:szCs w:val="24"/>
        </w:rPr>
      </w:pPr>
      <w:r>
        <w:rPr>
          <w:rFonts w:hint="eastAsia"/>
          <w:sz w:val="24"/>
          <w:szCs w:val="24"/>
        </w:rPr>
        <w:t>附件5、</w:t>
      </w:r>
    </w:p>
    <w:p>
      <w:pPr>
        <w:spacing w:line="500" w:lineRule="exact"/>
        <w:jc w:val="both"/>
        <w:rPr>
          <w:sz w:val="24"/>
          <w:szCs w:val="24"/>
          <w:lang w:eastAsia="zh-CN"/>
        </w:rPr>
      </w:pPr>
    </w:p>
    <w:tbl>
      <w:tblPr>
        <w:tblStyle w:val="28"/>
        <w:tblW w:w="9014" w:type="dxa"/>
        <w:tblInd w:w="392" w:type="dxa"/>
        <w:tblLayout w:type="autofit"/>
        <w:tblCellMar>
          <w:top w:w="0" w:type="dxa"/>
          <w:left w:w="108" w:type="dxa"/>
          <w:bottom w:w="0" w:type="dxa"/>
          <w:right w:w="108" w:type="dxa"/>
        </w:tblCellMar>
      </w:tblPr>
      <w:tblGrid>
        <w:gridCol w:w="1020"/>
        <w:gridCol w:w="3516"/>
        <w:gridCol w:w="3118"/>
        <w:gridCol w:w="1360"/>
      </w:tblGrid>
      <w:tr>
        <w:tblPrEx>
          <w:tblCellMar>
            <w:top w:w="0" w:type="dxa"/>
            <w:left w:w="108" w:type="dxa"/>
            <w:bottom w:w="0" w:type="dxa"/>
            <w:right w:w="108" w:type="dxa"/>
          </w:tblCellMar>
        </w:tblPrEx>
        <w:trPr>
          <w:trHeight w:val="435" w:hRule="atLeast"/>
        </w:trPr>
        <w:tc>
          <w:tcPr>
            <w:tcW w:w="9014" w:type="dxa"/>
            <w:gridSpan w:val="4"/>
            <w:tcBorders>
              <w:top w:val="nil"/>
              <w:left w:val="nil"/>
              <w:bottom w:val="nil"/>
              <w:right w:val="nil"/>
            </w:tcBorders>
            <w:shd w:val="clear" w:color="auto" w:fill="auto"/>
            <w:noWrap/>
            <w:vAlign w:val="center"/>
          </w:tcPr>
          <w:p>
            <w:pPr>
              <w:widowControl/>
              <w:autoSpaceDE/>
              <w:autoSpaceDN/>
              <w:jc w:val="center"/>
              <w:rPr>
                <w:rFonts w:ascii="黑体" w:hAnsi="黑体" w:eastAsia="黑体" w:cs="Arial"/>
                <w:sz w:val="32"/>
                <w:szCs w:val="32"/>
                <w:lang w:eastAsia="zh-CN"/>
              </w:rPr>
            </w:pPr>
            <w:r>
              <w:rPr>
                <w:rFonts w:hint="eastAsia" w:ascii="黑体" w:hAnsi="黑体" w:eastAsia="黑体" w:cs="Arial"/>
                <w:sz w:val="32"/>
                <w:szCs w:val="32"/>
                <w:lang w:eastAsia="zh-CN"/>
              </w:rPr>
              <w:t>技术偏离表</w:t>
            </w: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项目名称</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发包人</w:t>
            </w:r>
            <w:r>
              <w:rPr>
                <w:rFonts w:cs="Arial" w:asciiTheme="majorEastAsia" w:hAnsiTheme="majorEastAsia" w:eastAsiaTheme="majorEastAsia"/>
                <w:sz w:val="24"/>
                <w:szCs w:val="24"/>
                <w:lang w:eastAsia="zh-CN"/>
              </w:rPr>
              <w:t>:福建福海</w:t>
            </w:r>
            <w:r>
              <w:rPr>
                <w:rFonts w:hint="eastAsia" w:cs="Arial" w:asciiTheme="majorEastAsia" w:hAnsiTheme="majorEastAsia" w:eastAsiaTheme="majorEastAsia"/>
                <w:sz w:val="24"/>
                <w:szCs w:val="24"/>
                <w:lang w:eastAsia="zh-CN"/>
              </w:rPr>
              <w:t>创石油化工有限公司</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请购单号</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招标文件名称</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85"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cs="Arial" w:asciiTheme="majorEastAsia" w:hAnsiTheme="majorEastAsia" w:eastAsiaTheme="majorEastAsia"/>
                <w:sz w:val="24"/>
                <w:szCs w:val="24"/>
                <w:lang w:eastAsia="zh-CN"/>
              </w:rPr>
              <w:t>投</w:t>
            </w:r>
            <w:r>
              <w:rPr>
                <w:rFonts w:hint="eastAsia" w:cs="Arial" w:asciiTheme="majorEastAsia" w:hAnsiTheme="majorEastAsia" w:eastAsiaTheme="majorEastAsia"/>
                <w:sz w:val="24"/>
                <w:szCs w:val="24"/>
                <w:lang w:eastAsia="zh-CN"/>
              </w:rPr>
              <w:t>标人</w:t>
            </w:r>
            <w:r>
              <w:rPr>
                <w:rFonts w:cs="Arial" w:asciiTheme="majorEastAsia" w:hAnsiTheme="majorEastAsia" w:eastAsiaTheme="majorEastAsia"/>
                <w:sz w:val="24"/>
                <w:szCs w:val="24"/>
                <w:lang w:eastAsia="zh-CN"/>
              </w:rPr>
              <w:t>:</w:t>
            </w:r>
            <w:r>
              <w:rPr>
                <w:rFonts w:cs="Arial" w:asciiTheme="majorEastAsia" w:hAnsiTheme="majorEastAsia" w:eastAsiaTheme="majorEastAsia"/>
                <w:color w:val="FF0000"/>
                <w:sz w:val="24"/>
                <w:szCs w:val="24"/>
                <w:lang w:eastAsia="zh-CN"/>
              </w:rPr>
              <w:t>XXXXXXXX</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10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序</w:t>
            </w:r>
            <w:r>
              <w:rPr>
                <w:rFonts w:hint="eastAsia" w:cs="Arial"/>
                <w:sz w:val="20"/>
                <w:szCs w:val="20"/>
                <w:lang w:eastAsia="zh-CN"/>
              </w:rPr>
              <w:t>号</w:t>
            </w:r>
          </w:p>
        </w:tc>
        <w:tc>
          <w:tcPr>
            <w:tcW w:w="3516"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投</w:t>
            </w:r>
            <w:r>
              <w:rPr>
                <w:rFonts w:hint="eastAsia" w:cs="Arial"/>
                <w:sz w:val="20"/>
                <w:szCs w:val="20"/>
                <w:lang w:eastAsia="zh-CN"/>
              </w:rPr>
              <w:t>标人澄清或背离意见</w:t>
            </w:r>
          </w:p>
        </w:tc>
        <w:tc>
          <w:tcPr>
            <w:tcW w:w="3118"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hint="eastAsia" w:cs="Arial"/>
                <w:sz w:val="20"/>
                <w:szCs w:val="20"/>
                <w:lang w:eastAsia="zh-CN"/>
              </w:rPr>
              <w:t>发包人</w:t>
            </w:r>
            <w:r>
              <w:rPr>
                <w:rFonts w:ascii="Arial" w:hAnsi="Arial" w:cs="Arial"/>
                <w:sz w:val="20"/>
                <w:szCs w:val="20"/>
                <w:lang w:eastAsia="zh-CN"/>
              </w:rPr>
              <w:t>回</w:t>
            </w:r>
            <w:r>
              <w:rPr>
                <w:rFonts w:hint="eastAsia" w:cs="Arial"/>
                <w:sz w:val="20"/>
                <w:szCs w:val="20"/>
                <w:lang w:eastAsia="zh-CN"/>
              </w:rPr>
              <w:t>复</w:t>
            </w:r>
          </w:p>
        </w:tc>
        <w:tc>
          <w:tcPr>
            <w:tcW w:w="1360" w:type="dxa"/>
            <w:tcBorders>
              <w:top w:val="single" w:color="auto" w:sz="8" w:space="0"/>
              <w:left w:val="nil"/>
              <w:bottom w:val="single" w:color="auto" w:sz="4" w:space="0"/>
              <w:right w:val="single" w:color="auto" w:sz="8" w:space="0"/>
            </w:tcBorders>
            <w:shd w:val="clear" w:color="auto" w:fill="auto"/>
            <w:vAlign w:val="center"/>
          </w:tcPr>
          <w:p>
            <w:pPr>
              <w:widowControl/>
              <w:autoSpaceDE/>
              <w:autoSpaceDN/>
              <w:jc w:val="center"/>
              <w:rPr>
                <w:rFonts w:cs="Arial"/>
                <w:sz w:val="20"/>
                <w:szCs w:val="20"/>
                <w:lang w:eastAsia="zh-CN"/>
              </w:rPr>
            </w:pPr>
            <w:r>
              <w:rPr>
                <w:rFonts w:hint="eastAsia" w:cs="Arial"/>
                <w:sz w:val="20"/>
                <w:szCs w:val="20"/>
                <w:lang w:eastAsia="zh-CN"/>
              </w:rPr>
              <w:t>状态</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w:t>
            </w:r>
          </w:p>
        </w:tc>
        <w:tc>
          <w:tcPr>
            <w:tcW w:w="3516"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nil"/>
              <w:left w:val="nil"/>
              <w:bottom w:val="single" w:color="auto" w:sz="4" w:space="0"/>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2</w:t>
            </w:r>
          </w:p>
        </w:tc>
        <w:tc>
          <w:tcPr>
            <w:tcW w:w="3516" w:type="dxa"/>
            <w:tcBorders>
              <w:top w:val="nil"/>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nil"/>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nil"/>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6</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7</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8</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9</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10</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11</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12</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4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85" w:hRule="atLeast"/>
        </w:trPr>
        <w:tc>
          <w:tcPr>
            <w:tcW w:w="1020" w:type="dxa"/>
            <w:tcBorders>
              <w:top w:val="nil"/>
              <w:left w:val="single" w:color="auto" w:sz="8" w:space="0"/>
              <w:bottom w:val="single" w:color="auto" w:sz="8"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16</w:t>
            </w:r>
          </w:p>
        </w:tc>
        <w:tc>
          <w:tcPr>
            <w:tcW w:w="3516"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cs="Arial"/>
                <w:sz w:val="20"/>
                <w:szCs w:val="20"/>
                <w:lang w:eastAsia="zh-CN"/>
              </w:rPr>
            </w:pPr>
            <w:r>
              <w:rPr>
                <w:rFonts w:hint="eastAsia" w:cs="Arial"/>
                <w:sz w:val="20"/>
                <w:szCs w:val="20"/>
                <w:lang w:eastAsia="zh-CN"/>
              </w:rPr>
              <w:t>　</w:t>
            </w:r>
          </w:p>
        </w:tc>
        <w:tc>
          <w:tcPr>
            <w:tcW w:w="1360" w:type="dxa"/>
            <w:tcBorders>
              <w:top w:val="single" w:color="auto" w:sz="4" w:space="0"/>
              <w:left w:val="nil"/>
              <w:bottom w:val="single" w:color="auto" w:sz="8" w:space="0"/>
              <w:right w:val="single" w:color="auto" w:sz="8"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810" w:hRule="atLeast"/>
        </w:trPr>
        <w:tc>
          <w:tcPr>
            <w:tcW w:w="1020" w:type="dxa"/>
            <w:tcBorders>
              <w:top w:val="nil"/>
              <w:left w:val="nil"/>
              <w:bottom w:val="nil"/>
              <w:right w:val="nil"/>
            </w:tcBorders>
            <w:shd w:val="clear" w:color="auto" w:fill="auto"/>
            <w:noWrap/>
            <w:vAlign w:val="center"/>
          </w:tcPr>
          <w:p>
            <w:pPr>
              <w:widowControl/>
              <w:autoSpaceDE/>
              <w:autoSpaceDN/>
              <w:rPr>
                <w:rFonts w:ascii="Arial" w:hAnsi="Arial" w:cs="Arial"/>
                <w:sz w:val="24"/>
                <w:szCs w:val="24"/>
                <w:lang w:eastAsia="zh-CN"/>
              </w:rPr>
            </w:pPr>
            <w:r>
              <w:rPr>
                <w:rFonts w:ascii="Arial" w:hAnsi="Arial" w:cs="Arial"/>
                <w:sz w:val="24"/>
                <w:szCs w:val="24"/>
                <w:lang w:eastAsia="zh-CN"/>
              </w:rPr>
              <w:t>注：</w:t>
            </w:r>
          </w:p>
        </w:tc>
        <w:tc>
          <w:tcPr>
            <w:tcW w:w="7994" w:type="dxa"/>
            <w:gridSpan w:val="3"/>
            <w:tcBorders>
              <w:top w:val="nil"/>
              <w:left w:val="nil"/>
              <w:bottom w:val="nil"/>
              <w:right w:val="nil"/>
            </w:tcBorders>
            <w:shd w:val="clear" w:color="auto" w:fill="auto"/>
            <w:vAlign w:val="center"/>
          </w:tcPr>
          <w:p>
            <w:pPr>
              <w:widowControl/>
              <w:autoSpaceDE/>
              <w:autoSpaceDN/>
              <w:rPr>
                <w:rFonts w:ascii="Arial" w:hAnsi="Arial" w:cs="Arial"/>
                <w:sz w:val="24"/>
                <w:szCs w:val="24"/>
                <w:lang w:eastAsia="zh-CN"/>
              </w:rPr>
            </w:pPr>
            <w:r>
              <w:rPr>
                <w:rFonts w:ascii="Arial" w:hAnsi="Arial" w:cs="Arial"/>
                <w:sz w:val="24"/>
                <w:szCs w:val="24"/>
                <w:lang w:eastAsia="zh-CN"/>
              </w:rPr>
              <w:t>若投</w:t>
            </w:r>
            <w:r>
              <w:rPr>
                <w:rFonts w:hint="eastAsia" w:cs="Arial"/>
                <w:sz w:val="24"/>
                <w:szCs w:val="24"/>
                <w:lang w:eastAsia="zh-CN"/>
              </w:rPr>
              <w:t>标人认为无技术偏离，此表应填写，声明与发包技术说明无技术偏离，作为技术方案的组成部分，返回发包人。</w:t>
            </w:r>
          </w:p>
        </w:tc>
      </w:tr>
    </w:tbl>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r>
        <w:rPr>
          <w:rFonts w:hint="eastAsia"/>
          <w:sz w:val="24"/>
          <w:szCs w:val="24"/>
          <w:lang w:eastAsia="zh-CN"/>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0"/>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1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4C5566E"/>
    <w:multiLevelType w:val="multilevel"/>
    <w:tmpl w:val="24C556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2C7A62"/>
    <w:multiLevelType w:val="multilevel"/>
    <w:tmpl w:val="2E2C7A62"/>
    <w:lvl w:ilvl="0" w:tentative="0">
      <w:start w:val="1"/>
      <w:numFmt w:val="japaneseCounting"/>
      <w:lvlText w:val="第%1条"/>
      <w:lvlJc w:val="left"/>
      <w:pPr>
        <w:tabs>
          <w:tab w:val="left" w:pos="750"/>
        </w:tabs>
        <w:ind w:left="750" w:hanging="750"/>
      </w:pPr>
      <w:rPr>
        <w:rFonts w:hint="default"/>
      </w:rPr>
    </w:lvl>
    <w:lvl w:ilvl="1" w:tentative="0">
      <w:start w:val="1"/>
      <w:numFmt w:val="decimal"/>
      <w:lvlText w:val="%2."/>
      <w:lvlJc w:val="left"/>
      <w:pPr>
        <w:tabs>
          <w:tab w:val="left" w:pos="420"/>
        </w:tabs>
        <w:ind w:left="420" w:hanging="4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304240D"/>
    <w:multiLevelType w:val="multilevel"/>
    <w:tmpl w:val="4304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B52D93"/>
    <w:multiLevelType w:val="multilevel"/>
    <w:tmpl w:val="4BB52D93"/>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F65E21"/>
    <w:multiLevelType w:val="multilevel"/>
    <w:tmpl w:val="53F65E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F825FE"/>
    <w:multiLevelType w:val="multilevel"/>
    <w:tmpl w:val="56F825FE"/>
    <w:lvl w:ilvl="0" w:tentative="0">
      <w:start w:val="9"/>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717BE2"/>
    <w:multiLevelType w:val="multilevel"/>
    <w:tmpl w:val="5A717B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644F7DCF"/>
    <w:multiLevelType w:val="multilevel"/>
    <w:tmpl w:val="644F7D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EBA793F"/>
    <w:multiLevelType w:val="multilevel"/>
    <w:tmpl w:val="7EBA793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0"/>
  </w:num>
  <w:num w:numId="3">
    <w:abstractNumId w:val="3"/>
  </w:num>
  <w:num w:numId="4">
    <w:abstractNumId w:val="2"/>
  </w:num>
  <w:num w:numId="5">
    <w:abstractNumId w:val="7"/>
  </w:num>
  <w:num w:numId="6">
    <w:abstractNumId w:val="8"/>
  </w:num>
  <w:num w:numId="7">
    <w:abstractNumId w:val="1"/>
  </w:num>
  <w:num w:numId="8">
    <w:abstractNumId w:val="5"/>
  </w:num>
  <w:num w:numId="9">
    <w:abstractNumId w:val="10"/>
  </w:num>
  <w:num w:numId="10">
    <w:abstractNumId w:val="12"/>
  </w:num>
  <w:num w:numId="11">
    <w:abstractNumId w:val="6"/>
  </w:num>
  <w:num w:numId="12">
    <w:abstractNumId w:val="1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E6F"/>
    <w:rsid w:val="00092A16"/>
    <w:rsid w:val="00094E76"/>
    <w:rsid w:val="000978A0"/>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F09"/>
    <w:rsid w:val="000F58B5"/>
    <w:rsid w:val="00100B1C"/>
    <w:rsid w:val="00102DE0"/>
    <w:rsid w:val="001030C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EC0"/>
    <w:rsid w:val="00177533"/>
    <w:rsid w:val="00180783"/>
    <w:rsid w:val="0018226E"/>
    <w:rsid w:val="0018241B"/>
    <w:rsid w:val="00187E02"/>
    <w:rsid w:val="00192B7D"/>
    <w:rsid w:val="00193817"/>
    <w:rsid w:val="00195099"/>
    <w:rsid w:val="001A36B1"/>
    <w:rsid w:val="001A49C9"/>
    <w:rsid w:val="001A7C6F"/>
    <w:rsid w:val="001B4666"/>
    <w:rsid w:val="001B5F95"/>
    <w:rsid w:val="001B698B"/>
    <w:rsid w:val="001C430C"/>
    <w:rsid w:val="001D129E"/>
    <w:rsid w:val="001D16B9"/>
    <w:rsid w:val="001D7B51"/>
    <w:rsid w:val="001E058A"/>
    <w:rsid w:val="001E7BAD"/>
    <w:rsid w:val="001F29F9"/>
    <w:rsid w:val="001F6DCE"/>
    <w:rsid w:val="00205007"/>
    <w:rsid w:val="00206E34"/>
    <w:rsid w:val="0021338D"/>
    <w:rsid w:val="0021431D"/>
    <w:rsid w:val="00222516"/>
    <w:rsid w:val="00226C0B"/>
    <w:rsid w:val="0022716A"/>
    <w:rsid w:val="00227556"/>
    <w:rsid w:val="0023436A"/>
    <w:rsid w:val="00235A02"/>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23584"/>
    <w:rsid w:val="0043796A"/>
    <w:rsid w:val="0044287E"/>
    <w:rsid w:val="004508A4"/>
    <w:rsid w:val="00453EA6"/>
    <w:rsid w:val="0045672D"/>
    <w:rsid w:val="004611B5"/>
    <w:rsid w:val="00464030"/>
    <w:rsid w:val="00471E39"/>
    <w:rsid w:val="0047282D"/>
    <w:rsid w:val="00474FAE"/>
    <w:rsid w:val="004763D4"/>
    <w:rsid w:val="00477E26"/>
    <w:rsid w:val="0048261B"/>
    <w:rsid w:val="00482B42"/>
    <w:rsid w:val="004835AF"/>
    <w:rsid w:val="004919EE"/>
    <w:rsid w:val="0049286C"/>
    <w:rsid w:val="00497CEA"/>
    <w:rsid w:val="004A2A3A"/>
    <w:rsid w:val="004A4779"/>
    <w:rsid w:val="004A68E8"/>
    <w:rsid w:val="004A6E67"/>
    <w:rsid w:val="004B4A9E"/>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5FA0"/>
    <w:rsid w:val="005F63E8"/>
    <w:rsid w:val="00601441"/>
    <w:rsid w:val="0060334B"/>
    <w:rsid w:val="00605BBD"/>
    <w:rsid w:val="006103A6"/>
    <w:rsid w:val="00610D2B"/>
    <w:rsid w:val="00611B03"/>
    <w:rsid w:val="006127B7"/>
    <w:rsid w:val="00612F3E"/>
    <w:rsid w:val="00614725"/>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20E36"/>
    <w:rsid w:val="00831E2E"/>
    <w:rsid w:val="0084094D"/>
    <w:rsid w:val="008427A4"/>
    <w:rsid w:val="00842866"/>
    <w:rsid w:val="00844CFA"/>
    <w:rsid w:val="008465E3"/>
    <w:rsid w:val="00853DDB"/>
    <w:rsid w:val="008736F1"/>
    <w:rsid w:val="008769E8"/>
    <w:rsid w:val="00884265"/>
    <w:rsid w:val="00884873"/>
    <w:rsid w:val="00886356"/>
    <w:rsid w:val="00892302"/>
    <w:rsid w:val="00896532"/>
    <w:rsid w:val="00897CED"/>
    <w:rsid w:val="008A4205"/>
    <w:rsid w:val="008A5545"/>
    <w:rsid w:val="008B177E"/>
    <w:rsid w:val="008C06B2"/>
    <w:rsid w:val="008C0A12"/>
    <w:rsid w:val="008C21B5"/>
    <w:rsid w:val="008C488E"/>
    <w:rsid w:val="008D05C7"/>
    <w:rsid w:val="008D4C06"/>
    <w:rsid w:val="008D7465"/>
    <w:rsid w:val="008E1DB0"/>
    <w:rsid w:val="008F1C5D"/>
    <w:rsid w:val="008F47A3"/>
    <w:rsid w:val="008F6946"/>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766"/>
    <w:rsid w:val="009A106C"/>
    <w:rsid w:val="009A7E31"/>
    <w:rsid w:val="009B30BD"/>
    <w:rsid w:val="009B3333"/>
    <w:rsid w:val="009B34E7"/>
    <w:rsid w:val="009C38B3"/>
    <w:rsid w:val="009C3BE2"/>
    <w:rsid w:val="009C76EB"/>
    <w:rsid w:val="009D510E"/>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2D72"/>
    <w:rsid w:val="00A536A6"/>
    <w:rsid w:val="00A54181"/>
    <w:rsid w:val="00A545E8"/>
    <w:rsid w:val="00A54A9D"/>
    <w:rsid w:val="00A638CC"/>
    <w:rsid w:val="00A66C05"/>
    <w:rsid w:val="00A72D69"/>
    <w:rsid w:val="00A7709F"/>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2C37"/>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DD"/>
    <w:rsid w:val="00B905D2"/>
    <w:rsid w:val="00B92675"/>
    <w:rsid w:val="00B93FAE"/>
    <w:rsid w:val="00B966DA"/>
    <w:rsid w:val="00BA0122"/>
    <w:rsid w:val="00BA29FE"/>
    <w:rsid w:val="00BA2A75"/>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5640F"/>
    <w:rsid w:val="00C60594"/>
    <w:rsid w:val="00C61DB8"/>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39A4"/>
    <w:rsid w:val="00D252B3"/>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405E"/>
    <w:rsid w:val="00F766F8"/>
    <w:rsid w:val="00F80742"/>
    <w:rsid w:val="00F81AA8"/>
    <w:rsid w:val="00F81DC8"/>
    <w:rsid w:val="00F86A99"/>
    <w:rsid w:val="00F86B1A"/>
    <w:rsid w:val="00F904FF"/>
    <w:rsid w:val="00F97E24"/>
    <w:rsid w:val="00FA00FA"/>
    <w:rsid w:val="00FA187E"/>
    <w:rsid w:val="00FA3B06"/>
    <w:rsid w:val="00FA5E9F"/>
    <w:rsid w:val="00FA7EF2"/>
    <w:rsid w:val="00FB093C"/>
    <w:rsid w:val="00FB2BDE"/>
    <w:rsid w:val="00FB3167"/>
    <w:rsid w:val="00FB4B2B"/>
    <w:rsid w:val="00FB52E3"/>
    <w:rsid w:val="00FC0F19"/>
    <w:rsid w:val="00FC2CF1"/>
    <w:rsid w:val="00FC4D4F"/>
    <w:rsid w:val="00FD2FD3"/>
    <w:rsid w:val="00FD31B4"/>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2D29144D"/>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uiPriority w:val="0"/>
  </w:style>
  <w:style w:type="character" w:styleId="33">
    <w:name w:val="FollowedHyperlink"/>
    <w:basedOn w:val="30"/>
    <w:uiPriority w:val="0"/>
    <w:rPr>
      <w:color w:val="800080"/>
      <w:u w:val="single"/>
    </w:rPr>
  </w:style>
  <w:style w:type="character" w:styleId="34">
    <w:name w:val="Hyperlink"/>
    <w:basedOn w:val="30"/>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3">
    <w:name w:val="font21"/>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文本 Char1"/>
    <w:basedOn w:val="30"/>
    <w:uiPriority w:val="0"/>
    <w:rPr>
      <w:rFonts w:ascii="宋体" w:hAnsi="宋体" w:cs="宋体"/>
      <w:sz w:val="24"/>
      <w:szCs w:val="24"/>
      <w:lang w:eastAsia="en-US"/>
    </w:rPr>
  </w:style>
  <w:style w:type="character" w:customStyle="1" w:styleId="77">
    <w:name w:val="正文缩进 Char"/>
    <w:link w:val="8"/>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AB270-ADBB-4D93-AF60-8A1943D2E04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3190</Words>
  <Characters>18185</Characters>
  <Lines>151</Lines>
  <Paragraphs>42</Paragraphs>
  <TotalTime>286</TotalTime>
  <ScaleCrop>false</ScaleCrop>
  <LinksUpToDate>false</LinksUpToDate>
  <CharactersWithSpaces>21333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2020-09-14T03:13:00Z</dcterms:created>
  <dc:creator>CGC</dc:creator>
  <cp:lastModifiedBy>panpan</cp:lastModifiedBy>
  <dcterms:modified xsi:type="dcterms:W3CDTF">2020-09-24T02:52:57Z</dcterms:modified>
  <dc:title>公开招标文件（货物服务类）</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2052-11.1.0.9999</vt:lpwstr>
  </property>
</Properties>
</file>