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罐区雨淋阀控制系统通讯改造项目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3"/>
        <w:spacing w:line="495" w:lineRule="atLeast"/>
        <w:ind w:firstLine="420"/>
        <w:rPr>
          <w:rFonts w:cs="Helvetica" w:asciiTheme="majorEastAsia" w:hAnsiTheme="majorEastAsia" w:eastAsiaTheme="majorEastAsia"/>
        </w:rPr>
      </w:pP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cs="宋体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公示内容</w:t>
      </w:r>
    </w:p>
    <w:p>
      <w:pPr>
        <w:spacing w:line="360" w:lineRule="auto"/>
        <w:ind w:left="840" w:leftChars="400"/>
        <w:rPr>
          <w:rFonts w:cs="宋体" w:asciiTheme="majorEastAsia" w:hAnsiTheme="majorEastAsia" w:eastAsiaTheme="majorEastAsia"/>
          <w:bCs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Cs/>
          <w:sz w:val="24"/>
          <w:szCs w:val="24"/>
        </w:rPr>
        <w:t>罐区雨淋阀控制系统通讯改造项目（项目编号：FHC-PTCG20200812001）因参选人不足三家流标。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cs="Helvetica"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公示时间：</w:t>
      </w:r>
      <w:r>
        <w:rPr>
          <w:rFonts w:hint="eastAsia" w:cs="宋体" w:asciiTheme="majorEastAsia" w:hAnsiTheme="majorEastAsia" w:eastAsiaTheme="majorEastAsia"/>
          <w:bCs/>
          <w:sz w:val="24"/>
          <w:szCs w:val="24"/>
        </w:rPr>
        <w:t>2020 年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</w:rPr>
        <w:t xml:space="preserve"> 9 </w:t>
      </w:r>
      <w:r>
        <w:rPr>
          <w:rFonts w:hint="eastAsia" w:cs="宋体" w:asciiTheme="majorEastAsia" w:hAnsiTheme="majorEastAsia" w:eastAsiaTheme="majorEastAsia"/>
          <w:bCs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</w:rPr>
        <w:t xml:space="preserve"> 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  <w:lang w:val="en-US" w:eastAsia="zh-CN"/>
        </w:rPr>
        <w:t>16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</w:rPr>
        <w:t xml:space="preserve"> </w:t>
      </w:r>
      <w:r>
        <w:rPr>
          <w:rFonts w:hint="eastAsia" w:cs="宋体" w:asciiTheme="majorEastAsia" w:hAnsiTheme="majorEastAsia" w:eastAsiaTheme="majorEastAsia"/>
          <w:bCs/>
          <w:sz w:val="24"/>
          <w:szCs w:val="24"/>
        </w:rPr>
        <w:t>日至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</w:rPr>
        <w:t xml:space="preserve">9 </w:t>
      </w:r>
      <w:r>
        <w:rPr>
          <w:rFonts w:hint="eastAsia" w:cs="宋体" w:asciiTheme="majorEastAsia" w:hAnsiTheme="majorEastAsia" w:eastAsiaTheme="majorEastAsia"/>
          <w:bCs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</w:rPr>
        <w:t xml:space="preserve"> </w:t>
      </w:r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Cs/>
          <w:sz w:val="24"/>
          <w:szCs w:val="24"/>
          <w:u w:val="single"/>
        </w:rPr>
        <w:t xml:space="preserve"> </w:t>
      </w:r>
      <w:r>
        <w:rPr>
          <w:rFonts w:hint="eastAsia" w:cs="宋体" w:asciiTheme="majorEastAsia" w:hAnsiTheme="majorEastAsia" w:eastAsiaTheme="majorEastAsia"/>
          <w:bCs/>
          <w:sz w:val="24"/>
          <w:szCs w:val="24"/>
        </w:rPr>
        <w:t>日(共3天)。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cs="宋体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bCs/>
          <w:sz w:val="24"/>
          <w:szCs w:val="24"/>
        </w:rPr>
        <w:t>联系方式</w:t>
      </w:r>
    </w:p>
    <w:p>
      <w:pPr>
        <w:pStyle w:val="3"/>
        <w:spacing w:line="495" w:lineRule="atLeast"/>
        <w:ind w:left="412" w:firstLine="420"/>
        <w:rPr>
          <w:rFonts w:cs="Helvetic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Cs/>
        </w:rPr>
        <w:t>商务联系人：纪先生  电话：0596-6311823  邮箱：</w:t>
      </w:r>
      <w:r>
        <w:rPr>
          <w:rStyle w:val="5"/>
          <w:rFonts w:hint="eastAsia" w:cs="Helvetica"/>
        </w:rPr>
        <w:t>hzji@fhcpec.com.cn</w:t>
      </w:r>
    </w:p>
    <w:p>
      <w:pPr>
        <w:pStyle w:val="3"/>
        <w:spacing w:line="495" w:lineRule="atLeast"/>
        <w:ind w:left="412" w:firstLine="420"/>
        <w:rPr>
          <w:rFonts w:cs="Helvetica" w:asciiTheme="majorEastAsia" w:hAnsiTheme="majorEastAsia" w:eastAsiaTheme="majorEastAsia"/>
        </w:rPr>
      </w:pPr>
      <w:r>
        <w:rPr>
          <w:rFonts w:hint="eastAsia" w:cs="Helvetica" w:asciiTheme="majorEastAsia" w:hAnsiTheme="majorEastAsia" w:eastAsiaTheme="majorEastAsia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Style w:val="5"/>
          <w:rFonts w:cs="Helvetica" w:asciiTheme="majorEastAsia" w:hAnsiTheme="majorEastAsia" w:eastAsiaTheme="majorEastAsia"/>
        </w:rPr>
        <w:t>qlin@fhcpec.com.cn</w:t>
      </w:r>
      <w:r>
        <w:rPr>
          <w:rStyle w:val="5"/>
          <w:rFonts w:cs="Helvetica" w:asciiTheme="majorEastAsia" w:hAnsiTheme="majorEastAsia" w:eastAsiaTheme="majorEastAsia"/>
        </w:rPr>
        <w:fldChar w:fldCharType="end"/>
      </w:r>
    </w:p>
    <w:p>
      <w:pPr>
        <w:pStyle w:val="3"/>
        <w:spacing w:line="495" w:lineRule="atLeast"/>
        <w:ind w:left="412" w:firstLine="420"/>
        <w:rPr>
          <w:rFonts w:cs="Helvetica" w:asciiTheme="majorEastAsia" w:hAnsiTheme="majorEastAsia" w:eastAsiaTheme="majorEastAsia"/>
        </w:rPr>
      </w:pPr>
      <w:r>
        <w:rPr>
          <w:rFonts w:hint="eastAsia" w:cs="Helvetica" w:asciiTheme="majorEastAsia" w:hAnsiTheme="majorEastAsia" w:eastAsiaTheme="majorEastAsia"/>
        </w:rPr>
        <w:t>联系地址：漳州市漳浦县杜浔镇杜昌路9号</w:t>
      </w:r>
    </w:p>
    <w:p>
      <w:pPr>
        <w:pStyle w:val="3"/>
        <w:spacing w:line="495" w:lineRule="atLeast"/>
        <w:ind w:left="412" w:firstLine="420"/>
        <w:rPr>
          <w:rFonts w:cs="Helvetica" w:asciiTheme="majorEastAsia" w:hAnsiTheme="majorEastAsia" w:eastAsiaTheme="majorEastAsia"/>
        </w:rPr>
      </w:pPr>
      <w:r>
        <w:rPr>
          <w:rFonts w:hint="eastAsia" w:cs="Helvetica" w:asciiTheme="majorEastAsia" w:hAnsiTheme="majorEastAsia" w:eastAsiaTheme="majorEastAsia"/>
        </w:rPr>
        <w:t>邮    编：363216</w:t>
      </w: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福建福海创石油化工有限公司</w:t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  2020年9月16日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D41"/>
    <w:rsid w:val="001E36CC"/>
    <w:rsid w:val="006A1D41"/>
    <w:rsid w:val="009E2700"/>
    <w:rsid w:val="00C84617"/>
    <w:rsid w:val="495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styleId="6">
    <w:name w:val="annotation reference"/>
    <w:unhideWhenUsed/>
    <w:uiPriority w:val="0"/>
    <w:rPr>
      <w:sz w:val="21"/>
      <w:szCs w:val="21"/>
    </w:rPr>
  </w:style>
  <w:style w:type="character" w:customStyle="1" w:styleId="8">
    <w:name w:val="批注文字 Char"/>
    <w:basedOn w:val="4"/>
    <w:link w:val="2"/>
    <w:uiPriority w:val="0"/>
    <w:rPr>
      <w:rFonts w:ascii="Times New Roman" w:hAnsi="Times New Roman" w:eastAsia="仿宋_GB2312" w:cs="Times New Roman"/>
      <w:kern w:val="0"/>
      <w:sz w:val="32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18</TotalTime>
  <ScaleCrop>false</ScaleCrop>
  <LinksUpToDate>false</LinksUpToDate>
  <CharactersWithSpaces>396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2020-09-16T00:52:00Z</dcterms:created>
  <dc:creator>AutoBVT</dc:creator>
  <cp:lastModifiedBy>李若桑</cp:lastModifiedBy>
  <dcterms:modified xsi:type="dcterms:W3CDTF">2020-09-16T07:46:18Z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