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120"/>
        <w:ind w:firstLine="482"/>
        <w:rPr>
          <w:rFonts w:hint="eastAsia" w:ascii="仿宋" w:hAnsi="仿宋" w:eastAsia="仿宋" w:cs="仿宋"/>
          <w:color w:val="000000"/>
          <w:sz w:val="32"/>
          <w:szCs w:val="32"/>
        </w:rPr>
      </w:pPr>
      <w:r>
        <w:rPr>
          <w:rFonts w:hint="eastAsia"/>
          <w:color w:val="auto"/>
          <w:lang w:eastAsia="zh-CN"/>
        </w:rPr>
        <w:t>宁德</w:t>
      </w:r>
      <w:r>
        <w:rPr>
          <w:rFonts w:hint="eastAsia"/>
          <w:color w:val="auto"/>
        </w:rPr>
        <w:t>市福化环保科技有限公司</w:t>
      </w:r>
      <w:r>
        <w:rPr>
          <w:rFonts w:hint="eastAsia" w:ascii="仿宋" w:hAnsi="仿宋" w:eastAsia="仿宋" w:cs="仿宋"/>
          <w:color w:val="000000"/>
          <w:sz w:val="32"/>
          <w:szCs w:val="32"/>
        </w:rPr>
        <w:t>污水在线监测系统的</w:t>
      </w:r>
    </w:p>
    <w:p>
      <w:pPr>
        <w:pStyle w:val="9"/>
        <w:spacing w:before="120"/>
        <w:ind w:firstLine="482"/>
        <w:rPr>
          <w:rFonts w:hint="eastAsia"/>
          <w:color w:val="auto"/>
          <w:lang w:val="en-US" w:eastAsia="zh-CN"/>
        </w:rPr>
      </w:pPr>
      <w:r>
        <w:rPr>
          <w:rFonts w:hint="eastAsia" w:ascii="仿宋" w:hAnsi="仿宋" w:eastAsia="仿宋" w:cs="仿宋"/>
          <w:color w:val="000000"/>
          <w:sz w:val="32"/>
          <w:szCs w:val="32"/>
        </w:rPr>
        <w:t>比对验收及运维外包</w:t>
      </w:r>
      <w:r>
        <w:rPr>
          <w:rFonts w:hint="eastAsia"/>
          <w:color w:val="auto"/>
          <w:lang w:val="en-US" w:eastAsia="zh-CN"/>
        </w:rPr>
        <w:t>项目</w:t>
      </w:r>
    </w:p>
    <w:p>
      <w:pPr>
        <w:pStyle w:val="9"/>
        <w:spacing w:before="120"/>
        <w:ind w:firstLine="482"/>
      </w:pPr>
      <w:r>
        <w:rPr>
          <w:rFonts w:hint="eastAsia"/>
        </w:rPr>
        <w:t>比选公告</w:t>
      </w:r>
    </w:p>
    <w:p>
      <w:pPr>
        <w:spacing w:line="500" w:lineRule="exact"/>
        <w:ind w:firstLine="560"/>
        <w:rPr>
          <w:rFonts w:hint="eastAsia" w:eastAsia="仿宋"/>
          <w:color w:val="auto"/>
          <w:lang w:val="en-US" w:eastAsia="zh-CN"/>
        </w:rPr>
      </w:pPr>
      <w:r>
        <w:rPr>
          <w:rFonts w:hint="eastAsia"/>
          <w:color w:val="auto"/>
          <w:lang w:eastAsia="zh-CN"/>
        </w:rPr>
        <w:t>宁德</w:t>
      </w:r>
      <w:r>
        <w:rPr>
          <w:rFonts w:hint="eastAsia"/>
          <w:color w:val="auto"/>
        </w:rPr>
        <w:t>市福化环保科技有限公司拟对</w:t>
      </w:r>
      <w:r>
        <w:rPr>
          <w:rFonts w:hint="eastAsia" w:ascii="仿宋" w:hAnsi="仿宋" w:eastAsia="仿宋" w:cs="仿宋"/>
          <w:color w:val="000000"/>
          <w:sz w:val="28"/>
          <w:szCs w:val="28"/>
        </w:rPr>
        <w:t>污水在线监测系统的比对验收及运维外包</w:t>
      </w:r>
      <w:r>
        <w:rPr>
          <w:rFonts w:hint="eastAsia"/>
          <w:color w:val="auto"/>
          <w:lang w:val="en-US" w:eastAsia="zh-CN"/>
        </w:rPr>
        <w:t>项目</w:t>
      </w:r>
      <w:r>
        <w:rPr>
          <w:rFonts w:hint="eastAsia"/>
          <w:color w:val="auto"/>
        </w:rPr>
        <w:t>进行公开比选，选定</w:t>
      </w:r>
      <w:r>
        <w:rPr>
          <w:rFonts w:hint="eastAsia"/>
          <w:color w:val="auto"/>
          <w:lang w:val="en-US" w:eastAsia="zh-CN"/>
        </w:rPr>
        <w:t>服务供应商,欢迎国内符合资质的供应商进行密封报价参选。</w:t>
      </w:r>
    </w:p>
    <w:p>
      <w:pPr>
        <w:numPr>
          <w:ilvl w:val="0"/>
          <w:numId w:val="0"/>
        </w:numPr>
        <w:spacing w:line="500" w:lineRule="exact"/>
        <w:ind w:firstLine="560"/>
        <w:rPr>
          <w:rFonts w:hint="eastAsia"/>
          <w:color w:val="auto"/>
          <w:lang w:eastAsia="zh-CN"/>
        </w:rPr>
      </w:pPr>
      <w:r>
        <w:rPr>
          <w:rFonts w:hint="eastAsia"/>
          <w:color w:val="auto"/>
          <w:lang w:eastAsia="zh-CN"/>
        </w:rPr>
        <w:t>比选内容</w:t>
      </w:r>
    </w:p>
    <w:p>
      <w:pPr>
        <w:pStyle w:val="6"/>
        <w:spacing w:line="480" w:lineRule="exact"/>
        <w:ind w:right="115" w:firstLine="560" w:firstLineChars="200"/>
        <w:rPr>
          <w:rFonts w:ascii="仿宋" w:hAnsi="仿宋" w:eastAsia="仿宋" w:cs="仿宋"/>
          <w:color w:val="000000"/>
          <w:sz w:val="28"/>
          <w:szCs w:val="28"/>
        </w:rPr>
      </w:pPr>
      <w:r>
        <w:rPr>
          <w:rFonts w:hint="eastAsia"/>
          <w:color w:val="auto"/>
          <w:lang w:val="en-US" w:eastAsia="zh-CN"/>
        </w:rPr>
        <w:t xml:space="preserve">   1、</w:t>
      </w:r>
      <w:r>
        <w:rPr>
          <w:rFonts w:hint="eastAsia" w:ascii="仿宋" w:hAnsi="仿宋" w:eastAsia="仿宋" w:cs="仿宋"/>
          <w:color w:val="000000"/>
          <w:sz w:val="28"/>
          <w:szCs w:val="28"/>
        </w:rPr>
        <w:t>我司污水在线监测系统主要仪器有总铬/六价铬在线分析仪（二合一设备）、总银在线分析仪、总汞在线分析仪、总砷在线分析仪、总铅在线分析仪、总镍在线分析仪、总镉在线分析仪、</w:t>
      </w:r>
      <w:r>
        <w:rPr>
          <w:rFonts w:ascii="仿宋" w:hAnsi="仿宋" w:eastAsia="仿宋" w:cs="仿宋"/>
          <w:color w:val="000000"/>
          <w:sz w:val="28"/>
          <w:szCs w:val="28"/>
        </w:rPr>
        <w:t>COD</w:t>
      </w:r>
      <w:r>
        <w:rPr>
          <w:rFonts w:hint="eastAsia" w:ascii="仿宋" w:hAnsi="仿宋" w:eastAsia="仿宋" w:cs="仿宋"/>
          <w:color w:val="000000"/>
          <w:sz w:val="28"/>
          <w:szCs w:val="28"/>
        </w:rPr>
        <w:t>水质在线自动监测仪、氨氮水质在线自动监测仪和数采仪。目前我司已列入省控重点污染源。</w:t>
      </w:r>
    </w:p>
    <w:p>
      <w:pPr>
        <w:pStyle w:val="2"/>
        <w:ind w:firstLine="560"/>
        <w:jc w:val="center"/>
        <w:rPr>
          <w:rFonts w:ascii="仿宋" w:hAnsi="仿宋" w:eastAsia="仿宋" w:cs="仿宋"/>
          <w:color w:val="000000"/>
          <w:sz w:val="28"/>
          <w:szCs w:val="28"/>
        </w:rPr>
      </w:pPr>
      <w:r>
        <w:rPr>
          <w:rFonts w:hint="eastAsia" w:ascii="仿宋" w:hAnsi="仿宋" w:eastAsia="仿宋" w:cs="仿宋"/>
          <w:color w:val="000000"/>
          <w:sz w:val="28"/>
          <w:szCs w:val="28"/>
        </w:rPr>
        <w:t>在线监测系统主要设备清单</w:t>
      </w:r>
    </w:p>
    <w:tbl>
      <w:tblPr>
        <w:tblStyle w:val="8"/>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216"/>
        <w:gridCol w:w="1541"/>
        <w:gridCol w:w="214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2216"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设备名称</w:t>
            </w:r>
          </w:p>
        </w:tc>
        <w:tc>
          <w:tcPr>
            <w:tcW w:w="1541"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设备品牌</w:t>
            </w:r>
          </w:p>
        </w:tc>
        <w:tc>
          <w:tcPr>
            <w:tcW w:w="2141"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型号</w:t>
            </w:r>
          </w:p>
        </w:tc>
        <w:tc>
          <w:tcPr>
            <w:tcW w:w="1957" w:type="dxa"/>
            <w:vAlign w:val="center"/>
          </w:tcPr>
          <w:p>
            <w:pPr>
              <w:pStyle w:val="2"/>
              <w:jc w:val="center"/>
              <w:rPr>
                <w:rFonts w:ascii="仿宋" w:hAnsi="仿宋" w:eastAsia="仿宋" w:cs="仿宋"/>
                <w:color w:val="000000"/>
                <w:sz w:val="28"/>
                <w:szCs w:val="28"/>
              </w:rPr>
            </w:pPr>
            <w:r>
              <w:rPr>
                <w:rFonts w:hint="eastAsia" w:ascii="仿宋" w:hAnsi="仿宋" w:eastAsia="仿宋" w:cs="仿宋"/>
                <w:color w:val="000000"/>
                <w:sz w:val="28"/>
                <w:szCs w:val="28"/>
              </w:rPr>
              <w:t>销售商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0"/>
              <w:jc w:val="center"/>
              <w:rPr>
                <w:rFonts w:ascii="仿宋" w:hAnsi="仿宋" w:eastAsia="仿宋" w:cs="仿宋"/>
                <w:color w:val="000000"/>
                <w:sz w:val="28"/>
                <w:szCs w:val="28"/>
                <w:lang w:val="en-US"/>
              </w:rPr>
            </w:pPr>
            <w:r>
              <w:t>1</w:t>
            </w:r>
          </w:p>
        </w:tc>
        <w:tc>
          <w:tcPr>
            <w:tcW w:w="2216" w:type="dxa"/>
            <w:vAlign w:val="center"/>
          </w:tcPr>
          <w:p>
            <w:pPr>
              <w:pStyle w:val="10"/>
              <w:ind w:left="107"/>
              <w:jc w:val="center"/>
              <w:rPr>
                <w:rFonts w:ascii="仿宋" w:hAnsi="仿宋" w:eastAsia="仿宋" w:cs="仿宋"/>
                <w:color w:val="000000"/>
                <w:sz w:val="28"/>
                <w:szCs w:val="28"/>
                <w:lang w:val="en-US"/>
              </w:rPr>
            </w:pPr>
            <w:r>
              <w:rPr>
                <w:rFonts w:hint="eastAsia"/>
                <w:color w:val="000000"/>
                <w:szCs w:val="21"/>
              </w:rPr>
              <w:t>总铬</w:t>
            </w:r>
            <w:r>
              <w:rPr>
                <w:rFonts w:hint="eastAsia"/>
                <w:color w:val="000000"/>
                <w:szCs w:val="21"/>
                <w:lang w:val="en-US"/>
              </w:rPr>
              <w:t>/</w:t>
            </w:r>
            <w:r>
              <w:rPr>
                <w:rFonts w:hint="eastAsia"/>
                <w:color w:val="000000"/>
                <w:szCs w:val="21"/>
              </w:rPr>
              <w:t>六价铬在线</w:t>
            </w:r>
            <w:r>
              <w:rPr>
                <w:rFonts w:hint="eastAsia"/>
                <w:color w:val="000000"/>
                <w:szCs w:val="21"/>
                <w:lang w:val="en-US"/>
              </w:rPr>
              <w:t>分析</w:t>
            </w:r>
            <w:r>
              <w:rPr>
                <w:rFonts w:hint="eastAsia"/>
                <w:color w:val="000000"/>
                <w:szCs w:val="21"/>
              </w:rPr>
              <w:t>仪</w:t>
            </w:r>
            <w:r>
              <w:rPr>
                <w:rFonts w:hint="eastAsia"/>
                <w:lang w:val="en-US"/>
              </w:rPr>
              <w:t>（二合一设备）</w:t>
            </w:r>
          </w:p>
        </w:tc>
        <w:tc>
          <w:tcPr>
            <w:tcW w:w="1541" w:type="dxa"/>
            <w:vAlign w:val="center"/>
          </w:tcPr>
          <w:p>
            <w:pPr>
              <w:pStyle w:val="10"/>
              <w:ind w:left="107"/>
              <w:jc w:val="center"/>
              <w:rPr>
                <w:color w:val="000000"/>
                <w:sz w:val="28"/>
                <w:szCs w:val="28"/>
                <w:lang w:val="en-US"/>
              </w:rPr>
            </w:pPr>
            <w:r>
              <w:rPr>
                <w:rFonts w:hint="eastAsia"/>
                <w:lang w:val="en-US"/>
              </w:rPr>
              <w:t>台湾合泰</w:t>
            </w:r>
          </w:p>
        </w:tc>
        <w:tc>
          <w:tcPr>
            <w:tcW w:w="2141" w:type="dxa"/>
            <w:vAlign w:val="center"/>
          </w:tcPr>
          <w:p>
            <w:pPr>
              <w:pStyle w:val="10"/>
              <w:ind w:left="107"/>
              <w:jc w:val="center"/>
              <w:rPr>
                <w:rFonts w:ascii="仿宋" w:hAnsi="仿宋" w:eastAsia="仿宋" w:cs="仿宋"/>
                <w:color w:val="000000"/>
                <w:sz w:val="28"/>
                <w:szCs w:val="28"/>
                <w:lang w:val="en-US"/>
              </w:rPr>
            </w:pPr>
            <w:r>
              <w:rPr>
                <w:rFonts w:hint="eastAsia"/>
                <w:color w:val="000000"/>
                <w:szCs w:val="21"/>
                <w:lang w:val="en-US"/>
              </w:rPr>
              <w:t>HTC-C TCr/Cr</w:t>
            </w:r>
            <w:r>
              <w:rPr>
                <w:rFonts w:hint="eastAsia"/>
                <w:color w:val="000000"/>
                <w:szCs w:val="21"/>
                <w:vertAlign w:val="superscript"/>
                <w:lang w:val="en-US"/>
              </w:rPr>
              <w:t>6+</w:t>
            </w:r>
          </w:p>
        </w:tc>
        <w:tc>
          <w:tcPr>
            <w:tcW w:w="1957" w:type="dxa"/>
            <w:vAlign w:val="center"/>
          </w:tcPr>
          <w:p>
            <w:pPr>
              <w:pStyle w:val="10"/>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0"/>
              <w:jc w:val="center"/>
              <w:rPr>
                <w:rFonts w:ascii="仿宋" w:hAnsi="仿宋" w:eastAsia="仿宋" w:cs="仿宋"/>
                <w:color w:val="000000"/>
                <w:sz w:val="28"/>
                <w:szCs w:val="28"/>
                <w:lang w:val="en-US"/>
              </w:rPr>
            </w:pPr>
            <w:r>
              <w:t>2</w:t>
            </w:r>
          </w:p>
        </w:tc>
        <w:tc>
          <w:tcPr>
            <w:tcW w:w="2216" w:type="dxa"/>
            <w:vAlign w:val="center"/>
          </w:tcPr>
          <w:p>
            <w:pPr>
              <w:pStyle w:val="10"/>
              <w:ind w:left="107"/>
              <w:jc w:val="center"/>
              <w:rPr>
                <w:rFonts w:ascii="仿宋" w:hAnsi="仿宋" w:eastAsia="仿宋" w:cs="仿宋"/>
                <w:color w:val="000000"/>
                <w:sz w:val="28"/>
                <w:szCs w:val="28"/>
                <w:lang w:val="en-US"/>
              </w:rPr>
            </w:pPr>
            <w:r>
              <w:rPr>
                <w:rFonts w:hint="eastAsia"/>
                <w:lang w:val="en-US"/>
              </w:rPr>
              <w:t>总银在线分析仪</w:t>
            </w:r>
          </w:p>
        </w:tc>
        <w:tc>
          <w:tcPr>
            <w:tcW w:w="1541" w:type="dxa"/>
            <w:vAlign w:val="center"/>
          </w:tcPr>
          <w:p>
            <w:pPr>
              <w:pStyle w:val="10"/>
              <w:ind w:left="107"/>
              <w:jc w:val="center"/>
              <w:rPr>
                <w:color w:val="000000"/>
                <w:sz w:val="28"/>
                <w:szCs w:val="28"/>
                <w:lang w:val="en-US"/>
              </w:rPr>
            </w:pPr>
            <w:r>
              <w:rPr>
                <w:rFonts w:hint="eastAsia"/>
                <w:lang w:val="en-US"/>
              </w:rPr>
              <w:t>台湾合泰</w:t>
            </w:r>
          </w:p>
        </w:tc>
        <w:tc>
          <w:tcPr>
            <w:tcW w:w="2141" w:type="dxa"/>
            <w:vAlign w:val="center"/>
          </w:tcPr>
          <w:p>
            <w:pPr>
              <w:pStyle w:val="10"/>
              <w:ind w:firstLine="560" w:firstLineChars="200"/>
              <w:rPr>
                <w:rFonts w:ascii="仿宋" w:hAnsi="仿宋" w:eastAsia="仿宋" w:cs="仿宋"/>
                <w:color w:val="000000"/>
                <w:sz w:val="28"/>
                <w:szCs w:val="28"/>
                <w:lang w:val="en-US"/>
              </w:rPr>
            </w:pPr>
            <w:r>
              <w:rPr>
                <w:rFonts w:hint="eastAsia"/>
                <w:color w:val="000000"/>
                <w:szCs w:val="21"/>
                <w:lang w:val="en-US"/>
              </w:rPr>
              <w:t>HTC-C TAg</w:t>
            </w:r>
          </w:p>
        </w:tc>
        <w:tc>
          <w:tcPr>
            <w:tcW w:w="1957" w:type="dxa"/>
            <w:vAlign w:val="center"/>
          </w:tcPr>
          <w:p>
            <w:pPr>
              <w:pStyle w:val="10"/>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0"/>
              <w:jc w:val="center"/>
              <w:rPr>
                <w:lang w:val="en-US"/>
              </w:rPr>
            </w:pPr>
            <w:r>
              <w:rPr>
                <w:rFonts w:hint="eastAsia"/>
                <w:lang w:val="en-US"/>
              </w:rPr>
              <w:t>3</w:t>
            </w:r>
          </w:p>
        </w:tc>
        <w:tc>
          <w:tcPr>
            <w:tcW w:w="2216" w:type="dxa"/>
            <w:vAlign w:val="center"/>
          </w:tcPr>
          <w:p>
            <w:pPr>
              <w:pStyle w:val="10"/>
              <w:ind w:left="107"/>
              <w:jc w:val="center"/>
              <w:rPr>
                <w:lang w:val="en-US"/>
              </w:rPr>
            </w:pPr>
            <w:r>
              <w:rPr>
                <w:rFonts w:hint="eastAsia"/>
                <w:lang w:val="en-US"/>
              </w:rPr>
              <w:t>总汞在线分析仪</w:t>
            </w:r>
          </w:p>
        </w:tc>
        <w:tc>
          <w:tcPr>
            <w:tcW w:w="1541" w:type="dxa"/>
            <w:vAlign w:val="center"/>
          </w:tcPr>
          <w:p>
            <w:pPr>
              <w:pStyle w:val="10"/>
              <w:ind w:left="107"/>
              <w:jc w:val="center"/>
              <w:rPr>
                <w:lang w:val="en-US"/>
              </w:rPr>
            </w:pPr>
            <w:r>
              <w:rPr>
                <w:rFonts w:hint="eastAsia"/>
                <w:lang w:val="en-US"/>
              </w:rPr>
              <w:t>台湾合泰</w:t>
            </w:r>
          </w:p>
        </w:tc>
        <w:tc>
          <w:tcPr>
            <w:tcW w:w="2141" w:type="dxa"/>
            <w:vAlign w:val="center"/>
          </w:tcPr>
          <w:p>
            <w:pPr>
              <w:pStyle w:val="10"/>
              <w:ind w:firstLine="560" w:firstLineChars="200"/>
              <w:rPr>
                <w:lang w:val="en-US"/>
              </w:rPr>
            </w:pPr>
            <w:r>
              <w:rPr>
                <w:rFonts w:hint="eastAsia"/>
                <w:color w:val="000000"/>
                <w:szCs w:val="21"/>
                <w:lang w:val="en-US"/>
              </w:rPr>
              <w:t>HTC-C THg</w:t>
            </w:r>
          </w:p>
        </w:tc>
        <w:tc>
          <w:tcPr>
            <w:tcW w:w="1957" w:type="dxa"/>
            <w:vAlign w:val="center"/>
          </w:tcPr>
          <w:p>
            <w:pPr>
              <w:pStyle w:val="10"/>
              <w:rPr>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0"/>
              <w:jc w:val="center"/>
              <w:rPr>
                <w:lang w:val="en-US"/>
              </w:rPr>
            </w:pPr>
            <w:r>
              <w:rPr>
                <w:rFonts w:hint="eastAsia"/>
                <w:lang w:val="en-US"/>
              </w:rPr>
              <w:t>4</w:t>
            </w:r>
          </w:p>
        </w:tc>
        <w:tc>
          <w:tcPr>
            <w:tcW w:w="2216" w:type="dxa"/>
            <w:vAlign w:val="center"/>
          </w:tcPr>
          <w:p>
            <w:pPr>
              <w:pStyle w:val="10"/>
              <w:ind w:left="107"/>
              <w:jc w:val="center"/>
              <w:rPr>
                <w:lang w:val="en-US"/>
              </w:rPr>
            </w:pPr>
            <w:r>
              <w:rPr>
                <w:rFonts w:hint="eastAsia"/>
                <w:lang w:val="en-US"/>
              </w:rPr>
              <w:t>总砷在线分析仪</w:t>
            </w:r>
          </w:p>
        </w:tc>
        <w:tc>
          <w:tcPr>
            <w:tcW w:w="1541" w:type="dxa"/>
            <w:vAlign w:val="center"/>
          </w:tcPr>
          <w:p>
            <w:pPr>
              <w:pStyle w:val="10"/>
              <w:ind w:left="107"/>
              <w:jc w:val="center"/>
              <w:rPr>
                <w:lang w:val="en-US"/>
              </w:rPr>
            </w:pPr>
            <w:r>
              <w:rPr>
                <w:rFonts w:hint="eastAsia"/>
                <w:lang w:val="en-US"/>
              </w:rPr>
              <w:t>台湾合泰</w:t>
            </w:r>
          </w:p>
        </w:tc>
        <w:tc>
          <w:tcPr>
            <w:tcW w:w="2141" w:type="dxa"/>
            <w:vAlign w:val="center"/>
          </w:tcPr>
          <w:p>
            <w:pPr>
              <w:pStyle w:val="10"/>
              <w:ind w:firstLine="560" w:firstLineChars="200"/>
              <w:rPr>
                <w:lang w:val="en-US"/>
              </w:rPr>
            </w:pPr>
            <w:r>
              <w:rPr>
                <w:rFonts w:hint="eastAsia"/>
                <w:color w:val="000000"/>
                <w:szCs w:val="21"/>
                <w:lang w:val="en-US"/>
              </w:rPr>
              <w:t>HTC-C TAs</w:t>
            </w:r>
          </w:p>
        </w:tc>
        <w:tc>
          <w:tcPr>
            <w:tcW w:w="1957" w:type="dxa"/>
            <w:vAlign w:val="center"/>
          </w:tcPr>
          <w:p>
            <w:pPr>
              <w:pStyle w:val="10"/>
              <w:rPr>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0"/>
              <w:jc w:val="center"/>
              <w:rPr>
                <w:lang w:val="en-US"/>
              </w:rPr>
            </w:pPr>
            <w:r>
              <w:rPr>
                <w:rFonts w:hint="eastAsia"/>
                <w:lang w:val="en-US"/>
              </w:rPr>
              <w:t>5</w:t>
            </w:r>
          </w:p>
        </w:tc>
        <w:tc>
          <w:tcPr>
            <w:tcW w:w="2216" w:type="dxa"/>
            <w:vAlign w:val="center"/>
          </w:tcPr>
          <w:p>
            <w:pPr>
              <w:pStyle w:val="10"/>
              <w:ind w:left="107"/>
              <w:jc w:val="center"/>
              <w:rPr>
                <w:lang w:val="en-US"/>
              </w:rPr>
            </w:pPr>
            <w:r>
              <w:rPr>
                <w:rFonts w:hint="eastAsia"/>
                <w:lang w:val="en-US"/>
              </w:rPr>
              <w:t>总铅在线分析仪</w:t>
            </w:r>
          </w:p>
        </w:tc>
        <w:tc>
          <w:tcPr>
            <w:tcW w:w="1541" w:type="dxa"/>
            <w:vAlign w:val="center"/>
          </w:tcPr>
          <w:p>
            <w:pPr>
              <w:pStyle w:val="10"/>
              <w:ind w:left="107"/>
              <w:jc w:val="center"/>
              <w:rPr>
                <w:lang w:val="en-US"/>
              </w:rPr>
            </w:pPr>
            <w:r>
              <w:rPr>
                <w:rFonts w:hint="eastAsia"/>
                <w:lang w:val="en-US"/>
              </w:rPr>
              <w:t>台湾合泰</w:t>
            </w:r>
          </w:p>
        </w:tc>
        <w:tc>
          <w:tcPr>
            <w:tcW w:w="2141" w:type="dxa"/>
            <w:vAlign w:val="center"/>
          </w:tcPr>
          <w:p>
            <w:pPr>
              <w:pStyle w:val="10"/>
              <w:ind w:firstLine="560" w:firstLineChars="200"/>
              <w:rPr>
                <w:lang w:val="en-US"/>
              </w:rPr>
            </w:pPr>
            <w:r>
              <w:rPr>
                <w:rFonts w:hint="eastAsia"/>
                <w:color w:val="000000"/>
                <w:szCs w:val="21"/>
                <w:lang w:val="en-US"/>
              </w:rPr>
              <w:t>HTC-C TPb</w:t>
            </w:r>
          </w:p>
        </w:tc>
        <w:tc>
          <w:tcPr>
            <w:tcW w:w="1957" w:type="dxa"/>
            <w:vAlign w:val="center"/>
          </w:tcPr>
          <w:p>
            <w:pPr>
              <w:pStyle w:val="10"/>
              <w:rPr>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45" w:type="dxa"/>
            <w:vAlign w:val="center"/>
          </w:tcPr>
          <w:p>
            <w:pPr>
              <w:pStyle w:val="10"/>
              <w:spacing w:before="0"/>
              <w:jc w:val="center"/>
              <w:rPr>
                <w:color w:val="000000"/>
                <w:szCs w:val="21"/>
                <w:lang w:val="en-US"/>
              </w:rPr>
            </w:pPr>
            <w:r>
              <w:rPr>
                <w:rFonts w:hint="eastAsia"/>
                <w:color w:val="000000"/>
                <w:szCs w:val="21"/>
                <w:lang w:val="en-US"/>
              </w:rPr>
              <w:t>6</w:t>
            </w:r>
          </w:p>
        </w:tc>
        <w:tc>
          <w:tcPr>
            <w:tcW w:w="2216" w:type="dxa"/>
            <w:vAlign w:val="center"/>
          </w:tcPr>
          <w:p>
            <w:pPr>
              <w:pStyle w:val="10"/>
              <w:spacing w:before="0"/>
              <w:ind w:left="107"/>
              <w:jc w:val="center"/>
              <w:rPr>
                <w:color w:val="000000"/>
                <w:szCs w:val="21"/>
                <w:lang w:val="en-US"/>
              </w:rPr>
            </w:pPr>
            <w:r>
              <w:rPr>
                <w:rFonts w:hint="eastAsia"/>
                <w:color w:val="000000"/>
                <w:szCs w:val="21"/>
                <w:lang w:val="en-US"/>
              </w:rPr>
              <w:t>总镍在线分析仪</w:t>
            </w:r>
          </w:p>
        </w:tc>
        <w:tc>
          <w:tcPr>
            <w:tcW w:w="1541" w:type="dxa"/>
            <w:vAlign w:val="center"/>
          </w:tcPr>
          <w:p>
            <w:pPr>
              <w:pStyle w:val="10"/>
              <w:spacing w:before="0"/>
              <w:jc w:val="center"/>
              <w:rPr>
                <w:color w:val="000000"/>
                <w:sz w:val="28"/>
                <w:szCs w:val="28"/>
                <w:lang w:val="en-US"/>
              </w:rPr>
            </w:pPr>
            <w:r>
              <w:rPr>
                <w:rFonts w:hint="eastAsia"/>
                <w:lang w:val="en-US"/>
              </w:rPr>
              <w:t>台湾合泰</w:t>
            </w:r>
          </w:p>
        </w:tc>
        <w:tc>
          <w:tcPr>
            <w:tcW w:w="2141" w:type="dxa"/>
            <w:vAlign w:val="center"/>
          </w:tcPr>
          <w:p>
            <w:pPr>
              <w:pStyle w:val="10"/>
              <w:spacing w:before="4" w:line="244" w:lineRule="auto"/>
              <w:ind w:left="107" w:right="245"/>
              <w:jc w:val="center"/>
              <w:rPr>
                <w:rFonts w:ascii="仿宋" w:hAnsi="仿宋" w:eastAsia="仿宋" w:cs="仿宋"/>
                <w:color w:val="000000"/>
                <w:sz w:val="28"/>
                <w:szCs w:val="28"/>
                <w:lang w:val="en-US"/>
              </w:rPr>
            </w:pPr>
            <w:r>
              <w:rPr>
                <w:rFonts w:hint="eastAsia"/>
                <w:color w:val="000000"/>
                <w:szCs w:val="21"/>
                <w:lang w:val="en-US"/>
              </w:rPr>
              <w:t>HTC-C TNi</w:t>
            </w:r>
          </w:p>
        </w:tc>
        <w:tc>
          <w:tcPr>
            <w:tcW w:w="1957" w:type="dxa"/>
            <w:vAlign w:val="center"/>
          </w:tcPr>
          <w:p>
            <w:pPr>
              <w:pStyle w:val="10"/>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45" w:type="dxa"/>
            <w:vAlign w:val="center"/>
          </w:tcPr>
          <w:p>
            <w:pPr>
              <w:pStyle w:val="10"/>
              <w:spacing w:before="0"/>
              <w:jc w:val="center"/>
              <w:rPr>
                <w:szCs w:val="21"/>
                <w:lang w:val="en-US"/>
              </w:rPr>
            </w:pPr>
            <w:r>
              <w:rPr>
                <w:rFonts w:hint="eastAsia"/>
                <w:szCs w:val="21"/>
                <w:lang w:val="en-US"/>
              </w:rPr>
              <w:t>7</w:t>
            </w:r>
          </w:p>
        </w:tc>
        <w:tc>
          <w:tcPr>
            <w:tcW w:w="2216" w:type="dxa"/>
            <w:vAlign w:val="center"/>
          </w:tcPr>
          <w:p>
            <w:pPr>
              <w:pStyle w:val="10"/>
              <w:spacing w:before="0"/>
              <w:ind w:left="107"/>
              <w:jc w:val="center"/>
              <w:rPr>
                <w:color w:val="000000"/>
                <w:szCs w:val="21"/>
                <w:lang w:val="en-US"/>
              </w:rPr>
            </w:pPr>
            <w:r>
              <w:rPr>
                <w:rFonts w:hint="eastAsia"/>
                <w:color w:val="000000"/>
                <w:szCs w:val="21"/>
                <w:lang w:val="en-US"/>
              </w:rPr>
              <w:t>总镉在线分析仪</w:t>
            </w:r>
          </w:p>
        </w:tc>
        <w:tc>
          <w:tcPr>
            <w:tcW w:w="1541" w:type="dxa"/>
            <w:vAlign w:val="center"/>
          </w:tcPr>
          <w:p>
            <w:pPr>
              <w:pStyle w:val="10"/>
              <w:spacing w:before="0"/>
              <w:jc w:val="center"/>
              <w:rPr>
                <w:color w:val="000000"/>
                <w:sz w:val="28"/>
                <w:szCs w:val="28"/>
                <w:lang w:val="en-US"/>
              </w:rPr>
            </w:pPr>
            <w:r>
              <w:rPr>
                <w:rFonts w:hint="eastAsia"/>
                <w:lang w:val="en-US"/>
              </w:rPr>
              <w:t>台湾合泰</w:t>
            </w:r>
          </w:p>
        </w:tc>
        <w:tc>
          <w:tcPr>
            <w:tcW w:w="2141" w:type="dxa"/>
            <w:vAlign w:val="center"/>
          </w:tcPr>
          <w:p>
            <w:pPr>
              <w:pStyle w:val="10"/>
              <w:spacing w:before="4" w:line="244" w:lineRule="auto"/>
              <w:ind w:left="107" w:right="245"/>
              <w:jc w:val="center"/>
              <w:rPr>
                <w:rFonts w:ascii="仿宋" w:hAnsi="仿宋" w:eastAsia="仿宋" w:cs="仿宋"/>
                <w:color w:val="000000"/>
                <w:sz w:val="28"/>
                <w:szCs w:val="28"/>
                <w:lang w:val="en-US"/>
              </w:rPr>
            </w:pPr>
            <w:r>
              <w:rPr>
                <w:rFonts w:hint="eastAsia"/>
                <w:color w:val="000000"/>
                <w:szCs w:val="21"/>
                <w:lang w:val="en-US"/>
              </w:rPr>
              <w:t>HTC-C TCd</w:t>
            </w:r>
          </w:p>
        </w:tc>
        <w:tc>
          <w:tcPr>
            <w:tcW w:w="1957" w:type="dxa"/>
            <w:vAlign w:val="center"/>
          </w:tcPr>
          <w:p>
            <w:pPr>
              <w:pStyle w:val="10"/>
              <w:rPr>
                <w:color w:val="000000"/>
                <w:szCs w:val="21"/>
                <w:lang w:val="en-US"/>
              </w:rPr>
            </w:pPr>
            <w:r>
              <w:rPr>
                <w:rFonts w:hint="eastAsia"/>
                <w:color w:val="000000"/>
                <w:szCs w:val="21"/>
                <w:lang w:val="en-US"/>
              </w:rPr>
              <w:t>厦门市吉龙德环境工程有限公司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5" w:type="dxa"/>
            <w:vAlign w:val="center"/>
          </w:tcPr>
          <w:p>
            <w:pPr>
              <w:pStyle w:val="10"/>
              <w:jc w:val="center"/>
              <w:rPr>
                <w:color w:val="000000"/>
                <w:szCs w:val="21"/>
                <w:lang w:val="en-US"/>
              </w:rPr>
            </w:pPr>
            <w:r>
              <w:rPr>
                <w:rFonts w:hint="eastAsia"/>
                <w:color w:val="000000"/>
                <w:szCs w:val="21"/>
                <w:lang w:val="en-US"/>
              </w:rPr>
              <w:t>8</w:t>
            </w:r>
          </w:p>
        </w:tc>
        <w:tc>
          <w:tcPr>
            <w:tcW w:w="2216" w:type="dxa"/>
            <w:vAlign w:val="center"/>
          </w:tcPr>
          <w:p>
            <w:pPr>
              <w:pStyle w:val="10"/>
              <w:ind w:left="107"/>
              <w:jc w:val="center"/>
              <w:rPr>
                <w:color w:val="000000"/>
                <w:sz w:val="18"/>
                <w:szCs w:val="18"/>
                <w:lang w:val="en-US"/>
              </w:rPr>
            </w:pPr>
            <w:r>
              <w:rPr>
                <w:rFonts w:hint="eastAsia"/>
                <w:color w:val="000000"/>
                <w:szCs w:val="21"/>
                <w:lang w:val="en-US"/>
              </w:rPr>
              <w:t>COD</w:t>
            </w:r>
            <w:r>
              <w:rPr>
                <w:rFonts w:hint="eastAsia"/>
                <w:color w:val="000000"/>
                <w:szCs w:val="21"/>
                <w:vertAlign w:val="subscript"/>
                <w:lang w:val="en-US"/>
              </w:rPr>
              <w:t>Cr</w:t>
            </w:r>
            <w:r>
              <w:rPr>
                <w:rFonts w:hint="eastAsia"/>
                <w:color w:val="000000"/>
                <w:szCs w:val="21"/>
                <w:lang w:val="en-US"/>
              </w:rPr>
              <w:t>水质在线自动监测仪</w:t>
            </w:r>
          </w:p>
        </w:tc>
        <w:tc>
          <w:tcPr>
            <w:tcW w:w="1541" w:type="dxa"/>
            <w:vAlign w:val="center"/>
          </w:tcPr>
          <w:p>
            <w:pPr>
              <w:pStyle w:val="10"/>
              <w:ind w:left="213"/>
              <w:jc w:val="center"/>
              <w:rPr>
                <w:color w:val="000000"/>
                <w:szCs w:val="21"/>
                <w:lang w:val="en-US"/>
              </w:rPr>
            </w:pPr>
            <w:r>
              <w:rPr>
                <w:rFonts w:hint="eastAsia"/>
                <w:color w:val="000000"/>
                <w:szCs w:val="21"/>
                <w:lang w:val="en-US"/>
              </w:rPr>
              <w:t>博克斯</w:t>
            </w:r>
          </w:p>
        </w:tc>
        <w:tc>
          <w:tcPr>
            <w:tcW w:w="2141" w:type="dxa"/>
            <w:vAlign w:val="center"/>
          </w:tcPr>
          <w:p>
            <w:pPr>
              <w:pStyle w:val="10"/>
              <w:ind w:left="107"/>
              <w:jc w:val="center"/>
              <w:rPr>
                <w:rFonts w:ascii="仿宋" w:hAnsi="仿宋" w:eastAsia="仿宋" w:cs="仿宋"/>
                <w:color w:val="000000"/>
                <w:sz w:val="28"/>
                <w:szCs w:val="28"/>
                <w:lang w:val="en-US"/>
              </w:rPr>
            </w:pPr>
            <w:r>
              <w:rPr>
                <w:rFonts w:hint="eastAsia"/>
                <w:color w:val="000000"/>
                <w:szCs w:val="21"/>
                <w:lang w:val="en-US"/>
              </w:rPr>
              <w:t>DH310C1</w:t>
            </w:r>
          </w:p>
        </w:tc>
        <w:tc>
          <w:tcPr>
            <w:tcW w:w="1957" w:type="dxa"/>
            <w:vAlign w:val="center"/>
          </w:tcPr>
          <w:p>
            <w:pPr>
              <w:pStyle w:val="10"/>
              <w:ind w:right="61"/>
              <w:rPr>
                <w:rFonts w:ascii="仿宋" w:hAnsi="仿宋" w:eastAsia="仿宋" w:cs="仿宋"/>
                <w:color w:val="000000"/>
                <w:sz w:val="18"/>
                <w:szCs w:val="18"/>
                <w:lang w:val="en-US"/>
              </w:rPr>
            </w:pPr>
            <w:r>
              <w:rPr>
                <w:rFonts w:hint="eastAsia"/>
                <w:color w:val="000000"/>
                <w:szCs w:val="21"/>
                <w:lang w:val="en-US"/>
              </w:rPr>
              <w:t>江苏博克斯自动化控制工程有限公司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45" w:type="dxa"/>
            <w:vAlign w:val="center"/>
          </w:tcPr>
          <w:p>
            <w:pPr>
              <w:pStyle w:val="10"/>
              <w:jc w:val="center"/>
              <w:rPr>
                <w:color w:val="000000"/>
                <w:szCs w:val="21"/>
                <w:lang w:val="en-US"/>
              </w:rPr>
            </w:pPr>
            <w:r>
              <w:rPr>
                <w:rFonts w:hint="eastAsia"/>
                <w:color w:val="000000"/>
                <w:szCs w:val="21"/>
                <w:lang w:val="en-US"/>
              </w:rPr>
              <w:t>9</w:t>
            </w:r>
          </w:p>
        </w:tc>
        <w:tc>
          <w:tcPr>
            <w:tcW w:w="2216" w:type="dxa"/>
            <w:vAlign w:val="center"/>
          </w:tcPr>
          <w:p>
            <w:pPr>
              <w:pStyle w:val="10"/>
              <w:ind w:left="107"/>
              <w:jc w:val="center"/>
              <w:rPr>
                <w:color w:val="000000"/>
                <w:sz w:val="18"/>
                <w:szCs w:val="18"/>
                <w:lang w:val="en-US"/>
              </w:rPr>
            </w:pPr>
            <w:r>
              <w:rPr>
                <w:rFonts w:hint="eastAsia"/>
                <w:color w:val="000000"/>
                <w:szCs w:val="21"/>
                <w:lang w:val="en-US"/>
              </w:rPr>
              <w:t>氨氮水质在线自动监测仪</w:t>
            </w:r>
          </w:p>
        </w:tc>
        <w:tc>
          <w:tcPr>
            <w:tcW w:w="1541" w:type="dxa"/>
            <w:vAlign w:val="center"/>
          </w:tcPr>
          <w:p>
            <w:pPr>
              <w:pStyle w:val="10"/>
              <w:ind w:left="107"/>
              <w:jc w:val="center"/>
              <w:rPr>
                <w:rFonts w:ascii="仿宋" w:hAnsi="仿宋" w:eastAsia="仿宋" w:cs="仿宋"/>
                <w:color w:val="000000"/>
                <w:szCs w:val="21"/>
                <w:lang w:val="en-US"/>
              </w:rPr>
            </w:pPr>
            <w:r>
              <w:rPr>
                <w:rFonts w:hint="eastAsia"/>
                <w:color w:val="000000"/>
                <w:szCs w:val="21"/>
                <w:lang w:val="en-US"/>
              </w:rPr>
              <w:t>博克斯</w:t>
            </w:r>
          </w:p>
        </w:tc>
        <w:tc>
          <w:tcPr>
            <w:tcW w:w="2141" w:type="dxa"/>
            <w:vAlign w:val="center"/>
          </w:tcPr>
          <w:p>
            <w:pPr>
              <w:pStyle w:val="10"/>
              <w:ind w:left="107"/>
              <w:jc w:val="center"/>
              <w:rPr>
                <w:color w:val="000000"/>
                <w:szCs w:val="21"/>
                <w:lang w:val="en-US"/>
              </w:rPr>
            </w:pPr>
            <w:r>
              <w:rPr>
                <w:rFonts w:hint="eastAsia"/>
                <w:color w:val="000000"/>
                <w:szCs w:val="21"/>
                <w:lang w:val="en-US"/>
              </w:rPr>
              <w:t>DH311N1</w:t>
            </w:r>
          </w:p>
        </w:tc>
        <w:tc>
          <w:tcPr>
            <w:tcW w:w="1957" w:type="dxa"/>
            <w:vAlign w:val="center"/>
          </w:tcPr>
          <w:p>
            <w:pPr>
              <w:pStyle w:val="10"/>
              <w:rPr>
                <w:rFonts w:ascii="仿宋" w:hAnsi="仿宋" w:eastAsia="仿宋" w:cs="仿宋"/>
                <w:color w:val="000000"/>
                <w:sz w:val="28"/>
                <w:szCs w:val="28"/>
                <w:lang w:val="en-US"/>
              </w:rPr>
            </w:pPr>
            <w:r>
              <w:rPr>
                <w:rFonts w:hint="eastAsia"/>
                <w:color w:val="000000"/>
                <w:szCs w:val="21"/>
                <w:lang w:val="en-US"/>
              </w:rPr>
              <w:t>江苏博克斯自动化控制工程有限公司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845" w:type="dxa"/>
            <w:vAlign w:val="center"/>
          </w:tcPr>
          <w:p>
            <w:pPr>
              <w:pStyle w:val="10"/>
              <w:jc w:val="center"/>
              <w:rPr>
                <w:color w:val="000000"/>
                <w:szCs w:val="21"/>
                <w:lang w:val="en-US"/>
              </w:rPr>
            </w:pPr>
            <w:r>
              <w:rPr>
                <w:rFonts w:hint="eastAsia"/>
                <w:color w:val="000000"/>
                <w:szCs w:val="21"/>
                <w:lang w:val="en-US"/>
              </w:rPr>
              <w:t>10</w:t>
            </w:r>
          </w:p>
        </w:tc>
        <w:tc>
          <w:tcPr>
            <w:tcW w:w="2216" w:type="dxa"/>
            <w:vAlign w:val="center"/>
          </w:tcPr>
          <w:p>
            <w:pPr>
              <w:pStyle w:val="10"/>
              <w:ind w:left="107"/>
              <w:jc w:val="center"/>
              <w:rPr>
                <w:rFonts w:ascii="仿宋" w:hAnsi="仿宋" w:eastAsia="仿宋" w:cs="仿宋"/>
                <w:color w:val="000000"/>
                <w:sz w:val="28"/>
                <w:szCs w:val="28"/>
                <w:lang w:val="en-US"/>
              </w:rPr>
            </w:pPr>
            <w:r>
              <w:rPr>
                <w:rFonts w:hint="eastAsia"/>
                <w:lang w:val="en-US"/>
              </w:rPr>
              <w:t>数采仪</w:t>
            </w:r>
          </w:p>
        </w:tc>
        <w:tc>
          <w:tcPr>
            <w:tcW w:w="1541" w:type="dxa"/>
            <w:vAlign w:val="center"/>
          </w:tcPr>
          <w:p>
            <w:pPr>
              <w:pStyle w:val="10"/>
              <w:ind w:left="107"/>
              <w:jc w:val="center"/>
              <w:rPr>
                <w:rFonts w:ascii="仿宋" w:hAnsi="仿宋" w:eastAsia="仿宋" w:cs="仿宋"/>
                <w:color w:val="000000"/>
                <w:sz w:val="28"/>
                <w:szCs w:val="28"/>
                <w:lang w:val="en-US"/>
              </w:rPr>
            </w:pPr>
          </w:p>
        </w:tc>
        <w:tc>
          <w:tcPr>
            <w:tcW w:w="2141" w:type="dxa"/>
            <w:vAlign w:val="center"/>
          </w:tcPr>
          <w:p>
            <w:pPr>
              <w:pStyle w:val="10"/>
              <w:ind w:left="107"/>
              <w:jc w:val="center"/>
              <w:rPr>
                <w:rFonts w:ascii="仿宋" w:hAnsi="仿宋" w:eastAsia="仿宋" w:cs="仿宋"/>
                <w:color w:val="000000"/>
                <w:sz w:val="28"/>
                <w:szCs w:val="28"/>
                <w:lang w:val="en-US"/>
              </w:rPr>
            </w:pPr>
          </w:p>
        </w:tc>
        <w:tc>
          <w:tcPr>
            <w:tcW w:w="1957" w:type="dxa"/>
            <w:vAlign w:val="center"/>
          </w:tcPr>
          <w:p>
            <w:pPr>
              <w:pStyle w:val="10"/>
              <w:ind w:right="61"/>
              <w:rPr>
                <w:rFonts w:ascii="仿宋" w:hAnsi="仿宋" w:eastAsia="仿宋" w:cs="仿宋"/>
                <w:color w:val="000000"/>
                <w:szCs w:val="21"/>
                <w:lang w:val="en-US"/>
              </w:rPr>
            </w:pPr>
            <w:r>
              <w:rPr>
                <w:rFonts w:hint="eastAsia"/>
                <w:color w:val="000000"/>
                <w:szCs w:val="21"/>
                <w:lang w:val="en-US"/>
              </w:rPr>
              <w:t>厦门市吉龙德环境工程有限公司</w:t>
            </w:r>
          </w:p>
        </w:tc>
      </w:tr>
    </w:tbl>
    <w:p>
      <w:pPr>
        <w:pStyle w:val="2"/>
        <w:ind w:firstLine="560"/>
        <w:jc w:val="center"/>
        <w:rPr>
          <w:rFonts w:ascii="仿宋" w:hAnsi="仿宋" w:eastAsia="仿宋" w:cs="仿宋"/>
          <w:color w:val="000000"/>
          <w:sz w:val="28"/>
          <w:szCs w:val="28"/>
        </w:rPr>
      </w:pPr>
    </w:p>
    <w:p>
      <w:pPr>
        <w:tabs>
          <w:tab w:val="left" w:pos="420"/>
          <w:tab w:val="left" w:pos="6660"/>
        </w:tabs>
        <w:spacing w:line="324"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、项目名称：宁德市福化环保科技有限公司污水在线监测系统比对验收及运维外包项目。</w:t>
      </w:r>
    </w:p>
    <w:p>
      <w:pPr>
        <w:spacing w:before="1" w:line="480" w:lineRule="exact"/>
        <w:ind w:firstLine="560" w:firstLineChars="200"/>
        <w:rPr>
          <w:rFonts w:ascii="宋体" w:hAnsi="宋体" w:eastAsia="仿宋"/>
          <w:snapToGrid w:val="0"/>
          <w:spacing w:val="8"/>
          <w:sz w:val="24"/>
        </w:rPr>
      </w:pPr>
      <w:r>
        <w:rPr>
          <w:rFonts w:ascii="仿宋" w:hAnsi="仿宋" w:eastAsia="仿宋" w:cs="仿宋"/>
          <w:color w:val="000000"/>
          <w:sz w:val="28"/>
          <w:szCs w:val="28"/>
        </w:rPr>
        <w:t>3</w:t>
      </w:r>
      <w:r>
        <w:rPr>
          <w:rFonts w:hint="eastAsia" w:ascii="仿宋" w:hAnsi="仿宋" w:eastAsia="仿宋" w:cs="仿宋"/>
          <w:color w:val="000000"/>
          <w:sz w:val="28"/>
          <w:szCs w:val="28"/>
        </w:rPr>
        <w:t>、单位地址：宁德市福鼎市龙安开发区龙湾路5号</w:t>
      </w:r>
    </w:p>
    <w:p>
      <w:pPr>
        <w:spacing w:line="480" w:lineRule="exact"/>
        <w:rPr>
          <w:rFonts w:ascii="仿宋" w:hAnsi="仿宋" w:eastAsia="仿宋" w:cs="仿宋"/>
          <w:b/>
          <w:color w:val="000000"/>
          <w:sz w:val="28"/>
          <w:szCs w:val="28"/>
        </w:rPr>
      </w:pPr>
      <w:bookmarkStart w:id="0" w:name="_Toc4647_WPSOffice_Level2"/>
      <w:bookmarkStart w:id="1" w:name="_Toc9146_WPSOffice_Level2"/>
      <w:r>
        <w:rPr>
          <w:rFonts w:hint="eastAsia" w:ascii="仿宋" w:hAnsi="仿宋" w:eastAsia="仿宋" w:cs="仿宋"/>
          <w:b/>
          <w:color w:val="000000"/>
          <w:sz w:val="28"/>
          <w:szCs w:val="28"/>
        </w:rPr>
        <w:t>二、定义和解释</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、“比选人”系宁德市福化环保科技有限公司，即业主方。</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、“参选人”系指向比选人报名并接受邀请，领取比选文件，且已经提交或准备提交本次参选文件的法人。</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、“参选人代表”系指全权代表参选人参加本次投标活动并签署参选文件的人，如果参选人代表不是参选人的法定代表人，须持有《法定代表人授权委托书》。</w:t>
      </w:r>
    </w:p>
    <w:p>
      <w:pPr>
        <w:spacing w:line="480" w:lineRule="exact"/>
        <w:rPr>
          <w:rFonts w:ascii="仿宋" w:hAnsi="仿宋" w:eastAsia="仿宋" w:cs="仿宋"/>
          <w:b/>
          <w:sz w:val="28"/>
          <w:szCs w:val="28"/>
        </w:rPr>
      </w:pPr>
      <w:r>
        <w:rPr>
          <w:rFonts w:hint="eastAsia" w:ascii="仿宋" w:hAnsi="仿宋" w:eastAsia="仿宋" w:cs="仿宋"/>
          <w:b/>
          <w:sz w:val="28"/>
          <w:szCs w:val="28"/>
        </w:rPr>
        <w:t>三、服务</w:t>
      </w:r>
      <w:bookmarkEnd w:id="0"/>
      <w:bookmarkEnd w:id="1"/>
      <w:r>
        <w:rPr>
          <w:rFonts w:hint="eastAsia" w:ascii="仿宋" w:hAnsi="仿宋" w:eastAsia="仿宋" w:cs="仿宋"/>
          <w:b/>
          <w:sz w:val="28"/>
          <w:szCs w:val="28"/>
        </w:rPr>
        <w:t>内容</w:t>
      </w:r>
    </w:p>
    <w:p>
      <w:pPr>
        <w:pStyle w:val="5"/>
        <w:ind w:firstLine="560" w:firstLineChars="20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、负责污水在线监测系统的比对验收，同时符合《水污染源在线监测系统验收技术规范》</w:t>
      </w:r>
      <w:r>
        <w:rPr>
          <w:rFonts w:ascii="仿宋" w:hAnsi="仿宋" w:eastAsia="仿宋" w:cs="仿宋"/>
          <w:bCs/>
          <w:sz w:val="28"/>
          <w:szCs w:val="28"/>
        </w:rPr>
        <w:t>HJ354-2019</w:t>
      </w:r>
      <w:r>
        <w:rPr>
          <w:rFonts w:hint="eastAsia" w:ascii="仿宋" w:hAnsi="仿宋" w:eastAsia="仿宋" w:cs="仿宋"/>
          <w:bCs/>
          <w:sz w:val="28"/>
          <w:szCs w:val="28"/>
        </w:rPr>
        <w:t>中的各项规范，并向环保部门备案。</w:t>
      </w:r>
    </w:p>
    <w:p>
      <w:pPr>
        <w:pStyle w:val="5"/>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、负责污水在线监测系统（含配套的采样设施和监控设施）的日常运营维护，同时符合《水污染源在线监测系统运行技术规范》</w:t>
      </w:r>
      <w:r>
        <w:rPr>
          <w:rFonts w:ascii="仿宋" w:hAnsi="仿宋" w:eastAsia="仿宋" w:cs="仿宋"/>
          <w:bCs/>
          <w:sz w:val="28"/>
          <w:szCs w:val="28"/>
        </w:rPr>
        <w:t>HJ355-2019</w:t>
      </w:r>
      <w:r>
        <w:rPr>
          <w:rFonts w:hint="eastAsia" w:ascii="仿宋" w:hAnsi="仿宋" w:eastAsia="仿宋" w:cs="仿宋"/>
          <w:bCs/>
          <w:sz w:val="28"/>
          <w:szCs w:val="28"/>
        </w:rPr>
        <w:t>中的各项规范。</w:t>
      </w:r>
    </w:p>
    <w:p>
      <w:pPr>
        <w:pStyle w:val="5"/>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、负责处理在线仪器异常情况，并在</w:t>
      </w:r>
      <w:r>
        <w:rPr>
          <w:rFonts w:ascii="仿宋" w:hAnsi="仿宋" w:eastAsia="仿宋" w:cs="仿宋"/>
          <w:bCs/>
          <w:sz w:val="28"/>
          <w:szCs w:val="28"/>
        </w:rPr>
        <w:t>6</w:t>
      </w:r>
      <w:r>
        <w:rPr>
          <w:rFonts w:hint="eastAsia" w:ascii="仿宋" w:hAnsi="仿宋" w:eastAsia="仿宋" w:cs="仿宋"/>
          <w:bCs/>
          <w:sz w:val="28"/>
          <w:szCs w:val="28"/>
        </w:rPr>
        <w:t>小时内到达现场处理，同时向环保部门出具报告和办理相关手续。</w:t>
      </w:r>
    </w:p>
    <w:p>
      <w:pPr>
        <w:pStyle w:val="5"/>
        <w:ind w:firstLine="560" w:firstLineChars="200"/>
        <w:rPr>
          <w:rFonts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、负责在线监测仪器的零配件采购和更换试剂等所有与在线监测系统有关的事宜。</w:t>
      </w:r>
    </w:p>
    <w:p>
      <w:pPr>
        <w:pStyle w:val="2"/>
        <w:ind w:firstLine="562"/>
        <w:rPr>
          <w:rFonts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、积极配合环保部门等相关部门的日常检查</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负责和环保部门的沟通工作</w:t>
      </w:r>
      <w:r>
        <w:rPr>
          <w:rFonts w:hint="eastAsia" w:ascii="仿宋" w:hAnsi="仿宋" w:eastAsia="仿宋" w:cs="仿宋"/>
          <w:bCs/>
          <w:sz w:val="28"/>
          <w:szCs w:val="28"/>
        </w:rPr>
        <w:t>。</w:t>
      </w:r>
    </w:p>
    <w:p>
      <w:pPr>
        <w:pStyle w:val="2"/>
        <w:ind w:firstLine="562"/>
        <w:rPr>
          <w:rFonts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rPr>
        <w:t>、按环保监管部门的要求，负责在线监测系统的强制检定工作并出具报告或标识等材料。</w:t>
      </w:r>
    </w:p>
    <w:p>
      <w:pPr>
        <w:widowControl/>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lang w:val="en-US" w:eastAsia="zh-CN"/>
        </w:rPr>
        <w:t>7</w:t>
      </w:r>
      <w:r>
        <w:rPr>
          <w:rFonts w:hint="eastAsia" w:ascii="仿宋" w:hAnsi="仿宋" w:eastAsia="仿宋" w:cs="仿宋"/>
          <w:bCs/>
          <w:kern w:val="0"/>
          <w:sz w:val="28"/>
          <w:szCs w:val="28"/>
        </w:rPr>
        <w:t>、根据我司间接生产和间接性排水的特点，需在符合环保部门的要求下对在线监测系统进行升级改造，同时对我司人员进行相关培训等。</w:t>
      </w:r>
    </w:p>
    <w:p>
      <w:pPr>
        <w:widowControl/>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lang w:val="en-US" w:eastAsia="zh-CN"/>
        </w:rPr>
        <w:t>8</w:t>
      </w:r>
      <w:r>
        <w:rPr>
          <w:rFonts w:hint="eastAsia" w:ascii="仿宋" w:hAnsi="仿宋" w:eastAsia="仿宋" w:cs="仿宋"/>
          <w:bCs/>
          <w:kern w:val="0"/>
          <w:sz w:val="28"/>
          <w:szCs w:val="28"/>
        </w:rPr>
        <w:t>、提供在线运维的日常操作规程、药剂配方、运维计划等，同时提供运维培训。</w:t>
      </w:r>
    </w:p>
    <w:p>
      <w:pPr>
        <w:spacing w:line="480" w:lineRule="exact"/>
        <w:rPr>
          <w:rFonts w:ascii="仿宋" w:hAnsi="仿宋" w:eastAsia="仿宋" w:cs="仿宋"/>
          <w:b/>
          <w:color w:val="000000"/>
          <w:sz w:val="28"/>
          <w:szCs w:val="28"/>
        </w:rPr>
      </w:pPr>
      <w:bookmarkStart w:id="2" w:name="_Toc26531_WPSOffice_Level2"/>
      <w:bookmarkStart w:id="3" w:name="_Toc23082_WPSOffice_Level2"/>
      <w:r>
        <w:rPr>
          <w:rFonts w:hint="eastAsia" w:ascii="仿宋" w:hAnsi="仿宋" w:eastAsia="仿宋" w:cs="仿宋"/>
          <w:b/>
          <w:color w:val="000000"/>
          <w:sz w:val="28"/>
          <w:szCs w:val="28"/>
        </w:rPr>
        <w:t>四、服务期限</w:t>
      </w:r>
      <w:bookmarkEnd w:id="2"/>
      <w:bookmarkEnd w:id="3"/>
    </w:p>
    <w:p>
      <w:pPr>
        <w:spacing w:line="480"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在线比对验收期限：</w:t>
      </w:r>
      <w:r>
        <w:rPr>
          <w:rFonts w:hint="eastAsia" w:ascii="仿宋" w:hAnsi="仿宋" w:eastAsia="仿宋" w:cs="仿宋"/>
          <w:color w:val="000000"/>
          <w:sz w:val="28"/>
          <w:szCs w:val="28"/>
        </w:rPr>
        <w:t>自中</w:t>
      </w:r>
      <w:r>
        <w:rPr>
          <w:rFonts w:hint="eastAsia" w:ascii="仿宋" w:hAnsi="仿宋" w:eastAsia="仿宋" w:cs="仿宋"/>
          <w:color w:val="000000"/>
          <w:sz w:val="28"/>
          <w:szCs w:val="28"/>
          <w:lang w:val="en-US" w:eastAsia="zh-CN"/>
        </w:rPr>
        <w:t>选</w:t>
      </w:r>
      <w:r>
        <w:rPr>
          <w:rFonts w:hint="eastAsia" w:ascii="仿宋" w:hAnsi="仿宋" w:eastAsia="仿宋" w:cs="仿宋"/>
          <w:color w:val="000000"/>
          <w:sz w:val="28"/>
          <w:szCs w:val="28"/>
        </w:rPr>
        <w:t>公示结束起一个月内完成。</w:t>
      </w:r>
    </w:p>
    <w:p>
      <w:pPr>
        <w:spacing w:line="480" w:lineRule="exact"/>
        <w:ind w:firstLine="562" w:firstLineChars="200"/>
        <w:rPr>
          <w:rFonts w:ascii="仿宋" w:hAnsi="仿宋" w:eastAsia="仿宋" w:cs="仿宋"/>
          <w:color w:val="000000"/>
          <w:sz w:val="28"/>
          <w:szCs w:val="28"/>
        </w:rPr>
      </w:pPr>
      <w:r>
        <w:rPr>
          <w:rFonts w:hint="eastAsia" w:ascii="仿宋" w:hAnsi="仿宋" w:eastAsia="仿宋" w:cs="仿宋"/>
          <w:b/>
          <w:bCs/>
          <w:color w:val="000000"/>
          <w:sz w:val="28"/>
          <w:szCs w:val="28"/>
        </w:rPr>
        <w:t>运维外包期限：</w:t>
      </w:r>
      <w:r>
        <w:rPr>
          <w:rFonts w:hint="eastAsia" w:ascii="仿宋" w:hAnsi="仿宋" w:eastAsia="仿宋" w:cs="仿宋"/>
          <w:color w:val="000000"/>
          <w:sz w:val="28"/>
          <w:szCs w:val="28"/>
        </w:rPr>
        <w:t>自合同签订之日起至</w:t>
      </w:r>
      <w:r>
        <w:rPr>
          <w:rFonts w:ascii="仿宋" w:hAnsi="仿宋" w:eastAsia="仿宋" w:cs="仿宋"/>
          <w:color w:val="000000"/>
          <w:sz w:val="28"/>
          <w:szCs w:val="28"/>
        </w:rPr>
        <w:t>2020</w:t>
      </w:r>
      <w:r>
        <w:rPr>
          <w:rFonts w:hint="eastAsia" w:ascii="仿宋" w:hAnsi="仿宋" w:eastAsia="仿宋" w:cs="仿宋"/>
          <w:color w:val="000000"/>
          <w:sz w:val="28"/>
          <w:szCs w:val="28"/>
        </w:rPr>
        <w:t>年</w:t>
      </w:r>
      <w:r>
        <w:rPr>
          <w:rFonts w:ascii="仿宋" w:hAnsi="仿宋" w:eastAsia="仿宋" w:cs="仿宋"/>
          <w:color w:val="000000"/>
          <w:sz w:val="28"/>
          <w:szCs w:val="28"/>
        </w:rPr>
        <w:t>12</w:t>
      </w:r>
      <w:r>
        <w:rPr>
          <w:rFonts w:hint="eastAsia" w:ascii="仿宋" w:hAnsi="仿宋" w:eastAsia="仿宋" w:cs="仿宋"/>
          <w:color w:val="000000"/>
          <w:sz w:val="28"/>
          <w:szCs w:val="28"/>
        </w:rPr>
        <w:t>月</w:t>
      </w:r>
      <w:r>
        <w:rPr>
          <w:rFonts w:ascii="仿宋" w:hAnsi="仿宋" w:eastAsia="仿宋" w:cs="仿宋"/>
          <w:color w:val="000000"/>
          <w:sz w:val="28"/>
          <w:szCs w:val="28"/>
        </w:rPr>
        <w:t>31</w:t>
      </w:r>
      <w:r>
        <w:rPr>
          <w:rFonts w:hint="eastAsia" w:ascii="仿宋" w:hAnsi="仿宋" w:eastAsia="仿宋" w:cs="仿宋"/>
          <w:color w:val="000000"/>
          <w:sz w:val="28"/>
          <w:szCs w:val="28"/>
        </w:rPr>
        <w:t>日。若</w:t>
      </w:r>
      <w:r>
        <w:rPr>
          <w:rFonts w:hint="eastAsia" w:ascii="仿宋" w:hAnsi="仿宋" w:eastAsia="仿宋" w:cs="仿宋"/>
          <w:color w:val="000000"/>
          <w:sz w:val="28"/>
          <w:szCs w:val="28"/>
          <w:lang w:val="en-US" w:eastAsia="zh-CN"/>
        </w:rPr>
        <w:t>地方生态环境局</w:t>
      </w:r>
      <w:r>
        <w:rPr>
          <w:rFonts w:hint="eastAsia" w:ascii="仿宋" w:hAnsi="仿宋" w:eastAsia="仿宋" w:cs="仿宋"/>
          <w:color w:val="000000"/>
          <w:sz w:val="28"/>
          <w:szCs w:val="28"/>
        </w:rPr>
        <w:t>需统一纳入第三方运维单位，本合同自第三方运维单位接手后即刻终止。</w:t>
      </w:r>
    </w:p>
    <w:p>
      <w:pPr>
        <w:spacing w:line="480" w:lineRule="exact"/>
        <w:rPr>
          <w:rFonts w:ascii="仿宋" w:hAnsi="仿宋" w:eastAsia="仿宋" w:cs="仿宋"/>
          <w:b/>
          <w:color w:val="000000"/>
          <w:sz w:val="28"/>
          <w:szCs w:val="28"/>
        </w:rPr>
      </w:pPr>
      <w:bookmarkStart w:id="4" w:name="_Toc6745_WPSOffice_Level2"/>
      <w:bookmarkStart w:id="5" w:name="_Toc24143_WPSOffice_Level2"/>
      <w:r>
        <w:rPr>
          <w:rFonts w:hint="eastAsia" w:ascii="仿宋" w:hAnsi="仿宋" w:eastAsia="仿宋" w:cs="仿宋"/>
          <w:b/>
          <w:color w:val="000000"/>
          <w:sz w:val="28"/>
          <w:szCs w:val="28"/>
        </w:rPr>
        <w:t>五、参选人资格要求</w:t>
      </w:r>
      <w:bookmarkEnd w:id="4"/>
      <w:bookmarkEnd w:id="5"/>
      <w:r>
        <w:rPr>
          <w:rFonts w:ascii="仿宋" w:hAnsi="仿宋" w:eastAsia="仿宋" w:cs="仿宋"/>
          <w:b/>
          <w:color w:val="000000"/>
          <w:sz w:val="28"/>
          <w:szCs w:val="28"/>
        </w:rPr>
        <w:t xml:space="preserve"> </w:t>
      </w:r>
    </w:p>
    <w:p>
      <w:pPr>
        <w:ind w:left="280" w:hanging="280" w:hangingChars="100"/>
        <w:rPr>
          <w:rFonts w:ascii="仿宋" w:hAnsi="仿宋" w:eastAsia="仿宋" w:cs="仿宋"/>
          <w:color w:val="000000"/>
          <w:sz w:val="28"/>
          <w:szCs w:val="28"/>
        </w:rPr>
      </w:pPr>
      <w:r>
        <w:rPr>
          <w:rFonts w:hint="eastAsia" w:ascii="仿宋" w:hAnsi="仿宋" w:eastAsia="仿宋" w:cs="仿宋"/>
          <w:color w:val="000000"/>
          <w:sz w:val="28"/>
          <w:szCs w:val="28"/>
        </w:rPr>
        <w:t>合格的参选人应具有圆满履行合同的能力，具体应符合下列条件：</w:t>
      </w:r>
    </w:p>
    <w:p>
      <w:pPr>
        <w:numPr>
          <w:ilvl w:val="0"/>
          <w:numId w:val="1"/>
        </w:numPr>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中华人民共和国境内注册、具有独立法人资格、具有</w:t>
      </w:r>
      <w:r>
        <w:rPr>
          <w:rFonts w:hint="eastAsia" w:hAnsi="仿宋" w:eastAsia="仿宋"/>
          <w:color w:val="000000"/>
          <w:sz w:val="28"/>
          <w:szCs w:val="28"/>
        </w:rPr>
        <w:t>环保仪器</w:t>
      </w:r>
      <w:r>
        <w:rPr>
          <w:rFonts w:hint="eastAsia" w:ascii="仿宋" w:hAnsi="仿宋" w:eastAsia="仿宋" w:cs="仿宋"/>
          <w:bCs/>
          <w:color w:val="000000"/>
          <w:sz w:val="28"/>
          <w:szCs w:val="28"/>
        </w:rPr>
        <w:t>的相关营业范围（需提供营业执照复印件）。</w:t>
      </w:r>
    </w:p>
    <w:p>
      <w:pPr>
        <w:numPr>
          <w:ilvl w:val="0"/>
          <w:numId w:val="1"/>
        </w:numPr>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参选人在福建省内必须设置有长期驻点（提供场地租赁合同或其他证明材料）。</w:t>
      </w:r>
      <w:r>
        <w:rPr>
          <w:rFonts w:ascii="仿宋" w:hAnsi="仿宋" w:eastAsia="仿宋" w:cs="仿宋"/>
          <w:bCs/>
          <w:color w:val="FF0000"/>
          <w:sz w:val="28"/>
          <w:szCs w:val="28"/>
        </w:rPr>
        <w:br w:type="textWrapping"/>
      </w:r>
      <w:r>
        <w:rPr>
          <w:rFonts w:hint="eastAsia" w:ascii="仿宋" w:hAnsi="仿宋" w:eastAsia="仿宋" w:cs="仿宋"/>
          <w:bCs/>
          <w:color w:val="FF0000"/>
          <w:sz w:val="28"/>
          <w:szCs w:val="28"/>
        </w:rPr>
        <w:t xml:space="preserve">    </w:t>
      </w:r>
      <w:r>
        <w:rPr>
          <w:rFonts w:ascii="仿宋" w:hAnsi="仿宋" w:eastAsia="仿宋" w:cs="仿宋"/>
          <w:bCs/>
          <w:color w:val="000000"/>
          <w:sz w:val="28"/>
          <w:szCs w:val="28"/>
        </w:rPr>
        <w:t>3</w:t>
      </w:r>
      <w:r>
        <w:rPr>
          <w:rFonts w:hint="eastAsia" w:ascii="仿宋" w:hAnsi="仿宋" w:eastAsia="仿宋" w:cs="仿宋"/>
          <w:bCs/>
          <w:color w:val="000000"/>
          <w:sz w:val="28"/>
          <w:szCs w:val="28"/>
        </w:rPr>
        <w:t>、本项目不接受联合体，不得外包。</w:t>
      </w:r>
    </w:p>
    <w:p>
      <w:pPr>
        <w:pStyle w:val="2"/>
        <w:spacing w:line="240" w:lineRule="auto"/>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4、参选人至少有1个</w:t>
      </w:r>
      <w:r>
        <w:rPr>
          <w:rFonts w:hint="eastAsia" w:ascii="仿宋" w:hAnsi="仿宋" w:eastAsia="仿宋" w:cs="仿宋"/>
          <w:bCs/>
          <w:color w:val="000000"/>
          <w:kern w:val="2"/>
          <w:sz w:val="28"/>
          <w:szCs w:val="28"/>
          <w:lang w:val="en-US" w:eastAsia="zh-CN"/>
        </w:rPr>
        <w:t>污水</w:t>
      </w:r>
      <w:r>
        <w:rPr>
          <w:rFonts w:hint="eastAsia" w:ascii="仿宋" w:hAnsi="仿宋" w:eastAsia="仿宋" w:cs="仿宋"/>
          <w:bCs/>
          <w:color w:val="000000"/>
          <w:kern w:val="2"/>
          <w:sz w:val="28"/>
          <w:szCs w:val="28"/>
        </w:rPr>
        <w:t>在线监测系统运维的业绩。</w:t>
      </w:r>
    </w:p>
    <w:p>
      <w:pPr>
        <w:ind w:firstLine="560" w:firstLineChars="200"/>
        <w:rPr>
          <w:rFonts w:ascii="仿宋" w:hAnsi="仿宋" w:eastAsia="仿宋" w:cs="仿宋"/>
          <w:color w:val="000000"/>
          <w:sz w:val="28"/>
          <w:szCs w:val="28"/>
        </w:rPr>
      </w:pPr>
      <w:r>
        <w:rPr>
          <w:rFonts w:hint="eastAsia" w:ascii="仿宋" w:hAnsi="仿宋" w:eastAsia="仿宋" w:cs="仿宋"/>
          <w:bCs/>
          <w:color w:val="000000"/>
          <w:sz w:val="28"/>
          <w:szCs w:val="28"/>
        </w:rPr>
        <w:t>其他资格要求详见比选文件，本项目采用资格后审方式对参选人进行资格审查，经资格审查合格的参选人才可能有资格成为中选候选人。</w:t>
      </w:r>
    </w:p>
    <w:p>
      <w:pPr>
        <w:spacing w:line="480" w:lineRule="exact"/>
        <w:rPr>
          <w:rFonts w:ascii="仿宋" w:hAnsi="仿宋" w:eastAsia="仿宋" w:cs="仿宋"/>
          <w:b/>
          <w:color w:val="000000"/>
          <w:sz w:val="28"/>
          <w:szCs w:val="28"/>
        </w:rPr>
      </w:pPr>
      <w:bookmarkStart w:id="6" w:name="_Toc19700_WPSOffice_Level2"/>
      <w:bookmarkStart w:id="7" w:name="_Toc27452_WPSOffice_Level2"/>
      <w:r>
        <w:rPr>
          <w:rFonts w:hint="eastAsia" w:ascii="仿宋" w:hAnsi="仿宋" w:eastAsia="仿宋" w:cs="仿宋"/>
          <w:b/>
          <w:color w:val="000000"/>
          <w:sz w:val="28"/>
          <w:szCs w:val="28"/>
        </w:rPr>
        <w:t>六、</w:t>
      </w:r>
      <w:r>
        <w:rPr>
          <w:rFonts w:hint="eastAsia" w:ascii="仿宋" w:hAnsi="仿宋" w:eastAsia="仿宋" w:cs="仿宋"/>
          <w:b/>
          <w:color w:val="000000"/>
          <w:sz w:val="28"/>
          <w:szCs w:val="28"/>
          <w:lang w:val="en-US" w:eastAsia="zh-CN"/>
        </w:rPr>
        <w:t>参</w:t>
      </w:r>
      <w:r>
        <w:rPr>
          <w:rFonts w:hint="eastAsia" w:ascii="仿宋" w:hAnsi="仿宋" w:eastAsia="仿宋" w:cs="仿宋"/>
          <w:b/>
          <w:color w:val="000000"/>
          <w:sz w:val="28"/>
          <w:szCs w:val="28"/>
        </w:rPr>
        <w:t>选文件递交时间、地点</w:t>
      </w:r>
      <w:bookmarkEnd w:id="6"/>
      <w:bookmarkEnd w:id="7"/>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参</w:t>
      </w:r>
      <w:r>
        <w:rPr>
          <w:rFonts w:hint="eastAsia" w:ascii="仿宋" w:hAnsi="仿宋" w:eastAsia="仿宋" w:cs="仿宋"/>
          <w:color w:val="000000"/>
          <w:sz w:val="28"/>
          <w:szCs w:val="28"/>
        </w:rPr>
        <w:t>选文件递交截止时间：</w:t>
      </w:r>
      <w:r>
        <w:rPr>
          <w:rFonts w:ascii="仿宋" w:hAnsi="仿宋" w:eastAsia="仿宋" w:cs="仿宋"/>
          <w:color w:val="auto"/>
          <w:sz w:val="28"/>
          <w:szCs w:val="28"/>
        </w:rPr>
        <w:t>2020</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月</w:t>
      </w:r>
      <w:r>
        <w:rPr>
          <w:rFonts w:hint="eastAsia" w:cs="仿宋"/>
          <w:color w:val="auto"/>
          <w:sz w:val="28"/>
          <w:szCs w:val="28"/>
          <w:lang w:val="en-US" w:eastAsia="zh-CN"/>
        </w:rPr>
        <w:t>14</w:t>
      </w:r>
      <w:r>
        <w:rPr>
          <w:rFonts w:hint="eastAsia" w:ascii="仿宋" w:hAnsi="仿宋" w:eastAsia="仿宋" w:cs="仿宋"/>
          <w:color w:val="auto"/>
          <w:sz w:val="28"/>
          <w:szCs w:val="28"/>
        </w:rPr>
        <w:t>日1</w:t>
      </w:r>
      <w:r>
        <w:rPr>
          <w:rFonts w:hint="eastAsia" w:cs="仿宋"/>
          <w:color w:val="auto"/>
          <w:sz w:val="28"/>
          <w:szCs w:val="28"/>
          <w:lang w:val="en-US" w:eastAsia="zh-CN"/>
        </w:rPr>
        <w:t>6</w:t>
      </w:r>
      <w:r>
        <w:rPr>
          <w:rFonts w:hint="eastAsia" w:ascii="仿宋" w:hAnsi="仿宋" w:eastAsia="仿宋" w:cs="仿宋"/>
          <w:color w:val="auto"/>
          <w:sz w:val="28"/>
          <w:szCs w:val="28"/>
        </w:rPr>
        <w:t>点</w:t>
      </w:r>
      <w:r>
        <w:rPr>
          <w:rFonts w:ascii="仿宋" w:hAnsi="仿宋" w:eastAsia="仿宋" w:cs="仿宋"/>
          <w:color w:val="FF0000"/>
          <w:sz w:val="28"/>
          <w:szCs w:val="28"/>
        </w:rPr>
        <w:t xml:space="preserve"> </w:t>
      </w:r>
      <w:r>
        <w:rPr>
          <w:rFonts w:ascii="仿宋" w:hAnsi="仿宋" w:eastAsia="仿宋" w:cs="仿宋"/>
          <w:color w:val="000000"/>
          <w:sz w:val="28"/>
          <w:szCs w:val="28"/>
        </w:rPr>
        <w:t xml:space="preserve">  </w:t>
      </w:r>
    </w:p>
    <w:p>
      <w:p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参</w:t>
      </w:r>
      <w:r>
        <w:rPr>
          <w:rFonts w:hint="eastAsia" w:ascii="仿宋" w:hAnsi="仿宋" w:eastAsia="仿宋" w:cs="仿宋"/>
          <w:color w:val="000000"/>
          <w:sz w:val="28"/>
          <w:szCs w:val="28"/>
        </w:rPr>
        <w:t>选文件递交地点：宁德市福鼎市龙安开发区龙湾路5号。若选用邮寄方式，请选择</w:t>
      </w:r>
      <w:r>
        <w:rPr>
          <w:rFonts w:ascii="仿宋" w:hAnsi="仿宋" w:eastAsia="仿宋" w:cs="仿宋"/>
          <w:color w:val="000000"/>
          <w:sz w:val="28"/>
          <w:szCs w:val="28"/>
        </w:rPr>
        <w:t>EMS</w:t>
      </w:r>
      <w:r>
        <w:rPr>
          <w:rFonts w:hint="eastAsia" w:ascii="仿宋" w:hAnsi="仿宋" w:eastAsia="仿宋" w:cs="仿宋"/>
          <w:color w:val="000000"/>
          <w:sz w:val="28"/>
          <w:szCs w:val="28"/>
        </w:rPr>
        <w:t>或顺丰快递，其他快递可能无法送达我司。</w:t>
      </w:r>
    </w:p>
    <w:p>
      <w:pPr>
        <w:spacing w:line="480" w:lineRule="exact"/>
        <w:ind w:firstLine="562" w:firstLineChars="200"/>
        <w:rPr>
          <w:rFonts w:hint="eastAsia" w:ascii="仿宋" w:hAnsi="仿宋" w:eastAsia="仿宋" w:cs="仿宋"/>
          <w:color w:val="000000"/>
          <w:sz w:val="28"/>
          <w:szCs w:val="28"/>
          <w:lang w:eastAsia="zh-CN"/>
        </w:rPr>
      </w:pPr>
      <w:bookmarkStart w:id="8" w:name="_Toc21744_WPSOffice_Level2"/>
      <w:bookmarkStart w:id="9" w:name="_Toc1578_WPSOffice_Level2"/>
      <w:r>
        <w:rPr>
          <w:rFonts w:hint="eastAsia" w:ascii="仿宋" w:hAnsi="仿宋" w:eastAsia="仿宋" w:cs="仿宋"/>
          <w:b/>
          <w:color w:val="000000"/>
          <w:sz w:val="28"/>
          <w:szCs w:val="28"/>
        </w:rPr>
        <w:t>七、</w:t>
      </w:r>
      <w:r>
        <w:rPr>
          <w:rFonts w:hint="eastAsia" w:ascii="仿宋" w:hAnsi="仿宋" w:eastAsia="仿宋" w:cs="仿宋"/>
          <w:color w:val="000000"/>
          <w:sz w:val="28"/>
          <w:szCs w:val="28"/>
          <w:lang w:eastAsia="zh-CN"/>
        </w:rPr>
        <w:t>最高限价</w:t>
      </w:r>
    </w:p>
    <w:p>
      <w:pPr>
        <w:spacing w:line="48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本项目最高限价</w:t>
      </w:r>
      <w:r>
        <w:rPr>
          <w:rFonts w:hint="eastAsia" w:ascii="仿宋" w:hAnsi="仿宋" w:eastAsia="仿宋" w:cs="仿宋"/>
          <w:color w:val="000000"/>
          <w:sz w:val="28"/>
          <w:szCs w:val="28"/>
        </w:rPr>
        <w:t>人民币20万</w:t>
      </w:r>
      <w:r>
        <w:rPr>
          <w:rFonts w:hint="eastAsia" w:ascii="仿宋" w:hAnsi="仿宋" w:eastAsia="仿宋" w:cs="仿宋"/>
          <w:color w:val="000000"/>
          <w:sz w:val="28"/>
          <w:szCs w:val="28"/>
          <w:lang w:eastAsia="zh-CN"/>
        </w:rPr>
        <w:t>，超过最高限价的参选报价无效。项目将采用综合评分法确定中选人</w:t>
      </w:r>
      <w:r>
        <w:rPr>
          <w:rFonts w:hint="eastAsia" w:ascii="仿宋" w:hAnsi="仿宋" w:eastAsia="仿宋" w:cs="仿宋"/>
          <w:color w:val="000000"/>
          <w:sz w:val="28"/>
          <w:szCs w:val="28"/>
          <w:lang w:val="en-US" w:eastAsia="zh-CN"/>
        </w:rPr>
        <w:t>1名。</w:t>
      </w:r>
    </w:p>
    <w:p>
      <w:pPr>
        <w:spacing w:line="480" w:lineRule="exact"/>
        <w:rPr>
          <w:rFonts w:ascii="仿宋" w:hAnsi="仿宋" w:eastAsia="仿宋" w:cs="仿宋"/>
          <w:b/>
          <w:color w:val="000000"/>
          <w:sz w:val="28"/>
          <w:szCs w:val="28"/>
        </w:rPr>
      </w:pPr>
      <w:r>
        <w:rPr>
          <w:rFonts w:hint="eastAsia" w:ascii="仿宋" w:hAnsi="仿宋" w:eastAsia="仿宋" w:cs="仿宋"/>
          <w:b/>
          <w:color w:val="000000"/>
          <w:sz w:val="28"/>
          <w:szCs w:val="28"/>
          <w:lang w:val="en-US" w:eastAsia="zh-CN"/>
        </w:rPr>
        <w:t>八、</w:t>
      </w:r>
      <w:r>
        <w:rPr>
          <w:rFonts w:hint="eastAsia" w:ascii="仿宋" w:hAnsi="仿宋" w:eastAsia="仿宋" w:cs="仿宋"/>
          <w:b/>
          <w:color w:val="000000"/>
          <w:sz w:val="28"/>
          <w:szCs w:val="28"/>
        </w:rPr>
        <w:t>若对本次比选事宜提出询问，请按以下方式联系</w:t>
      </w:r>
      <w:bookmarkEnd w:id="8"/>
      <w:bookmarkEnd w:id="9"/>
    </w:p>
    <w:p>
      <w:pPr>
        <w:spacing w:line="560" w:lineRule="exact"/>
        <w:ind w:firstLine="560" w:firstLineChars="200"/>
        <w:jc w:val="left"/>
        <w:rPr>
          <w:rFonts w:ascii="仿宋" w:hAnsi="仿宋" w:eastAsia="仿宋" w:cs="仿宋"/>
          <w:b/>
          <w:bCs/>
          <w:color w:val="000000"/>
          <w:sz w:val="28"/>
          <w:szCs w:val="28"/>
        </w:rPr>
      </w:pPr>
      <w:r>
        <w:rPr>
          <w:rFonts w:hint="eastAsia" w:ascii="仿宋" w:hAnsi="仿宋" w:eastAsia="仿宋" w:cs="仿宋"/>
          <w:color w:val="000000"/>
          <w:sz w:val="28"/>
          <w:szCs w:val="28"/>
        </w:rPr>
        <w:t>联系人：杨先生，联系电话：18706048530。</w:t>
      </w:r>
    </w:p>
    <w:p>
      <w:pPr>
        <w:spacing w:line="480" w:lineRule="exact"/>
        <w:ind w:firstLine="560" w:firstLineChars="200"/>
        <w:rPr>
          <w:rFonts w:ascii="仿宋" w:hAnsi="仿宋" w:eastAsia="仿宋" w:cs="仿宋"/>
          <w:b/>
          <w:bCs/>
          <w:color w:val="000000"/>
          <w:sz w:val="28"/>
          <w:szCs w:val="28"/>
        </w:rPr>
      </w:pPr>
      <w:r>
        <w:rPr>
          <w:rFonts w:hint="eastAsia" w:ascii="仿宋" w:hAnsi="仿宋" w:eastAsia="仿宋" w:cs="仿宋"/>
          <w:color w:val="000000"/>
          <w:sz w:val="28"/>
          <w:szCs w:val="28"/>
        </w:rPr>
        <w:t>邮箱：911601842</w:t>
      </w:r>
      <w:r>
        <w:rPr>
          <w:rFonts w:ascii="仿宋" w:hAnsi="仿宋" w:eastAsia="仿宋" w:cs="仿宋"/>
          <w:color w:val="000000"/>
          <w:sz w:val="28"/>
          <w:szCs w:val="28"/>
        </w:rPr>
        <w:t>@qq.com</w:t>
      </w:r>
    </w:p>
    <w:p>
      <w:pPr>
        <w:spacing w:line="500" w:lineRule="exact"/>
        <w:ind w:firstLine="560"/>
        <w:rPr>
          <w:rFonts w:hint="eastAsia"/>
          <w:color w:val="auto"/>
          <w:lang w:val="en-US" w:eastAsia="zh-CN"/>
        </w:rPr>
      </w:pPr>
      <w:r>
        <w:rPr>
          <w:rFonts w:hint="eastAsia"/>
          <w:color w:val="auto"/>
        </w:rPr>
        <w:t>邮编：3</w:t>
      </w:r>
      <w:r>
        <w:rPr>
          <w:rFonts w:hint="eastAsia"/>
          <w:color w:val="auto"/>
          <w:lang w:val="en-US" w:eastAsia="zh-CN"/>
        </w:rPr>
        <w:t>55208</w:t>
      </w:r>
    </w:p>
    <w:p>
      <w:pPr>
        <w:spacing w:line="500" w:lineRule="exact"/>
        <w:ind w:firstLine="560"/>
        <w:rPr>
          <w:rFonts w:hint="eastAsia"/>
          <w:color w:val="auto"/>
          <w:lang w:eastAsia="zh-CN"/>
        </w:rPr>
      </w:pPr>
      <w:r>
        <w:rPr>
          <w:rFonts w:hint="eastAsia"/>
          <w:color w:val="auto"/>
        </w:rPr>
        <w:t>联系地址：福建省</w:t>
      </w:r>
      <w:r>
        <w:rPr>
          <w:rFonts w:hint="eastAsia"/>
          <w:color w:val="auto"/>
          <w:lang w:val="en-US" w:eastAsia="zh-CN"/>
        </w:rPr>
        <w:t>福鼎市龙安工业园区龙湾路5号</w:t>
      </w:r>
    </w:p>
    <w:p>
      <w:pPr>
        <w:spacing w:line="500" w:lineRule="exact"/>
        <w:ind w:firstLine="560"/>
        <w:rPr>
          <w:rFonts w:hint="eastAsia"/>
          <w:color w:val="auto"/>
          <w:lang w:eastAsia="zh-CN"/>
        </w:rPr>
      </w:pPr>
      <w:r>
        <w:rPr>
          <w:rFonts w:hint="eastAsia"/>
          <w:color w:val="auto"/>
          <w:lang w:eastAsia="zh-CN"/>
        </w:rPr>
        <w:t>纪检监察室电话：【</w:t>
      </w:r>
      <w:r>
        <w:rPr>
          <w:rFonts w:hint="eastAsia"/>
          <w:color w:val="auto"/>
          <w:lang w:val="en-US" w:eastAsia="zh-CN"/>
        </w:rPr>
        <w:t>0593-7272611</w:t>
      </w:r>
      <w:r>
        <w:rPr>
          <w:rFonts w:hint="eastAsia"/>
          <w:color w:val="auto"/>
          <w:lang w:eastAsia="zh-CN"/>
        </w:rPr>
        <w:t>】</w:t>
      </w:r>
    </w:p>
    <w:p>
      <w:pPr>
        <w:spacing w:line="500" w:lineRule="exact"/>
        <w:ind w:firstLine="560"/>
        <w:rPr>
          <w:rFonts w:hint="eastAsia"/>
          <w:color w:val="auto"/>
          <w:lang w:eastAsia="zh-CN"/>
        </w:rPr>
      </w:pPr>
    </w:p>
    <w:p>
      <w:pPr>
        <w:spacing w:line="500" w:lineRule="exact"/>
        <w:ind w:firstLine="4480" w:firstLineChars="1600"/>
        <w:rPr>
          <w:color w:val="auto"/>
        </w:rPr>
      </w:pPr>
      <w:r>
        <w:rPr>
          <w:rFonts w:hint="eastAsia"/>
          <w:color w:val="auto"/>
          <w:lang w:val="en-US" w:eastAsia="zh-CN"/>
        </w:rPr>
        <w:t>宁德</w:t>
      </w:r>
      <w:r>
        <w:rPr>
          <w:rFonts w:hint="eastAsia"/>
          <w:color w:val="auto"/>
        </w:rPr>
        <w:t>市福化环保科技有限公司</w:t>
      </w:r>
    </w:p>
    <w:p>
      <w:pPr>
        <w:spacing w:line="500" w:lineRule="exact"/>
        <w:ind w:firstLine="5740" w:firstLineChars="2050"/>
        <w:rPr>
          <w:color w:val="auto"/>
        </w:rPr>
      </w:pPr>
      <w:r>
        <w:rPr>
          <w:rFonts w:hint="eastAsia"/>
          <w:color w:val="auto"/>
        </w:rPr>
        <w:t>20</w:t>
      </w:r>
      <w:r>
        <w:rPr>
          <w:rFonts w:hint="eastAsia"/>
          <w:color w:val="auto"/>
          <w:lang w:val="en-US" w:eastAsia="zh-CN"/>
        </w:rPr>
        <w:t>20</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6</w:t>
      </w:r>
      <w:bookmarkStart w:id="10" w:name="_GoBack"/>
      <w:bookmarkEnd w:id="10"/>
      <w:r>
        <w:rPr>
          <w:rFonts w:hint="eastAsia"/>
          <w:color w:val="auto"/>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4BC3C"/>
    <w:multiLevelType w:val="singleLevel"/>
    <w:tmpl w:val="6D54BC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B2D78DA"/>
    <w:rsid w:val="2B4126FF"/>
    <w:rsid w:val="44263CB1"/>
    <w:rsid w:val="493A1414"/>
    <w:rsid w:val="4FE37643"/>
    <w:rsid w:val="52426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val="0"/>
      <w:overflowPunct w:val="0"/>
      <w:autoSpaceDE w:val="0"/>
      <w:autoSpaceDN w:val="0"/>
      <w:spacing w:line="440" w:lineRule="exact"/>
      <w:ind w:firstLine="200" w:firstLineChars="200"/>
      <w:jc w:val="both"/>
    </w:pPr>
    <w:rPr>
      <w:rFonts w:ascii="仿宋" w:hAnsi="仿宋" w:eastAsia="仿宋" w:cs="Times New Roman"/>
      <w:kern w:val="2"/>
      <w:sz w:val="28"/>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semiHidden/>
    <w:unhideWhenUsed/>
    <w:qFormat/>
    <w:uiPriority w:val="0"/>
    <w:pPr>
      <w:keepNext/>
      <w:keepLines/>
      <w:spacing w:line="360" w:lineRule="auto"/>
      <w:outlineLvl w:val="2"/>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annotation text"/>
    <w:basedOn w:val="1"/>
    <w:qFormat/>
    <w:uiPriority w:val="99"/>
    <w:pPr>
      <w:jc w:val="left"/>
    </w:pPr>
  </w:style>
  <w:style w:type="paragraph" w:styleId="6">
    <w:name w:val="Body Text"/>
    <w:basedOn w:val="1"/>
    <w:qFormat/>
    <w:uiPriority w:val="99"/>
    <w:pPr>
      <w:spacing w:line="360" w:lineRule="auto"/>
    </w:pPr>
    <w:rPr>
      <w:szCs w:val="20"/>
    </w:rPr>
  </w:style>
  <w:style w:type="paragraph" w:customStyle="1" w:styleId="9">
    <w:name w:val="标题一"/>
    <w:basedOn w:val="3"/>
    <w:qFormat/>
    <w:uiPriority w:val="0"/>
    <w:pPr>
      <w:spacing w:beforeLines="50" w:after="0" w:line="360" w:lineRule="auto"/>
      <w:ind w:firstLine="0" w:firstLineChars="0"/>
      <w:jc w:val="center"/>
    </w:pPr>
    <w:rPr>
      <w:rFonts w:cs="宋体"/>
      <w:bCs w:val="0"/>
      <w:sz w:val="32"/>
      <w:szCs w:val="20"/>
    </w:rPr>
  </w:style>
  <w:style w:type="paragraph" w:customStyle="1" w:styleId="10">
    <w:name w:val="Table Paragraph"/>
    <w:basedOn w:val="1"/>
    <w:qFormat/>
    <w:uiPriority w:val="99"/>
    <w:pPr>
      <w:spacing w:before="87"/>
    </w:pPr>
    <w:rPr>
      <w:rFonts w:ascii="幼圆" w:hAnsi="幼圆" w:eastAsia="幼圆" w:cs="幼圆"/>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jiamei</dc:creator>
  <cp:lastModifiedBy>jiamei</cp:lastModifiedBy>
  <dcterms:modified xsi:type="dcterms:W3CDTF">2020-08-06T03:32:26Z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