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eastAsia="宋体"/>
          <w:b/>
          <w:bCs/>
          <w:color w:val="auto"/>
          <w:sz w:val="52"/>
          <w:szCs w:val="52"/>
          <w:highlight w:val="none"/>
          <w:lang w:eastAsia="zh-CN"/>
        </w:rPr>
      </w:pPr>
    </w:p>
    <w:p>
      <w:pPr>
        <w:jc w:val="center"/>
        <w:rPr>
          <w:rFonts w:ascii="宋体"/>
          <w:b/>
          <w:bCs/>
          <w:color w:val="auto"/>
          <w:sz w:val="52"/>
          <w:szCs w:val="52"/>
          <w:highlight w:val="none"/>
        </w:rPr>
      </w:pPr>
    </w:p>
    <w:p>
      <w:pPr>
        <w:jc w:val="center"/>
        <w:rPr>
          <w:rFonts w:ascii="宋体"/>
          <w:b/>
          <w:bCs/>
          <w:color w:val="auto"/>
          <w:sz w:val="52"/>
          <w:szCs w:val="52"/>
          <w:highlight w:val="none"/>
        </w:rPr>
      </w:pPr>
      <w:r>
        <w:rPr>
          <w:rFonts w:hint="eastAsia" w:ascii="宋体" w:hAnsi="宋体" w:cs="宋体"/>
          <w:b/>
          <w:bCs/>
          <w:color w:val="auto"/>
          <w:sz w:val="52"/>
          <w:szCs w:val="52"/>
          <w:highlight w:val="none"/>
        </w:rPr>
        <w:t>福建省石油化学工业设计院</w:t>
      </w:r>
    </w:p>
    <w:p>
      <w:pPr>
        <w:jc w:val="center"/>
        <w:rPr>
          <w:rFonts w:ascii="宋体"/>
          <w:b/>
          <w:bCs/>
          <w:color w:val="auto"/>
          <w:sz w:val="52"/>
          <w:szCs w:val="52"/>
          <w:highlight w:val="none"/>
        </w:rPr>
      </w:pPr>
      <w:r>
        <w:rPr>
          <w:rFonts w:hint="eastAsia" w:ascii="宋体" w:hAnsi="宋体" w:cs="黑体"/>
          <w:b/>
          <w:bCs/>
          <w:color w:val="auto"/>
          <w:sz w:val="52"/>
          <w:szCs w:val="52"/>
          <w:highlight w:val="none"/>
        </w:rPr>
        <w:t>2020-2021年</w:t>
      </w:r>
      <w:r>
        <w:rPr>
          <w:rFonts w:hint="eastAsia" w:ascii="宋体"/>
          <w:b/>
          <w:bCs/>
          <w:color w:val="auto"/>
          <w:sz w:val="52"/>
          <w:szCs w:val="52"/>
          <w:highlight w:val="none"/>
        </w:rPr>
        <w:t>办公计算机及配件</w:t>
      </w:r>
    </w:p>
    <w:p>
      <w:pPr>
        <w:jc w:val="center"/>
        <w:rPr>
          <w:rFonts w:ascii="宋体"/>
          <w:b/>
          <w:bCs/>
          <w:color w:val="auto"/>
          <w:sz w:val="52"/>
          <w:szCs w:val="52"/>
          <w:highlight w:val="none"/>
        </w:rPr>
      </w:pPr>
      <w:r>
        <w:rPr>
          <w:rFonts w:hint="eastAsia" w:ascii="宋体"/>
          <w:b/>
          <w:bCs/>
          <w:color w:val="auto"/>
          <w:sz w:val="52"/>
          <w:szCs w:val="52"/>
          <w:highlight w:val="none"/>
        </w:rPr>
        <w:t>采购项目</w:t>
      </w:r>
    </w:p>
    <w:p>
      <w:pPr>
        <w:jc w:val="center"/>
        <w:rPr>
          <w:rFonts w:ascii="宋体"/>
          <w:b/>
          <w:bCs/>
          <w:color w:val="auto"/>
          <w:sz w:val="52"/>
          <w:szCs w:val="52"/>
          <w:highlight w:val="none"/>
        </w:rPr>
      </w:pPr>
    </w:p>
    <w:p>
      <w:pPr>
        <w:jc w:val="center"/>
        <w:rPr>
          <w:rFonts w:ascii="宋体"/>
          <w:b/>
          <w:bCs/>
          <w:color w:val="auto"/>
          <w:sz w:val="52"/>
          <w:szCs w:val="52"/>
          <w:highlight w:val="none"/>
        </w:rPr>
      </w:pPr>
    </w:p>
    <w:p>
      <w:pPr>
        <w:jc w:val="center"/>
        <w:rPr>
          <w:rFonts w:ascii="宋体"/>
          <w:b/>
          <w:bCs/>
          <w:color w:val="auto"/>
          <w:sz w:val="52"/>
          <w:szCs w:val="52"/>
          <w:highlight w:val="none"/>
        </w:rPr>
      </w:pPr>
    </w:p>
    <w:p>
      <w:pPr>
        <w:jc w:val="center"/>
        <w:rPr>
          <w:rFonts w:ascii="宋体"/>
          <w:b/>
          <w:bCs/>
          <w:color w:val="auto"/>
          <w:sz w:val="52"/>
          <w:szCs w:val="52"/>
          <w:highlight w:val="none"/>
        </w:rPr>
      </w:pPr>
      <w:r>
        <w:rPr>
          <w:rFonts w:hint="eastAsia" w:ascii="宋体" w:hAnsi="宋体" w:cs="宋体"/>
          <w:b/>
          <w:bCs/>
          <w:color w:val="auto"/>
          <w:sz w:val="52"/>
          <w:szCs w:val="52"/>
          <w:highlight w:val="none"/>
        </w:rPr>
        <w:t>自主比选文件</w:t>
      </w:r>
    </w:p>
    <w:p>
      <w:pPr>
        <w:jc w:val="center"/>
        <w:rPr>
          <w:rFonts w:ascii="宋体"/>
          <w:b/>
          <w:bCs/>
          <w:color w:val="auto"/>
          <w:sz w:val="52"/>
          <w:szCs w:val="52"/>
          <w:highlight w:val="none"/>
        </w:rPr>
      </w:pPr>
    </w:p>
    <w:p>
      <w:pPr>
        <w:jc w:val="center"/>
        <w:rPr>
          <w:rFonts w:ascii="宋体"/>
          <w:b/>
          <w:bCs/>
          <w:color w:val="auto"/>
          <w:sz w:val="52"/>
          <w:szCs w:val="52"/>
          <w:highlight w:val="none"/>
        </w:rPr>
      </w:pPr>
    </w:p>
    <w:p>
      <w:pPr>
        <w:jc w:val="center"/>
        <w:rPr>
          <w:rFonts w:ascii="宋体"/>
          <w:b/>
          <w:bCs/>
          <w:color w:val="auto"/>
          <w:sz w:val="52"/>
          <w:szCs w:val="52"/>
          <w:highlight w:val="none"/>
        </w:rPr>
      </w:pPr>
    </w:p>
    <w:p>
      <w:pPr>
        <w:jc w:val="center"/>
        <w:rPr>
          <w:rFonts w:ascii="宋体"/>
          <w:b/>
          <w:bCs/>
          <w:color w:val="auto"/>
          <w:sz w:val="52"/>
          <w:szCs w:val="52"/>
          <w:highlight w:val="none"/>
        </w:rPr>
      </w:pPr>
    </w:p>
    <w:p>
      <w:pPr>
        <w:jc w:val="center"/>
        <w:rPr>
          <w:rFonts w:ascii="宋体"/>
          <w:b/>
          <w:bCs/>
          <w:color w:val="auto"/>
          <w:sz w:val="32"/>
          <w:szCs w:val="32"/>
          <w:highlight w:val="none"/>
        </w:rPr>
      </w:pPr>
      <w:r>
        <w:rPr>
          <w:rFonts w:hint="eastAsia" w:ascii="宋体" w:hAnsi="宋体" w:cs="宋体"/>
          <w:b/>
          <w:bCs/>
          <w:color w:val="auto"/>
          <w:sz w:val="32"/>
          <w:szCs w:val="32"/>
          <w:highlight w:val="none"/>
        </w:rPr>
        <w:t>比选人：</w:t>
      </w:r>
      <w:r>
        <w:rPr>
          <w:rFonts w:hint="eastAsia" w:ascii="宋体" w:hAnsi="宋体" w:cs="黑体"/>
          <w:b/>
          <w:bCs/>
          <w:color w:val="auto"/>
          <w:sz w:val="32"/>
          <w:szCs w:val="32"/>
          <w:highlight w:val="none"/>
        </w:rPr>
        <w:t>福建省石油化学工业设计院</w:t>
      </w:r>
    </w:p>
    <w:p>
      <w:pPr>
        <w:jc w:val="center"/>
        <w:rPr>
          <w:rFonts w:ascii="宋体"/>
          <w:b/>
          <w:bCs/>
          <w:color w:val="auto"/>
          <w:sz w:val="32"/>
          <w:szCs w:val="32"/>
          <w:highlight w:val="none"/>
        </w:rPr>
      </w:pPr>
      <w:r>
        <w:rPr>
          <w:rFonts w:hint="eastAsia" w:ascii="宋体" w:hAnsi="宋体" w:cs="宋体"/>
          <w:b/>
          <w:bCs/>
          <w:color w:val="auto"/>
          <w:sz w:val="32"/>
          <w:szCs w:val="32"/>
          <w:highlight w:val="none"/>
        </w:rPr>
        <w:t>二〇二〇年</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月</w:t>
      </w:r>
    </w:p>
    <w:p>
      <w:pPr>
        <w:ind w:firstLine="560" w:firstLineChars="200"/>
        <w:jc w:val="center"/>
        <w:rPr>
          <w:rFonts w:ascii="宋体"/>
          <w:color w:val="auto"/>
          <w:sz w:val="28"/>
          <w:szCs w:val="28"/>
          <w:highlight w:val="none"/>
        </w:rPr>
      </w:pPr>
    </w:p>
    <w:p>
      <w:pPr>
        <w:ind w:firstLine="560" w:firstLineChars="200"/>
        <w:jc w:val="center"/>
        <w:rPr>
          <w:rFonts w:ascii="宋体"/>
          <w:color w:val="auto"/>
          <w:sz w:val="28"/>
          <w:szCs w:val="28"/>
          <w:highlight w:val="none"/>
        </w:rPr>
      </w:pPr>
    </w:p>
    <w:p>
      <w:pPr>
        <w:jc w:val="center"/>
        <w:rPr>
          <w:rFonts w:ascii="宋体"/>
          <w:color w:val="auto"/>
          <w:sz w:val="32"/>
          <w:szCs w:val="32"/>
          <w:highlight w:val="none"/>
        </w:rPr>
      </w:pPr>
      <w:r>
        <w:rPr>
          <w:rFonts w:hint="eastAsia" w:ascii="宋体" w:hAnsi="宋体" w:cs="宋体"/>
          <w:color w:val="auto"/>
          <w:sz w:val="32"/>
          <w:szCs w:val="32"/>
          <w:highlight w:val="none"/>
        </w:rPr>
        <w:t>目</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录</w:t>
      </w:r>
    </w:p>
    <w:p>
      <w:pPr>
        <w:jc w:val="left"/>
        <w:rPr>
          <w:rFonts w:ascii="宋体"/>
          <w:color w:val="auto"/>
          <w:sz w:val="32"/>
          <w:szCs w:val="32"/>
          <w:highlight w:val="none"/>
        </w:rPr>
      </w:pPr>
    </w:p>
    <w:p>
      <w:pPr>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第一章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比选公告</w:t>
      </w:r>
    </w:p>
    <w:p>
      <w:pPr>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第二章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比选须知</w:t>
      </w:r>
    </w:p>
    <w:p>
      <w:pPr>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第三章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参选文件的编制</w:t>
      </w:r>
    </w:p>
    <w:p>
      <w:pPr>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第四章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评比规则</w:t>
      </w:r>
    </w:p>
    <w:p>
      <w:pPr>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第五章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参选人选定</w:t>
      </w:r>
    </w:p>
    <w:p>
      <w:pPr>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第六章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合同授予</w:t>
      </w:r>
    </w:p>
    <w:p>
      <w:pPr>
        <w:tabs>
          <w:tab w:val="left" w:pos="1260"/>
          <w:tab w:val="left" w:pos="1800"/>
        </w:tabs>
        <w:ind w:firstLine="720" w:firstLineChars="225"/>
        <w:jc w:val="left"/>
        <w:rPr>
          <w:rFonts w:ascii="宋体"/>
          <w:color w:val="auto"/>
          <w:sz w:val="32"/>
          <w:szCs w:val="32"/>
          <w:highlight w:val="none"/>
        </w:rPr>
      </w:pPr>
      <w:r>
        <w:rPr>
          <w:rFonts w:hint="eastAsia" w:ascii="宋体" w:hAnsi="宋体" w:cs="宋体"/>
          <w:color w:val="auto"/>
          <w:sz w:val="32"/>
          <w:szCs w:val="32"/>
          <w:highlight w:val="none"/>
        </w:rPr>
        <w:t>第七章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中选后相关履约要求</w:t>
      </w:r>
    </w:p>
    <w:p>
      <w:pPr>
        <w:tabs>
          <w:tab w:val="left" w:pos="1260"/>
          <w:tab w:val="left" w:pos="1800"/>
        </w:tabs>
        <w:ind w:firstLine="640" w:firstLineChars="200"/>
        <w:jc w:val="left"/>
        <w:rPr>
          <w:rFonts w:ascii="宋体"/>
          <w:color w:val="auto"/>
          <w:sz w:val="32"/>
          <w:szCs w:val="32"/>
          <w:highlight w:val="non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第八章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其它</w:t>
      </w:r>
    </w:p>
    <w:p>
      <w:pPr>
        <w:ind w:firstLine="720" w:firstLineChars="225"/>
        <w:jc w:val="left"/>
        <w:rPr>
          <w:rFonts w:ascii="宋体"/>
          <w:color w:val="auto"/>
          <w:sz w:val="32"/>
          <w:szCs w:val="32"/>
          <w:highlight w:val="none"/>
        </w:rPr>
      </w:pP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附件一：2020-2021年办公计算机及配件采购框架协议</w:t>
      </w:r>
    </w:p>
    <w:p>
      <w:pPr>
        <w:ind w:firstLine="640" w:firstLineChars="200"/>
        <w:jc w:val="left"/>
        <w:rPr>
          <w:rFonts w:ascii="宋体"/>
          <w:color w:val="auto"/>
          <w:sz w:val="32"/>
          <w:szCs w:val="32"/>
          <w:highlight w:val="none"/>
        </w:rPr>
      </w:pPr>
      <w:r>
        <w:rPr>
          <w:rFonts w:hint="eastAsia" w:ascii="宋体" w:hAnsi="宋体" w:cs="宋体"/>
          <w:color w:val="auto"/>
          <w:sz w:val="32"/>
          <w:szCs w:val="32"/>
          <w:highlight w:val="none"/>
        </w:rPr>
        <w:t>附件二：参选报价单</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附件三：法定代表人授权委托书</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eastAsia="zh-CN"/>
        </w:rPr>
        <w:t>附件四：</w:t>
      </w:r>
      <w:r>
        <w:rPr>
          <w:rFonts w:hint="eastAsia" w:ascii="宋体" w:hAnsi="宋体" w:cs="宋体"/>
          <w:color w:val="auto"/>
          <w:sz w:val="32"/>
          <w:szCs w:val="32"/>
          <w:highlight w:val="none"/>
        </w:rPr>
        <w:t>技术规格偏离表</w:t>
      </w:r>
    </w:p>
    <w:p>
      <w:pPr>
        <w:ind w:firstLine="640" w:firstLineChars="200"/>
        <w:jc w:val="left"/>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附件五：</w:t>
      </w:r>
      <w:r>
        <w:rPr>
          <w:rFonts w:hint="eastAsia" w:ascii="宋体" w:hAnsi="宋体" w:cs="宋体"/>
          <w:color w:val="auto"/>
          <w:sz w:val="32"/>
          <w:szCs w:val="32"/>
          <w:highlight w:val="none"/>
        </w:rPr>
        <w:t>商务条款偏离表</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六</w:t>
      </w:r>
      <w:r>
        <w:rPr>
          <w:rFonts w:hint="eastAsia" w:ascii="宋体" w:hAnsi="宋体" w:cs="宋体"/>
          <w:color w:val="auto"/>
          <w:sz w:val="32"/>
          <w:szCs w:val="32"/>
          <w:highlight w:val="none"/>
        </w:rPr>
        <w:t>：承诺函</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七</w:t>
      </w:r>
      <w:r>
        <w:rPr>
          <w:rFonts w:hint="eastAsia" w:ascii="宋体" w:hAnsi="宋体" w:cs="宋体"/>
          <w:color w:val="auto"/>
          <w:sz w:val="32"/>
          <w:szCs w:val="32"/>
          <w:highlight w:val="none"/>
        </w:rPr>
        <w:t>：质量保证及售后服务承诺书</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八</w:t>
      </w:r>
      <w:r>
        <w:rPr>
          <w:rFonts w:hint="eastAsia" w:ascii="宋体" w:hAnsi="宋体" w:cs="宋体"/>
          <w:color w:val="auto"/>
          <w:sz w:val="32"/>
          <w:szCs w:val="32"/>
          <w:highlight w:val="none"/>
        </w:rPr>
        <w:t>：评分表</w:t>
      </w:r>
    </w:p>
    <w:p>
      <w:pPr>
        <w:ind w:firstLine="640" w:firstLineChars="200"/>
        <w:jc w:val="left"/>
        <w:rPr>
          <w:rFonts w:ascii="宋体" w:hAnsi="宋体" w:cs="宋体"/>
          <w:color w:val="auto"/>
          <w:sz w:val="32"/>
          <w:szCs w:val="32"/>
          <w:highlight w:val="none"/>
        </w:rPr>
      </w:pPr>
    </w:p>
    <w:p>
      <w:pPr>
        <w:jc w:val="both"/>
        <w:rPr>
          <w:rFonts w:ascii="宋体" w:hAnsi="宋体" w:cs="宋体"/>
          <w:b/>
          <w:bCs/>
          <w:color w:val="auto"/>
          <w:sz w:val="44"/>
          <w:szCs w:val="44"/>
          <w:highlight w:val="none"/>
        </w:rPr>
      </w:pPr>
    </w:p>
    <w:p>
      <w:pPr>
        <w:jc w:val="center"/>
        <w:rPr>
          <w:rFonts w:ascii="宋体"/>
          <w:b/>
          <w:bCs/>
          <w:color w:val="auto"/>
          <w:sz w:val="32"/>
          <w:szCs w:val="32"/>
          <w:highlight w:val="none"/>
        </w:rPr>
      </w:pPr>
      <w:r>
        <w:rPr>
          <w:rFonts w:hint="eastAsia" w:ascii="宋体" w:hAnsi="宋体" w:cs="宋体"/>
          <w:b/>
          <w:bCs/>
          <w:color w:val="auto"/>
          <w:sz w:val="32"/>
          <w:szCs w:val="32"/>
          <w:highlight w:val="none"/>
        </w:rPr>
        <w:t>第一章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比选公告</w:t>
      </w:r>
    </w:p>
    <w:p>
      <w:pPr>
        <w:adjustRightInd/>
        <w:spacing w:line="360" w:lineRule="auto"/>
        <w:ind w:firstLine="480" w:firstLineChars="200"/>
        <w:textAlignment w:val="auto"/>
        <w:rPr>
          <w:rFonts w:ascii="宋体" w:hAnsi="宋体"/>
          <w:color w:val="auto"/>
          <w:kern w:val="2"/>
          <w:sz w:val="24"/>
          <w:szCs w:val="24"/>
          <w:highlight w:val="none"/>
        </w:rPr>
      </w:pP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福建省石油化学工业设计院拟对办公计算机及配件采购项目进行国内公开比选，现欢迎国内合格参选人对该比选物资及服务进行密封报价参选。</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一、比选项目内容</w:t>
      </w:r>
    </w:p>
    <w:p>
      <w:pPr>
        <w:adjustRightInd/>
        <w:spacing w:line="360" w:lineRule="auto"/>
        <w:ind w:firstLine="720" w:firstLineChars="3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本次公开自主比选项目的名称是：“福建省石油化学工业设计院办公计算机及配件采购项目”。</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备注：参选人必须对同一个合同包中的全部物资与服务进行参选</w:t>
      </w:r>
      <w:r>
        <w:rPr>
          <w:rFonts w:hint="eastAsia" w:ascii="宋体" w:hAnsi="宋体"/>
          <w:b/>
          <w:bCs/>
          <w:color w:val="auto"/>
          <w:kern w:val="2"/>
          <w:sz w:val="24"/>
          <w:szCs w:val="24"/>
          <w:highlight w:val="none"/>
          <w:lang w:eastAsia="zh-CN"/>
        </w:rPr>
        <w:t>（台式机及笔记本电脑必须同一品牌）</w:t>
      </w:r>
      <w:r>
        <w:rPr>
          <w:rFonts w:hint="eastAsia" w:ascii="宋体" w:hAnsi="宋体"/>
          <w:color w:val="auto"/>
          <w:kern w:val="2"/>
          <w:sz w:val="24"/>
          <w:szCs w:val="24"/>
          <w:highlight w:val="none"/>
        </w:rPr>
        <w:t>，不得仅对合同包中的部分物资或服务进行参选，否则其比选文件将被拒绝。</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二、参选人资格要求：</w:t>
      </w:r>
    </w:p>
    <w:p>
      <w:pPr>
        <w:pStyle w:val="7"/>
        <w:numPr>
          <w:ilvl w:val="0"/>
          <w:numId w:val="1"/>
        </w:numPr>
        <w:spacing w:line="360" w:lineRule="auto"/>
        <w:ind w:firstLine="480" w:firstLineChars="200"/>
        <w:rPr>
          <w:rFonts w:hAnsi="宋体"/>
          <w:color w:val="auto"/>
          <w:sz w:val="24"/>
          <w:szCs w:val="24"/>
          <w:highlight w:val="none"/>
        </w:rPr>
      </w:pPr>
      <w:r>
        <w:rPr>
          <w:rFonts w:hint="eastAsia" w:hAnsi="宋体"/>
          <w:color w:val="auto"/>
          <w:sz w:val="24"/>
          <w:szCs w:val="24"/>
          <w:highlight w:val="none"/>
        </w:rPr>
        <w:t>参选人具备独立法人资格且有能力提供自主比选货物及服务的</w:t>
      </w:r>
      <w:r>
        <w:rPr>
          <w:rFonts w:hint="eastAsia" w:hAnsi="宋体"/>
          <w:color w:val="auto"/>
          <w:sz w:val="24"/>
          <w:szCs w:val="24"/>
          <w:highlight w:val="none"/>
          <w:lang w:eastAsia="zh-CN"/>
        </w:rPr>
        <w:t>厂</w:t>
      </w:r>
      <w:r>
        <w:rPr>
          <w:rFonts w:hint="eastAsia" w:hAnsi="宋体"/>
          <w:color w:val="auto"/>
          <w:sz w:val="24"/>
          <w:szCs w:val="24"/>
          <w:highlight w:val="none"/>
        </w:rPr>
        <w:t>商及代理商，应具有履行合同的相关资质，需提供合格有效的营业执照</w:t>
      </w:r>
      <w:r>
        <w:rPr>
          <w:rFonts w:hint="eastAsia" w:hAnsi="宋体"/>
          <w:color w:val="auto"/>
          <w:sz w:val="24"/>
          <w:szCs w:val="24"/>
          <w:highlight w:val="none"/>
          <w:lang w:eastAsia="zh-CN"/>
        </w:rPr>
        <w:t>、</w:t>
      </w:r>
      <w:r>
        <w:rPr>
          <w:rFonts w:hint="eastAsia" w:hAnsi="宋体"/>
          <w:color w:val="auto"/>
          <w:sz w:val="24"/>
          <w:szCs w:val="24"/>
          <w:highlight w:val="none"/>
        </w:rPr>
        <w:t>税务登记证（或三证合一）</w:t>
      </w:r>
      <w:r>
        <w:rPr>
          <w:rFonts w:hint="eastAsia" w:hAnsi="宋体"/>
          <w:color w:val="auto"/>
          <w:sz w:val="24"/>
          <w:szCs w:val="24"/>
          <w:highlight w:val="none"/>
          <w:lang w:eastAsia="zh-CN"/>
        </w:rPr>
        <w:t>、</w:t>
      </w:r>
      <w:r>
        <w:rPr>
          <w:rFonts w:hint="eastAsia" w:ascii="宋体" w:hAnsi="宋体" w:cs="宋体"/>
          <w:color w:val="auto"/>
          <w:sz w:val="24"/>
          <w:szCs w:val="24"/>
          <w:highlight w:val="none"/>
        </w:rPr>
        <w:t>产品合法代理商证书</w:t>
      </w:r>
      <w:r>
        <w:rPr>
          <w:rFonts w:hint="eastAsia" w:hAnsi="宋体"/>
          <w:color w:val="auto"/>
          <w:sz w:val="24"/>
          <w:szCs w:val="24"/>
          <w:highlight w:val="none"/>
        </w:rPr>
        <w:t>等复印件并加盖参选人</w:t>
      </w:r>
      <w:r>
        <w:rPr>
          <w:rFonts w:hAnsi="宋体"/>
          <w:color w:val="auto"/>
          <w:sz w:val="24"/>
          <w:szCs w:val="24"/>
          <w:highlight w:val="none"/>
        </w:rPr>
        <w:t>单位</w:t>
      </w:r>
      <w:r>
        <w:rPr>
          <w:rFonts w:hint="eastAsia" w:hAnsi="宋体"/>
          <w:color w:val="auto"/>
          <w:sz w:val="24"/>
          <w:szCs w:val="24"/>
          <w:highlight w:val="none"/>
        </w:rPr>
        <w:t>公章并注明与原件一致。</w:t>
      </w:r>
    </w:p>
    <w:p>
      <w:pPr>
        <w:pStyle w:val="7"/>
        <w:spacing w:line="360" w:lineRule="auto"/>
        <w:ind w:firstLine="480" w:firstLineChars="200"/>
        <w:rPr>
          <w:rFonts w:hAnsi="宋体"/>
          <w:color w:val="auto"/>
          <w:sz w:val="24"/>
          <w:szCs w:val="24"/>
          <w:highlight w:val="none"/>
        </w:rPr>
      </w:pPr>
      <w:r>
        <w:rPr>
          <w:rFonts w:hint="eastAsia" w:hAnsi="宋体"/>
          <w:color w:val="auto"/>
          <w:sz w:val="24"/>
          <w:szCs w:val="24"/>
          <w:highlight w:val="none"/>
        </w:rPr>
        <w:t xml:space="preserve">2、参选人近3年内没有骗取中选和严重违约等其它不良记录，无安全事故，参选时没有处于被责令停业，财产被接管、冻结，破产状态内，以及可能影响到合同履行的其他问题。 </w:t>
      </w:r>
    </w:p>
    <w:p>
      <w:pPr>
        <w:pStyle w:val="7"/>
        <w:spacing w:line="360" w:lineRule="auto"/>
        <w:ind w:firstLine="480" w:firstLineChars="200"/>
        <w:rPr>
          <w:rFonts w:hAnsi="宋体"/>
          <w:color w:val="auto"/>
          <w:sz w:val="24"/>
          <w:szCs w:val="24"/>
          <w:highlight w:val="none"/>
        </w:rPr>
      </w:pPr>
      <w:r>
        <w:rPr>
          <w:rFonts w:hint="eastAsia" w:hAnsi="宋体"/>
          <w:color w:val="auto"/>
          <w:sz w:val="24"/>
          <w:szCs w:val="24"/>
          <w:highlight w:val="none"/>
        </w:rPr>
        <w:t>3、本项目不接受联合体参选。</w:t>
      </w:r>
    </w:p>
    <w:p>
      <w:pPr>
        <w:pStyle w:val="7"/>
        <w:spacing w:line="360" w:lineRule="auto"/>
        <w:ind w:firstLine="480" w:firstLineChars="200"/>
        <w:rPr>
          <w:rFonts w:hAnsi="宋体"/>
          <w:color w:val="auto"/>
          <w:sz w:val="24"/>
          <w:szCs w:val="24"/>
          <w:highlight w:val="none"/>
        </w:rPr>
      </w:pPr>
      <w:r>
        <w:rPr>
          <w:rFonts w:hint="eastAsia" w:hAnsi="宋体"/>
          <w:color w:val="auto"/>
          <w:sz w:val="24"/>
          <w:szCs w:val="24"/>
          <w:highlight w:val="none"/>
        </w:rPr>
        <w:t>4、其他资格要求详见比选文件，本项目采用资格后审方式对参选人进行资格审查，经资格审查合格的参选人才可能有资格成为中选候选人。</w:t>
      </w:r>
    </w:p>
    <w:p>
      <w:pPr>
        <w:adjustRightInd/>
        <w:spacing w:line="360" w:lineRule="auto"/>
        <w:ind w:firstLine="480" w:firstLineChars="200"/>
        <w:textAlignment w:val="auto"/>
        <w:rPr>
          <w:rFonts w:hint="eastAsia" w:ascii="宋体" w:hAnsi="宋体" w:cs="宋体"/>
          <w:color w:val="auto"/>
          <w:kern w:val="2"/>
          <w:sz w:val="24"/>
          <w:szCs w:val="24"/>
          <w:highlight w:val="none"/>
        </w:rPr>
      </w:pPr>
      <w:r>
        <w:rPr>
          <w:rFonts w:hint="eastAsia" w:ascii="宋体" w:hAnsi="宋体"/>
          <w:color w:val="auto"/>
          <w:kern w:val="2"/>
          <w:sz w:val="24"/>
          <w:szCs w:val="24"/>
          <w:highlight w:val="none"/>
        </w:rPr>
        <w:t>三、参选</w:t>
      </w:r>
      <w:r>
        <w:rPr>
          <w:rFonts w:hint="eastAsia" w:ascii="宋体" w:hAnsi="宋体" w:cs="宋体"/>
          <w:color w:val="auto"/>
          <w:kern w:val="2"/>
          <w:sz w:val="24"/>
          <w:szCs w:val="24"/>
          <w:highlight w:val="none"/>
        </w:rPr>
        <w:t>文件递交：</w:t>
      </w:r>
    </w:p>
    <w:p>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1、凡愿意参加比选的合格参选人请于20</w:t>
      </w:r>
      <w:r>
        <w:rPr>
          <w:rFonts w:hint="eastAsia"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年</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日至</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日，每天上午9:00至12:00，下午1</w:t>
      </w:r>
      <w:r>
        <w:rPr>
          <w:rFonts w:hint="eastAsia"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:00至1</w:t>
      </w:r>
      <w:r>
        <w:rPr>
          <w:rFonts w:hint="eastAsia"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:00，递交参选文件，逾期不予受理。</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、参选文件递交的截止时间：20</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日下午1</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时00分。</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提交</w:t>
      </w:r>
      <w:r>
        <w:rPr>
          <w:rFonts w:hint="eastAsia" w:ascii="宋体" w:hAnsi="宋体" w:cs="宋体"/>
          <w:color w:val="auto"/>
          <w:kern w:val="2"/>
          <w:sz w:val="24"/>
          <w:szCs w:val="24"/>
          <w:highlight w:val="none"/>
          <w:lang w:val="en-US" w:eastAsia="zh-CN" w:bidi="ar-SA"/>
        </w:rPr>
        <w:t>参选</w:t>
      </w:r>
      <w:r>
        <w:rPr>
          <w:rFonts w:hint="eastAsia" w:ascii="宋体" w:hAnsi="宋体" w:eastAsia="宋体" w:cs="宋体"/>
          <w:color w:val="auto"/>
          <w:kern w:val="2"/>
          <w:sz w:val="24"/>
          <w:szCs w:val="24"/>
          <w:highlight w:val="none"/>
          <w:lang w:val="en-US" w:eastAsia="zh-CN" w:bidi="ar-SA"/>
        </w:rPr>
        <w:t>文件的地点为：福建省石油化学工业设计院机房（地址：福建省福州市鼓楼区东大路117号7号楼208室），联系人：</w:t>
      </w:r>
      <w:r>
        <w:rPr>
          <w:rFonts w:hint="eastAsia" w:ascii="宋体" w:hAnsi="宋体" w:cs="宋体"/>
          <w:color w:val="auto"/>
          <w:kern w:val="2"/>
          <w:sz w:val="24"/>
          <w:szCs w:val="24"/>
          <w:highlight w:val="none"/>
          <w:lang w:val="en-US" w:eastAsia="zh-CN" w:bidi="ar-SA"/>
        </w:rPr>
        <w:t>魏</w:t>
      </w:r>
      <w:r>
        <w:rPr>
          <w:rFonts w:hint="eastAsia" w:ascii="宋体" w:hAnsi="宋体" w:eastAsia="宋体" w:cs="宋体"/>
          <w:color w:val="auto"/>
          <w:kern w:val="2"/>
          <w:sz w:val="24"/>
          <w:szCs w:val="24"/>
          <w:highlight w:val="none"/>
          <w:lang w:val="en-US" w:eastAsia="zh-CN" w:bidi="ar-SA"/>
        </w:rPr>
        <w:t>先生、联系电话：0591-87552729</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、若要使用邮寄方式，请尽量使用顺丰或EMS邮政快递，外包装上必须注明参选项目名称、</w:t>
      </w:r>
      <w:r>
        <w:rPr>
          <w:rFonts w:hint="eastAsia" w:ascii="宋体" w:hAnsi="宋体" w:cs="宋体"/>
          <w:color w:val="auto"/>
          <w:kern w:val="2"/>
          <w:sz w:val="24"/>
          <w:szCs w:val="24"/>
          <w:highlight w:val="none"/>
          <w:lang w:val="en-US" w:eastAsia="zh-CN" w:bidi="ar-SA"/>
        </w:rPr>
        <w:t>参选人</w:t>
      </w:r>
      <w:r>
        <w:rPr>
          <w:rFonts w:hint="eastAsia" w:ascii="宋体" w:hAnsi="宋体" w:eastAsia="宋体" w:cs="宋体"/>
          <w:color w:val="auto"/>
          <w:kern w:val="2"/>
          <w:sz w:val="24"/>
          <w:szCs w:val="24"/>
          <w:highlight w:val="none"/>
          <w:lang w:val="en-US" w:eastAsia="zh-CN" w:bidi="ar-SA"/>
        </w:rPr>
        <w:t>、联系人电话）</w:t>
      </w:r>
      <w:r>
        <w:rPr>
          <w:rFonts w:hint="eastAsia" w:ascii="宋体" w:hAnsi="宋体" w:cs="宋体"/>
          <w:color w:val="auto"/>
          <w:kern w:val="2"/>
          <w:sz w:val="24"/>
          <w:szCs w:val="24"/>
          <w:highlight w:val="none"/>
          <w:lang w:val="en-US" w:eastAsia="zh-CN" w:bidi="ar-SA"/>
        </w:rPr>
        <w:t>在参选文件递交截止日期前</w:t>
      </w:r>
      <w:r>
        <w:rPr>
          <w:rFonts w:hint="eastAsia" w:ascii="宋体" w:hAnsi="宋体" w:eastAsia="宋体" w:cs="宋体"/>
          <w:color w:val="auto"/>
          <w:kern w:val="2"/>
          <w:sz w:val="24"/>
          <w:szCs w:val="24"/>
          <w:highlight w:val="none"/>
          <w:lang w:val="en-US" w:eastAsia="zh-CN" w:bidi="ar-SA"/>
        </w:rPr>
        <w:t>送达</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逾期送达的或未送达指定地点或不符合规定的参选文件，比选人不予受理。</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四、本次项目采购采用综合评分的比选办法。</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福建省石油化学工业设计院承诺本次自主比选不存在任何障碍，保证本公告的内容不存在任何重大遗漏、虚假陈述或严重误导，并对其内容的真实性、完整性和有效性负责。</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为了“公开、公平、公正、透明”，引导参选人进行正确参选，特制定本规定文件。</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五、联系方式</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联系人：</w:t>
      </w:r>
      <w:r>
        <w:rPr>
          <w:rFonts w:hint="eastAsia" w:ascii="宋体" w:hAnsi="宋体"/>
          <w:color w:val="auto"/>
          <w:kern w:val="2"/>
          <w:sz w:val="24"/>
          <w:szCs w:val="24"/>
          <w:highlight w:val="none"/>
          <w:lang w:eastAsia="zh-CN"/>
        </w:rPr>
        <w:t>魏</w:t>
      </w:r>
      <w:r>
        <w:rPr>
          <w:rFonts w:hint="eastAsia" w:ascii="宋体" w:hAnsi="宋体"/>
          <w:color w:val="auto"/>
          <w:kern w:val="2"/>
          <w:sz w:val="24"/>
          <w:szCs w:val="24"/>
          <w:highlight w:val="none"/>
        </w:rPr>
        <w:t xml:space="preserve">先生。电话：0591-87552729 </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联系地址：福州市鼓楼区东大路117号7号楼208室</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 xml:space="preserve">邮编：350001                      </w:t>
      </w:r>
    </w:p>
    <w:p>
      <w:pPr>
        <w:adjustRightInd/>
        <w:spacing w:line="360" w:lineRule="auto"/>
        <w:ind w:firstLine="480" w:firstLineChars="20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 xml:space="preserve">   福建省石油化学工业设计院</w:t>
      </w:r>
    </w:p>
    <w:p>
      <w:pPr>
        <w:adjustRightInd/>
        <w:spacing w:line="360" w:lineRule="auto"/>
        <w:ind w:firstLine="480" w:firstLineChars="200"/>
        <w:textAlignment w:val="auto"/>
        <w:rPr>
          <w:rFonts w:ascii="宋体"/>
          <w:b/>
          <w:bCs/>
          <w:color w:val="auto"/>
          <w:sz w:val="24"/>
          <w:szCs w:val="24"/>
          <w:highlight w:val="none"/>
        </w:rPr>
      </w:pP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 xml:space="preserve">  20</w:t>
      </w:r>
      <w:r>
        <w:rPr>
          <w:rFonts w:hint="eastAsia" w:ascii="宋体" w:hAnsi="宋体"/>
          <w:color w:val="auto"/>
          <w:kern w:val="2"/>
          <w:sz w:val="24"/>
          <w:szCs w:val="24"/>
          <w:highlight w:val="none"/>
          <w:lang w:val="en-US" w:eastAsia="zh-CN"/>
        </w:rPr>
        <w:t>20</w:t>
      </w:r>
      <w:r>
        <w:rPr>
          <w:rFonts w:hint="eastAsia" w:ascii="宋体" w:hAnsi="宋体"/>
          <w:color w:val="auto"/>
          <w:kern w:val="2"/>
          <w:sz w:val="24"/>
          <w:szCs w:val="24"/>
          <w:highlight w:val="none"/>
        </w:rPr>
        <w:t>年</w:t>
      </w:r>
      <w:r>
        <w:rPr>
          <w:rFonts w:hint="eastAsia" w:ascii="宋体" w:hAnsi="宋体"/>
          <w:color w:val="auto"/>
          <w:kern w:val="2"/>
          <w:sz w:val="24"/>
          <w:szCs w:val="24"/>
          <w:highlight w:val="none"/>
          <w:lang w:val="en-US" w:eastAsia="zh-CN"/>
        </w:rPr>
        <w:t>5</w:t>
      </w:r>
      <w:r>
        <w:rPr>
          <w:rFonts w:hint="eastAsia" w:ascii="宋体" w:hAnsi="宋体"/>
          <w:color w:val="auto"/>
          <w:kern w:val="2"/>
          <w:sz w:val="24"/>
          <w:szCs w:val="24"/>
          <w:highlight w:val="none"/>
        </w:rPr>
        <w:t>月</w:t>
      </w:r>
    </w:p>
    <w:p>
      <w:pPr>
        <w:ind w:firstLine="723" w:firstLineChars="225"/>
        <w:jc w:val="center"/>
        <w:rPr>
          <w:rFonts w:ascii="宋体" w:hAnsi="宋体" w:cs="宋体"/>
          <w:b/>
          <w:bCs/>
          <w:color w:val="auto"/>
          <w:sz w:val="32"/>
          <w:szCs w:val="32"/>
          <w:highlight w:val="none"/>
        </w:rPr>
      </w:pPr>
    </w:p>
    <w:p>
      <w:pPr>
        <w:ind w:firstLine="723" w:firstLineChars="225"/>
        <w:jc w:val="center"/>
        <w:rPr>
          <w:rFonts w:ascii="宋体" w:hAnsi="宋体" w:cs="宋体"/>
          <w:b/>
          <w:bCs/>
          <w:color w:val="auto"/>
          <w:sz w:val="32"/>
          <w:szCs w:val="32"/>
          <w:highlight w:val="none"/>
        </w:rPr>
      </w:pPr>
    </w:p>
    <w:p>
      <w:pPr>
        <w:ind w:firstLine="723" w:firstLineChars="225"/>
        <w:jc w:val="center"/>
        <w:rPr>
          <w:rFonts w:ascii="宋体"/>
          <w:b/>
          <w:bCs/>
          <w:color w:val="auto"/>
          <w:sz w:val="32"/>
          <w:szCs w:val="32"/>
          <w:highlight w:val="none"/>
        </w:rPr>
      </w:pPr>
      <w:r>
        <w:rPr>
          <w:rFonts w:hint="eastAsia" w:ascii="宋体" w:hAnsi="宋体" w:cs="宋体"/>
          <w:b/>
          <w:bCs/>
          <w:color w:val="auto"/>
          <w:sz w:val="32"/>
          <w:szCs w:val="32"/>
          <w:highlight w:val="none"/>
        </w:rPr>
        <w:t>第二章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比选须知</w:t>
      </w:r>
    </w:p>
    <w:p>
      <w:pPr>
        <w:spacing w:line="360" w:lineRule="auto"/>
        <w:jc w:val="left"/>
        <w:rPr>
          <w:rFonts w:ascii="宋体" w:hAnsi="宋体" w:cs="宋体"/>
          <w:b/>
          <w:bCs/>
          <w:color w:val="auto"/>
          <w:sz w:val="28"/>
          <w:szCs w:val="28"/>
          <w:highlight w:val="none"/>
        </w:rPr>
      </w:pPr>
    </w:p>
    <w:p>
      <w:pPr>
        <w:spacing w:line="360" w:lineRule="auto"/>
        <w:jc w:val="left"/>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、比选范围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1.1、福建省石油化学工业设计院2020-2021年度办公计算机及配件采购项目。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1.2、采购清单如下:</w:t>
      </w:r>
    </w:p>
    <w:tbl>
      <w:tblPr>
        <w:tblStyle w:val="20"/>
        <w:tblW w:w="9022" w:type="dxa"/>
        <w:tblInd w:w="6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76"/>
        <w:gridCol w:w="6240"/>
        <w:gridCol w:w="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9022" w:type="dxa"/>
            <w:gridSpan w:val="4"/>
            <w:vAlign w:val="center"/>
          </w:tcPr>
          <w:p>
            <w:pPr>
              <w:widowControl/>
              <w:jc w:val="left"/>
              <w:rPr>
                <w:rFonts w:ascii="宋体" w:hAnsi="宋体" w:cs="宋体"/>
                <w:color w:val="auto"/>
                <w:sz w:val="24"/>
                <w:szCs w:val="24"/>
                <w:highlight w:val="none"/>
              </w:rPr>
            </w:pPr>
            <w:r>
              <w:rPr>
                <w:rFonts w:hint="eastAsia" w:ascii="宋体" w:hAnsi="宋体" w:cs="宋体"/>
                <w:color w:val="auto"/>
                <w:sz w:val="24"/>
                <w:szCs w:val="24"/>
                <w:highlight w:val="none"/>
              </w:rPr>
              <w:t>★为必须满足项，不满足则该项产</w:t>
            </w:r>
            <w:r>
              <w:rPr>
                <w:rFonts w:ascii="宋体" w:hAnsi="宋体" w:cs="宋体"/>
                <w:color w:val="auto"/>
                <w:sz w:val="24"/>
                <w:szCs w:val="24"/>
                <w:highlight w:val="none"/>
              </w:rPr>
              <w:t>品失去</w:t>
            </w:r>
            <w:r>
              <w:rPr>
                <w:rFonts w:hint="eastAsia" w:ascii="宋体" w:hAnsi="宋体" w:cs="宋体"/>
                <w:color w:val="auto"/>
                <w:sz w:val="24"/>
                <w:szCs w:val="24"/>
                <w:highlight w:val="none"/>
              </w:rPr>
              <w:t>参选资格，带▲项条款不满足扣3分，其它条款不满足扣1分，扣完为止。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41"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7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624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配置说明</w:t>
            </w:r>
          </w:p>
        </w:tc>
        <w:tc>
          <w:tcPr>
            <w:tcW w:w="765"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41"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1276" w:type="dxa"/>
            <w:vAlign w:val="center"/>
          </w:tcPr>
          <w:p>
            <w:pPr>
              <w:autoSpaceDE w:val="0"/>
              <w:autoSpaceDN w:val="0"/>
              <w:jc w:val="center"/>
              <w:rPr>
                <w:rFonts w:ascii="宋体" w:hAnsi="宋体" w:cs="宋体"/>
                <w:color w:val="auto"/>
                <w:sz w:val="24"/>
                <w:szCs w:val="24"/>
                <w:highlight w:val="none"/>
              </w:rPr>
            </w:pPr>
            <w:r>
              <w:rPr>
                <w:rFonts w:hint="eastAsia" w:hAnsi="宋体" w:cs="宋体"/>
                <w:color w:val="auto"/>
                <w:kern w:val="2"/>
                <w:sz w:val="24"/>
                <w:szCs w:val="24"/>
                <w:highlight w:val="none"/>
                <w:lang w:eastAsia="zh-CN"/>
              </w:rPr>
              <w:t>商用</w:t>
            </w:r>
            <w:r>
              <w:rPr>
                <w:rFonts w:hint="eastAsia" w:hAnsi="宋体" w:cs="宋体"/>
                <w:color w:val="auto"/>
                <w:kern w:val="2"/>
                <w:sz w:val="24"/>
                <w:szCs w:val="24"/>
                <w:highlight w:val="none"/>
              </w:rPr>
              <w:t>台式机A1</w:t>
            </w:r>
          </w:p>
        </w:tc>
        <w:tc>
          <w:tcPr>
            <w:tcW w:w="6240" w:type="dxa"/>
            <w:vAlign w:val="center"/>
          </w:tcPr>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需提供2018-2019年IDC</w:t>
            </w:r>
            <w:r>
              <w:rPr>
                <w:rFonts w:hint="eastAsia" w:ascii="宋体" w:hAnsi="宋体" w:cs="宋体"/>
                <w:color w:val="auto"/>
                <w:sz w:val="24"/>
                <w:szCs w:val="24"/>
                <w:highlight w:val="none"/>
                <w:lang w:eastAsia="zh-CN"/>
              </w:rPr>
              <w:t>全球</w:t>
            </w:r>
            <w:r>
              <w:rPr>
                <w:rFonts w:hint="eastAsia" w:ascii="宋体" w:hAnsi="宋体" w:cs="宋体"/>
                <w:color w:val="auto"/>
                <w:sz w:val="24"/>
                <w:szCs w:val="24"/>
                <w:highlight w:val="none"/>
                <w:lang w:val="en-US" w:eastAsia="zh-CN"/>
              </w:rPr>
              <w:t>PC销量</w:t>
            </w:r>
            <w:r>
              <w:rPr>
                <w:rFonts w:hint="eastAsia" w:ascii="宋体" w:hAnsi="宋体" w:cs="宋体"/>
                <w:color w:val="auto"/>
                <w:sz w:val="24"/>
                <w:szCs w:val="24"/>
                <w:highlight w:val="none"/>
              </w:rPr>
              <w:t>排名前5</w:t>
            </w:r>
            <w:r>
              <w:rPr>
                <w:rFonts w:hint="eastAsia" w:ascii="宋体" w:hAnsi="宋体" w:cs="宋体"/>
                <w:color w:val="auto"/>
                <w:sz w:val="24"/>
                <w:szCs w:val="24"/>
                <w:highlight w:val="none"/>
                <w:lang w:eastAsia="zh-CN"/>
              </w:rPr>
              <w:t>名</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证明</w:t>
            </w:r>
            <w:r>
              <w:rPr>
                <w:rFonts w:hint="eastAsia" w:ascii="宋体" w:hAnsi="宋体" w:cs="宋体"/>
                <w:color w:val="auto"/>
                <w:sz w:val="24"/>
                <w:szCs w:val="24"/>
                <w:highlight w:val="none"/>
              </w:rPr>
              <w:t>或网站链接；</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▲处理器：≥Intel 第九代酷睿i5-9500(基本频率3.0GHz/6核心/缓存9M)；</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▲内存：</w:t>
            </w:r>
            <w:r>
              <w:rPr>
                <w:rFonts w:ascii="宋体" w:hAnsi="宋体"/>
                <w:color w:val="auto"/>
                <w:sz w:val="24"/>
                <w:szCs w:val="24"/>
                <w:highlight w:val="none"/>
              </w:rPr>
              <w:t>≥</w:t>
            </w:r>
            <w:r>
              <w:rPr>
                <w:rFonts w:hint="eastAsia" w:ascii="宋体" w:hAnsi="宋体"/>
                <w:color w:val="auto"/>
                <w:sz w:val="24"/>
                <w:szCs w:val="24"/>
                <w:highlight w:val="none"/>
              </w:rPr>
              <w:t>16</w:t>
            </w:r>
            <w:r>
              <w:rPr>
                <w:rFonts w:ascii="宋体" w:hAnsi="宋体"/>
                <w:color w:val="auto"/>
                <w:sz w:val="24"/>
                <w:szCs w:val="24"/>
                <w:highlight w:val="none"/>
              </w:rPr>
              <w:t>GB</w:t>
            </w:r>
            <w:r>
              <w:rPr>
                <w:rFonts w:hint="eastAsia" w:ascii="宋体" w:hAnsi="宋体"/>
                <w:color w:val="auto"/>
                <w:sz w:val="24"/>
                <w:szCs w:val="24"/>
                <w:highlight w:val="none"/>
              </w:rPr>
              <w:t>(</w:t>
            </w:r>
            <w:r>
              <w:rPr>
                <w:rFonts w:ascii="宋体" w:hAnsi="宋体" w:cs="宋体"/>
                <w:color w:val="auto"/>
                <w:sz w:val="24"/>
                <w:szCs w:val="24"/>
                <w:highlight w:val="none"/>
              </w:rPr>
              <w:t>DDR4</w:t>
            </w:r>
            <w:r>
              <w:rPr>
                <w:rFonts w:hint="eastAsia" w:ascii="宋体" w:hAnsi="宋体" w:cs="宋体"/>
                <w:color w:val="auto"/>
                <w:sz w:val="24"/>
                <w:szCs w:val="24"/>
                <w:highlight w:val="none"/>
              </w:rPr>
              <w:t>/</w:t>
            </w:r>
            <w:r>
              <w:rPr>
                <w:rFonts w:ascii="宋体" w:hAnsi="宋体" w:cs="宋体"/>
                <w:color w:val="auto"/>
                <w:sz w:val="24"/>
                <w:szCs w:val="24"/>
                <w:highlight w:val="none"/>
              </w:rPr>
              <w:t>2666</w:t>
            </w:r>
            <w:r>
              <w:rPr>
                <w:rFonts w:hint="eastAsia" w:ascii="宋体" w:hAnsi="宋体" w:cs="宋体"/>
                <w:color w:val="auto"/>
                <w:sz w:val="24"/>
                <w:szCs w:val="24"/>
                <w:highlight w:val="none"/>
              </w:rPr>
              <w:t>)</w:t>
            </w:r>
            <w:r>
              <w:rPr>
                <w:rFonts w:ascii="宋体" w:hAnsi="宋体"/>
                <w:color w:val="auto"/>
                <w:sz w:val="24"/>
                <w:szCs w:val="24"/>
                <w:highlight w:val="none"/>
              </w:rPr>
              <w:t>内存</w:t>
            </w:r>
            <w:r>
              <w:rPr>
                <w:rFonts w:hint="eastAsia" w:ascii="宋体" w:hAnsi="宋体"/>
                <w:color w:val="auto"/>
                <w:sz w:val="24"/>
                <w:szCs w:val="24"/>
                <w:highlight w:val="none"/>
              </w:rPr>
              <w:t>（可扩至32G）</w:t>
            </w:r>
            <w:r>
              <w:rPr>
                <w:rFonts w:hint="eastAsia" w:ascii="宋体" w:hAnsi="宋体" w:cs="宋体"/>
                <w:color w:val="auto"/>
                <w:sz w:val="24"/>
                <w:szCs w:val="24"/>
                <w:highlight w:val="none"/>
              </w:rPr>
              <w:t>；</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▲硬盘：≥固态硬盘256GB（M.2接口）+机械硬盘 1TB（SATA接口）</w:t>
            </w:r>
            <w:r>
              <w:rPr>
                <w:rFonts w:hint="eastAsia" w:ascii="宋体" w:hAnsi="宋体"/>
                <w:color w:val="auto"/>
                <w:sz w:val="24"/>
                <w:szCs w:val="24"/>
                <w:highlight w:val="none"/>
              </w:rPr>
              <w:t>；</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扩展插槽：≥1个PCI或1个PCIeX1、1个PCIeX16、1个M.2；</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前端口： ≥2个USB3.1、1个音频组合插孔</w:t>
            </w:r>
            <w:r>
              <w:rPr>
                <w:rFonts w:hint="eastAsia" w:ascii="宋体" w:hAnsi="宋体" w:cs="宋体"/>
                <w:color w:val="auto"/>
                <w:sz w:val="24"/>
                <w:szCs w:val="24"/>
                <w:highlight w:val="none"/>
                <w:lang w:eastAsia="zh-CN"/>
              </w:rPr>
              <w:t>；</w:t>
            </w:r>
          </w:p>
          <w:p>
            <w:pPr>
              <w:numPr>
                <w:ilvl w:val="0"/>
                <w:numId w:val="2"/>
              </w:numPr>
              <w:tabs>
                <w:tab w:val="left" w:pos="312"/>
              </w:tabs>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后端口：≥4个USB接口、1个音频口、1个千兆网口、1个VGA口、1个HDMI口或1个DP口，并提供VGA转接线；</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▲≥NVIDIA芯片GTX</w:t>
            </w:r>
            <w:r>
              <w:rPr>
                <w:rFonts w:hint="eastAsia" w:ascii="宋体" w:hAnsi="宋体" w:cs="宋体"/>
                <w:color w:val="auto"/>
                <w:sz w:val="24"/>
                <w:szCs w:val="24"/>
                <w:highlight w:val="none"/>
                <w:lang w:val="en-US" w:eastAsia="zh-CN"/>
              </w:rPr>
              <w:t>1650</w:t>
            </w:r>
            <w:r>
              <w:rPr>
                <w:rFonts w:hint="eastAsia" w:ascii="宋体" w:hAnsi="宋体" w:cs="宋体"/>
                <w:color w:val="auto"/>
                <w:sz w:val="24"/>
                <w:szCs w:val="24"/>
                <w:highlight w:val="none"/>
              </w:rPr>
              <w:t>(4G独立显存）显卡（接口类型为VGA、DVI、DP、HDMI等，满足其中两个接口可接双屏）独立显卡（见配件）；</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标配声卡、键盘、鼠标；</w:t>
            </w:r>
          </w:p>
          <w:p>
            <w:pPr>
              <w:numPr>
                <w:ilvl w:val="0"/>
                <w:numId w:val="2"/>
              </w:numPr>
              <w:ind w:left="425" w:leftChars="0" w:hanging="425" w:firstLineChars="0"/>
              <w:rPr>
                <w:rFonts w:ascii="宋体" w:hAnsi="宋体" w:cs="宋体"/>
                <w:color w:val="auto"/>
                <w:sz w:val="24"/>
                <w:szCs w:val="24"/>
                <w:highlight w:val="none"/>
                <w:lang w:bidi="ar"/>
              </w:rPr>
            </w:pPr>
            <w:r>
              <w:rPr>
                <w:rFonts w:hint="eastAsia" w:ascii="宋体" w:hAnsi="宋体" w:cs="宋体"/>
                <w:color w:val="auto"/>
                <w:sz w:val="24"/>
                <w:szCs w:val="24"/>
                <w:highlight w:val="none"/>
              </w:rPr>
              <w:t>电源：额定功率≥260W；</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原厂</w:t>
            </w:r>
            <w:r>
              <w:rPr>
                <w:rFonts w:hint="eastAsia" w:ascii="宋体" w:hAnsi="宋体" w:cs="宋体"/>
                <w:color w:val="auto"/>
                <w:sz w:val="24"/>
                <w:szCs w:val="24"/>
                <w:highlight w:val="none"/>
              </w:rPr>
              <w:t>预装正版Windows10 64bit中文专业版操作系统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不得采用任何第三方加装</w:t>
            </w:r>
            <w:r>
              <w:rPr>
                <w:rFonts w:hint="eastAsia" w:ascii="宋体" w:hAnsi="宋体" w:cs="宋体"/>
                <w:color w:val="auto"/>
                <w:sz w:val="24"/>
                <w:szCs w:val="24"/>
                <w:highlight w:val="none"/>
                <w:lang w:eastAsia="zh-CN"/>
              </w:rPr>
              <w:t>操作系统</w:t>
            </w:r>
            <w:r>
              <w:rPr>
                <w:rFonts w:hint="eastAsia" w:ascii="宋体" w:hAnsi="宋体" w:cs="宋体"/>
                <w:color w:val="auto"/>
                <w:sz w:val="24"/>
                <w:szCs w:val="24"/>
                <w:highlight w:val="none"/>
              </w:rPr>
              <w:t>；</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21.5寸宽屏液晶显示器1920*1080（与主机相同品牌）（接口类型为VGA、DP、HDMI等，满足其中两个，与独显接口匹配，需提供转接线）；</w:t>
            </w:r>
          </w:p>
          <w:p>
            <w:pPr>
              <w:numPr>
                <w:ilvl w:val="0"/>
                <w:numId w:val="2"/>
              </w:numPr>
              <w:ind w:left="425" w:leftChars="0" w:hanging="425"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产品符合国家质量要求标准；</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hAnsi="宋体" w:cs="宋体"/>
                <w:color w:val="auto"/>
                <w:sz w:val="24"/>
                <w:szCs w:val="24"/>
                <w:highlight w:val="none"/>
              </w:rPr>
              <w:t>原厂3年专业支持，下一工作日上门保修服务，提供800/400 专线24*7全年无休原厂技术工程师接听电话，</w:t>
            </w:r>
            <w:r>
              <w:rPr>
                <w:rFonts w:hint="eastAsia" w:ascii="宋体" w:hAnsi="宋体" w:cs="宋体"/>
                <w:color w:val="auto"/>
                <w:sz w:val="24"/>
                <w:szCs w:val="24"/>
                <w:highlight w:val="none"/>
              </w:rPr>
              <w:t>原厂叁年部件免费上门保修服务（除了键鼠免费保壹年，其它CPU、主板、硬盘、内存、独显、电源及液晶显示器等免费保叁年，若叁年内硬盘出现问题，免费更换硬盘，之前的硬盘比选人需保留）；</w:t>
            </w:r>
          </w:p>
          <w:p>
            <w:pPr>
              <w:numPr>
                <w:ilvl w:val="0"/>
                <w:numId w:val="2"/>
              </w:numPr>
              <w:ind w:left="425" w:leftChars="0" w:hanging="425" w:firstLineChars="0"/>
              <w:rPr>
                <w:rFonts w:hint="eastAsia"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Cs/>
                <w:color w:val="auto"/>
                <w:sz w:val="24"/>
                <w:szCs w:val="24"/>
                <w:highlight w:val="none"/>
              </w:rPr>
              <w:t>质量认证：平均无故障时间（MTBF）≥100万小时</w:t>
            </w:r>
            <w:r>
              <w:rPr>
                <w:rFonts w:hint="eastAsia" w:ascii="宋体" w:hAnsi="宋体" w:cs="宋体"/>
                <w:bCs/>
                <w:color w:val="auto"/>
                <w:sz w:val="24"/>
                <w:szCs w:val="24"/>
                <w:highlight w:val="none"/>
                <w:lang w:eastAsia="zh-CN"/>
              </w:rPr>
              <w:t>；</w:t>
            </w:r>
            <w:r>
              <w:rPr>
                <w:rFonts w:hint="eastAsia" w:hAnsi="宋体" w:cs="宋体"/>
                <w:color w:val="auto"/>
                <w:sz w:val="24"/>
                <w:szCs w:val="24"/>
                <w:highlight w:val="none"/>
                <w:lang w:eastAsia="zh-CN"/>
              </w:rPr>
              <w:t>（</w:t>
            </w:r>
            <w:r>
              <w:rPr>
                <w:rFonts w:hint="eastAsia" w:hAnsi="宋体" w:cs="宋体"/>
                <w:color w:val="auto"/>
                <w:sz w:val="24"/>
                <w:szCs w:val="24"/>
                <w:highlight w:val="none"/>
              </w:rPr>
              <w:t>须</w:t>
            </w:r>
            <w:r>
              <w:rPr>
                <w:rFonts w:hint="eastAsia" w:hAnsi="宋体" w:cs="宋体"/>
                <w:color w:val="auto"/>
                <w:sz w:val="24"/>
                <w:szCs w:val="24"/>
                <w:highlight w:val="none"/>
                <w:lang w:eastAsia="zh-CN"/>
              </w:rPr>
              <w:t>提供</w:t>
            </w:r>
            <w:r>
              <w:rPr>
                <w:rFonts w:hint="eastAsia" w:hAnsi="宋体" w:cs="宋体"/>
                <w:color w:val="auto"/>
                <w:sz w:val="24"/>
                <w:szCs w:val="24"/>
                <w:highlight w:val="none"/>
              </w:rPr>
              <w:t>证明资料复印件</w:t>
            </w:r>
            <w:r>
              <w:rPr>
                <w:rFonts w:hint="eastAsia" w:hAnsi="宋体" w:cs="宋体"/>
                <w:color w:val="auto"/>
                <w:sz w:val="24"/>
                <w:szCs w:val="24"/>
                <w:highlight w:val="none"/>
                <w:lang w:eastAsia="zh-CN"/>
              </w:rPr>
              <w:t>，原件备查）</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hAnsi="宋体" w:cs="宋体"/>
                <w:color w:val="auto"/>
                <w:sz w:val="24"/>
                <w:szCs w:val="24"/>
                <w:highlight w:val="none"/>
              </w:rPr>
              <w:t>★</w:t>
            </w:r>
            <w:r>
              <w:rPr>
                <w:rFonts w:hint="eastAsia" w:hAnsi="宋体" w:cs="宋体"/>
                <w:color w:val="auto"/>
                <w:sz w:val="24"/>
                <w:szCs w:val="24"/>
                <w:highlight w:val="none"/>
                <w:lang w:eastAsia="zh-CN"/>
              </w:rPr>
              <w:t>参选人具备所投台式机产品的代理资质，</w:t>
            </w:r>
            <w:r>
              <w:rPr>
                <w:rFonts w:hint="eastAsia" w:hAnsi="宋体" w:cs="宋体"/>
                <w:color w:val="auto"/>
                <w:sz w:val="24"/>
                <w:szCs w:val="24"/>
                <w:highlight w:val="none"/>
              </w:rPr>
              <w:t>要求</w:t>
            </w:r>
            <w:r>
              <w:rPr>
                <w:rFonts w:hint="eastAsia" w:hAnsi="宋体" w:cs="宋体"/>
                <w:color w:val="auto"/>
                <w:sz w:val="24"/>
                <w:szCs w:val="24"/>
                <w:highlight w:val="none"/>
                <w:lang w:eastAsia="zh-CN"/>
              </w:rPr>
              <w:t>所投台式机是</w:t>
            </w:r>
            <w:r>
              <w:rPr>
                <w:rFonts w:hint="eastAsia" w:hAnsi="宋体" w:cs="宋体"/>
                <w:color w:val="auto"/>
                <w:sz w:val="24"/>
                <w:szCs w:val="24"/>
                <w:highlight w:val="none"/>
              </w:rPr>
              <w:t>原厂产品，并提供原厂</w:t>
            </w:r>
            <w:r>
              <w:rPr>
                <w:rFonts w:hint="eastAsia" w:hAnsi="宋体" w:cs="宋体"/>
                <w:color w:val="auto"/>
                <w:sz w:val="24"/>
                <w:szCs w:val="24"/>
                <w:highlight w:val="none"/>
                <w:lang w:eastAsia="zh-CN"/>
              </w:rPr>
              <w:t>售后</w:t>
            </w:r>
            <w:r>
              <w:rPr>
                <w:rFonts w:hint="eastAsia" w:hAnsi="宋体" w:cs="宋体"/>
                <w:color w:val="auto"/>
                <w:sz w:val="24"/>
                <w:szCs w:val="24"/>
                <w:highlight w:val="none"/>
              </w:rPr>
              <w:t>维护</w:t>
            </w:r>
            <w:r>
              <w:rPr>
                <w:rFonts w:hint="eastAsia" w:hAnsi="宋体" w:cs="宋体"/>
                <w:color w:val="auto"/>
                <w:sz w:val="24"/>
                <w:szCs w:val="24"/>
                <w:highlight w:val="none"/>
                <w:lang w:eastAsia="zh-CN"/>
              </w:rPr>
              <w:t>。（</w:t>
            </w:r>
            <w:r>
              <w:rPr>
                <w:rFonts w:hint="eastAsia" w:hAnsi="宋体" w:cs="宋体"/>
                <w:color w:val="auto"/>
                <w:sz w:val="24"/>
                <w:szCs w:val="24"/>
                <w:highlight w:val="none"/>
              </w:rPr>
              <w:t>须</w:t>
            </w:r>
            <w:r>
              <w:rPr>
                <w:rFonts w:hint="eastAsia" w:hAnsi="宋体" w:cs="宋体"/>
                <w:color w:val="auto"/>
                <w:sz w:val="24"/>
                <w:szCs w:val="24"/>
                <w:highlight w:val="none"/>
                <w:lang w:eastAsia="zh-CN"/>
              </w:rPr>
              <w:t>提供</w:t>
            </w:r>
            <w:r>
              <w:rPr>
                <w:rFonts w:hint="eastAsia" w:hAnsi="宋体" w:cs="宋体"/>
                <w:color w:val="auto"/>
                <w:sz w:val="24"/>
                <w:szCs w:val="24"/>
                <w:highlight w:val="none"/>
              </w:rPr>
              <w:t>证明资料复印件</w:t>
            </w:r>
            <w:r>
              <w:rPr>
                <w:rFonts w:hint="eastAsia" w:hAnsi="宋体" w:cs="宋体"/>
                <w:color w:val="auto"/>
                <w:sz w:val="24"/>
                <w:szCs w:val="24"/>
                <w:highlight w:val="none"/>
                <w:lang w:eastAsia="zh-CN"/>
              </w:rPr>
              <w:t>，原件备查）</w:t>
            </w:r>
          </w:p>
          <w:p>
            <w:pPr>
              <w:numPr>
                <w:ilvl w:val="0"/>
                <w:numId w:val="2"/>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参选人需</w:t>
            </w:r>
            <w:r>
              <w:rPr>
                <w:rFonts w:hint="eastAsia" w:ascii="宋体" w:hAnsi="宋体" w:cs="宋体"/>
                <w:color w:val="auto"/>
                <w:sz w:val="24"/>
                <w:szCs w:val="24"/>
                <w:highlight w:val="none"/>
              </w:rPr>
              <w:t>提供原厂商针对本项目专项授权和原厂盖章的服务承诺函</w:t>
            </w:r>
            <w:r>
              <w:rPr>
                <w:rFonts w:hint="eastAsia" w:ascii="宋体" w:hAnsi="宋体" w:cs="宋体"/>
                <w:color w:val="auto"/>
                <w:sz w:val="24"/>
                <w:szCs w:val="24"/>
                <w:highlight w:val="none"/>
                <w:lang w:eastAsia="zh-CN"/>
              </w:rPr>
              <w:t>原件</w:t>
            </w:r>
            <w:r>
              <w:rPr>
                <w:rFonts w:hint="eastAsia" w:hAnsi="宋体" w:cs="宋体"/>
                <w:color w:val="auto"/>
                <w:sz w:val="24"/>
                <w:szCs w:val="24"/>
                <w:highlight w:val="none"/>
                <w:lang w:eastAsia="zh-CN"/>
              </w:rPr>
              <w:t>。</w:t>
            </w:r>
          </w:p>
        </w:tc>
        <w:tc>
          <w:tcPr>
            <w:tcW w:w="765" w:type="dxa"/>
            <w:vAlign w:val="center"/>
          </w:tcPr>
          <w:p>
            <w:pPr>
              <w:autoSpaceDE w:val="0"/>
              <w:autoSpaceDN w:val="0"/>
              <w:jc w:val="center"/>
              <w:rPr>
                <w:rFonts w:ascii="宋体" w:hAnsi="宋体" w:cs="宋体"/>
                <w:color w:val="auto"/>
                <w:sz w:val="24"/>
                <w:szCs w:val="24"/>
                <w:highlight w:val="none"/>
              </w:rPr>
            </w:pPr>
            <w:r>
              <w:rPr>
                <w:rFonts w:hint="eastAsia" w:ascii="宋体" w:hAnsi="宋体" w:cs="Arial"/>
                <w:color w:val="auto"/>
                <w:sz w:val="24"/>
                <w:szCs w:val="24"/>
                <w:highlight w:val="none"/>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41"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1276" w:type="dxa"/>
            <w:vAlign w:val="center"/>
          </w:tcPr>
          <w:p>
            <w:pPr>
              <w:autoSpaceDE w:val="0"/>
              <w:autoSpaceDN w:val="0"/>
              <w:jc w:val="center"/>
              <w:rPr>
                <w:rFonts w:ascii="宋体" w:hAnsi="宋体" w:cs="宋体"/>
                <w:color w:val="auto"/>
                <w:sz w:val="24"/>
                <w:szCs w:val="24"/>
                <w:highlight w:val="none"/>
              </w:rPr>
            </w:pPr>
            <w:r>
              <w:rPr>
                <w:rFonts w:hint="eastAsia" w:hAnsi="宋体" w:cs="宋体"/>
                <w:color w:val="auto"/>
                <w:kern w:val="2"/>
                <w:sz w:val="24"/>
                <w:szCs w:val="24"/>
                <w:highlight w:val="none"/>
                <w:lang w:eastAsia="zh-CN"/>
              </w:rPr>
              <w:t>商用</w:t>
            </w:r>
            <w:r>
              <w:rPr>
                <w:rFonts w:hint="eastAsia" w:hAnsi="宋体" w:cs="宋体"/>
                <w:color w:val="auto"/>
                <w:kern w:val="2"/>
                <w:sz w:val="24"/>
                <w:szCs w:val="24"/>
                <w:highlight w:val="none"/>
              </w:rPr>
              <w:t>台式机A2</w:t>
            </w:r>
          </w:p>
        </w:tc>
        <w:tc>
          <w:tcPr>
            <w:tcW w:w="6240" w:type="dxa"/>
            <w:vAlign w:val="center"/>
          </w:tcPr>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需提供2018-2019年IDC</w:t>
            </w:r>
            <w:r>
              <w:rPr>
                <w:rFonts w:hint="eastAsia" w:ascii="宋体" w:hAnsi="宋体" w:cs="宋体"/>
                <w:color w:val="auto"/>
                <w:sz w:val="24"/>
                <w:szCs w:val="24"/>
                <w:highlight w:val="none"/>
                <w:lang w:eastAsia="zh-CN"/>
              </w:rPr>
              <w:t>全球</w:t>
            </w:r>
            <w:r>
              <w:rPr>
                <w:rFonts w:hint="eastAsia" w:ascii="宋体" w:hAnsi="宋体" w:cs="宋体"/>
                <w:color w:val="auto"/>
                <w:sz w:val="24"/>
                <w:szCs w:val="24"/>
                <w:highlight w:val="none"/>
                <w:lang w:val="en-US" w:eastAsia="zh-CN"/>
              </w:rPr>
              <w:t>PC销量</w:t>
            </w:r>
            <w:r>
              <w:rPr>
                <w:rFonts w:hint="eastAsia" w:ascii="宋体" w:hAnsi="宋体" w:cs="宋体"/>
                <w:color w:val="auto"/>
                <w:sz w:val="24"/>
                <w:szCs w:val="24"/>
                <w:highlight w:val="none"/>
              </w:rPr>
              <w:t>排名前5</w:t>
            </w:r>
            <w:r>
              <w:rPr>
                <w:rFonts w:hint="eastAsia" w:ascii="宋体" w:hAnsi="宋体" w:cs="宋体"/>
                <w:color w:val="auto"/>
                <w:sz w:val="24"/>
                <w:szCs w:val="24"/>
                <w:highlight w:val="none"/>
                <w:lang w:eastAsia="zh-CN"/>
              </w:rPr>
              <w:t>名</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证明</w:t>
            </w:r>
            <w:r>
              <w:rPr>
                <w:rFonts w:hint="eastAsia" w:ascii="宋体" w:hAnsi="宋体" w:cs="宋体"/>
                <w:color w:val="auto"/>
                <w:sz w:val="24"/>
                <w:szCs w:val="24"/>
                <w:highlight w:val="none"/>
              </w:rPr>
              <w:t>或网站链接；</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▲处理器：≥Intel 第九代酷睿i3-9100(基本频率3.6GHz/4核心/缓存6M)；</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▲内存：</w:t>
            </w:r>
            <w:r>
              <w:rPr>
                <w:rFonts w:ascii="宋体" w:hAnsi="宋体"/>
                <w:color w:val="auto"/>
                <w:sz w:val="24"/>
                <w:szCs w:val="24"/>
                <w:highlight w:val="none"/>
              </w:rPr>
              <w:t>≥</w:t>
            </w:r>
            <w:r>
              <w:rPr>
                <w:rFonts w:hint="eastAsia" w:ascii="宋体" w:hAnsi="宋体"/>
                <w:color w:val="auto"/>
                <w:sz w:val="24"/>
                <w:szCs w:val="24"/>
                <w:highlight w:val="none"/>
              </w:rPr>
              <w:t>16</w:t>
            </w:r>
            <w:r>
              <w:rPr>
                <w:rFonts w:ascii="宋体" w:hAnsi="宋体"/>
                <w:color w:val="auto"/>
                <w:sz w:val="24"/>
                <w:szCs w:val="24"/>
                <w:highlight w:val="none"/>
              </w:rPr>
              <w:t>GB</w:t>
            </w:r>
            <w:r>
              <w:rPr>
                <w:rFonts w:hint="eastAsia" w:ascii="宋体" w:hAnsi="宋体"/>
                <w:color w:val="auto"/>
                <w:sz w:val="24"/>
                <w:szCs w:val="24"/>
                <w:highlight w:val="none"/>
              </w:rPr>
              <w:t>(</w:t>
            </w:r>
            <w:r>
              <w:rPr>
                <w:rFonts w:ascii="宋体" w:hAnsi="宋体" w:cs="宋体"/>
                <w:color w:val="auto"/>
                <w:sz w:val="24"/>
                <w:szCs w:val="24"/>
                <w:highlight w:val="none"/>
              </w:rPr>
              <w:t>DDR4</w:t>
            </w:r>
            <w:r>
              <w:rPr>
                <w:rFonts w:hint="eastAsia" w:ascii="宋体" w:hAnsi="宋体" w:cs="宋体"/>
                <w:color w:val="auto"/>
                <w:sz w:val="24"/>
                <w:szCs w:val="24"/>
                <w:highlight w:val="none"/>
              </w:rPr>
              <w:t>/</w:t>
            </w:r>
            <w:r>
              <w:rPr>
                <w:rFonts w:ascii="宋体" w:hAnsi="宋体" w:cs="宋体"/>
                <w:color w:val="auto"/>
                <w:sz w:val="24"/>
                <w:szCs w:val="24"/>
                <w:highlight w:val="none"/>
              </w:rPr>
              <w:t>2666</w:t>
            </w:r>
            <w:r>
              <w:rPr>
                <w:rFonts w:hint="eastAsia" w:ascii="宋体" w:hAnsi="宋体" w:cs="宋体"/>
                <w:color w:val="auto"/>
                <w:sz w:val="24"/>
                <w:szCs w:val="24"/>
                <w:highlight w:val="none"/>
              </w:rPr>
              <w:t>)</w:t>
            </w:r>
            <w:r>
              <w:rPr>
                <w:rFonts w:ascii="宋体" w:hAnsi="宋体"/>
                <w:color w:val="auto"/>
                <w:sz w:val="24"/>
                <w:szCs w:val="24"/>
                <w:highlight w:val="none"/>
              </w:rPr>
              <w:t>内存</w:t>
            </w:r>
            <w:r>
              <w:rPr>
                <w:rFonts w:hint="eastAsia" w:ascii="宋体" w:hAnsi="宋体"/>
                <w:color w:val="auto"/>
                <w:sz w:val="24"/>
                <w:szCs w:val="24"/>
                <w:highlight w:val="none"/>
              </w:rPr>
              <w:t>（可扩至32G）</w:t>
            </w:r>
            <w:r>
              <w:rPr>
                <w:rFonts w:hint="eastAsia" w:ascii="宋体" w:hAnsi="宋体" w:cs="宋体"/>
                <w:color w:val="auto"/>
                <w:sz w:val="24"/>
                <w:szCs w:val="24"/>
                <w:highlight w:val="none"/>
              </w:rPr>
              <w:t>；</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▲硬盘：≥固态硬盘256GB（M.2接口）+机械硬盘 1TB（SATA接口）</w:t>
            </w:r>
            <w:r>
              <w:rPr>
                <w:rFonts w:hint="eastAsia" w:ascii="宋体" w:hAnsi="宋体"/>
                <w:color w:val="auto"/>
                <w:sz w:val="24"/>
                <w:szCs w:val="24"/>
                <w:highlight w:val="none"/>
              </w:rPr>
              <w:t>；</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扩展插槽：≥1个PCI或1个PCIeX1、1个PCIeX16、1个M.2；</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前端口： ≥2个USB3.1、1个音频组合插孔</w:t>
            </w:r>
            <w:r>
              <w:rPr>
                <w:rFonts w:hint="eastAsia" w:ascii="宋体" w:hAnsi="宋体" w:cs="宋体"/>
                <w:color w:val="auto"/>
                <w:sz w:val="24"/>
                <w:szCs w:val="24"/>
                <w:highlight w:val="none"/>
                <w:lang w:eastAsia="zh-CN"/>
              </w:rPr>
              <w:t>；</w:t>
            </w:r>
          </w:p>
          <w:p>
            <w:pPr>
              <w:numPr>
                <w:ilvl w:val="0"/>
                <w:numId w:val="3"/>
              </w:numPr>
              <w:tabs>
                <w:tab w:val="left" w:pos="312"/>
              </w:tabs>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后端口：≥4个USB接口、1个音频口、1个千兆网口、1个VGA口、1个HDMI口或1个DP口，并提供VGA转接线；</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标配声卡、键盘、鼠标；</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电源：额定功率≥260W；</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★预装正版Windows10 64bit中文专业版操作系统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不得采用任何第三方加装</w:t>
            </w:r>
            <w:r>
              <w:rPr>
                <w:rFonts w:hint="eastAsia" w:ascii="宋体" w:hAnsi="宋体" w:cs="宋体"/>
                <w:color w:val="auto"/>
                <w:sz w:val="24"/>
                <w:szCs w:val="24"/>
                <w:highlight w:val="none"/>
                <w:lang w:eastAsia="zh-CN"/>
              </w:rPr>
              <w:t>操作系统</w:t>
            </w:r>
            <w:r>
              <w:rPr>
                <w:rFonts w:hint="eastAsia" w:ascii="宋体" w:hAnsi="宋体" w:cs="宋体"/>
                <w:color w:val="auto"/>
                <w:sz w:val="24"/>
                <w:szCs w:val="24"/>
                <w:highlight w:val="none"/>
              </w:rPr>
              <w:t>；</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21.5寸宽屏1920*1080（与主机相同品牌）（接口类型为VGA、DVI、HDMI等，满足其中两个，与独显接口匹配，需提供转接线）；</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产品符合国家质量要求标准；</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hAnsi="宋体" w:cs="宋体"/>
                <w:color w:val="auto"/>
                <w:sz w:val="24"/>
                <w:szCs w:val="24"/>
                <w:highlight w:val="none"/>
              </w:rPr>
              <w:t>原厂3年专业支持，下一工作日上门保修服务，提供800/400 专线24*7全年无休原厂技术工程师接听电话，</w:t>
            </w:r>
            <w:r>
              <w:rPr>
                <w:rFonts w:hint="eastAsia" w:ascii="宋体" w:hAnsi="宋体" w:cs="宋体"/>
                <w:color w:val="auto"/>
                <w:sz w:val="24"/>
                <w:szCs w:val="24"/>
                <w:highlight w:val="none"/>
              </w:rPr>
              <w:t>原厂叁年部件免费上门保修服务（除了键鼠免费保壹年，其它CPU、主板、硬盘、内存、独显、电源及液晶显示器等免费保叁年，若叁年内硬盘出现问题，免费更换硬盘，之前的硬盘</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需保留）；</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bCs/>
                <w:color w:val="auto"/>
                <w:sz w:val="24"/>
                <w:szCs w:val="24"/>
                <w:highlight w:val="none"/>
              </w:rPr>
              <w:t>质量认证：平均无故障时间（MTBF）≥100万小时</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须出具证明资料复印件</w:t>
            </w:r>
            <w:r>
              <w:rPr>
                <w:rFonts w:hint="eastAsia" w:ascii="宋体" w:hAnsi="宋体" w:cs="宋体"/>
                <w:bCs/>
                <w:color w:val="auto"/>
                <w:sz w:val="24"/>
                <w:szCs w:val="24"/>
                <w:highlight w:val="none"/>
                <w:lang w:eastAsia="zh-CN"/>
              </w:rPr>
              <w:t>，原件备查）</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hAnsi="宋体" w:cs="宋体"/>
                <w:color w:val="auto"/>
                <w:sz w:val="24"/>
                <w:szCs w:val="24"/>
                <w:highlight w:val="none"/>
              </w:rPr>
              <w:t>★</w:t>
            </w:r>
            <w:r>
              <w:rPr>
                <w:rFonts w:hint="eastAsia" w:hAnsi="宋体" w:cs="宋体"/>
                <w:color w:val="auto"/>
                <w:sz w:val="24"/>
                <w:szCs w:val="24"/>
                <w:highlight w:val="none"/>
                <w:lang w:eastAsia="zh-CN"/>
              </w:rPr>
              <w:t>参选人具备所投台式机产品的代理资质，</w:t>
            </w:r>
            <w:r>
              <w:rPr>
                <w:rFonts w:hint="eastAsia" w:hAnsi="宋体" w:cs="宋体"/>
                <w:color w:val="auto"/>
                <w:sz w:val="24"/>
                <w:szCs w:val="24"/>
                <w:highlight w:val="none"/>
              </w:rPr>
              <w:t>要求</w:t>
            </w:r>
            <w:r>
              <w:rPr>
                <w:rFonts w:hint="eastAsia" w:hAnsi="宋体" w:cs="宋体"/>
                <w:color w:val="auto"/>
                <w:sz w:val="24"/>
                <w:szCs w:val="24"/>
                <w:highlight w:val="none"/>
                <w:lang w:eastAsia="zh-CN"/>
              </w:rPr>
              <w:t>所投台式机是</w:t>
            </w:r>
            <w:r>
              <w:rPr>
                <w:rFonts w:hint="eastAsia" w:hAnsi="宋体" w:cs="宋体"/>
                <w:color w:val="auto"/>
                <w:sz w:val="24"/>
                <w:szCs w:val="24"/>
                <w:highlight w:val="none"/>
              </w:rPr>
              <w:t>原厂产品，并提供原厂</w:t>
            </w:r>
            <w:r>
              <w:rPr>
                <w:rFonts w:hint="eastAsia" w:hAnsi="宋体" w:cs="宋体"/>
                <w:color w:val="auto"/>
                <w:sz w:val="24"/>
                <w:szCs w:val="24"/>
                <w:highlight w:val="none"/>
                <w:lang w:eastAsia="zh-CN"/>
              </w:rPr>
              <w:t>售后</w:t>
            </w:r>
            <w:r>
              <w:rPr>
                <w:rFonts w:hint="eastAsia" w:hAnsi="宋体" w:cs="宋体"/>
                <w:color w:val="auto"/>
                <w:sz w:val="24"/>
                <w:szCs w:val="24"/>
                <w:highlight w:val="none"/>
              </w:rPr>
              <w:t>维护</w:t>
            </w:r>
            <w:r>
              <w:rPr>
                <w:rFonts w:hint="eastAsia" w:hAnsi="宋体" w:cs="宋体"/>
                <w:color w:val="auto"/>
                <w:sz w:val="24"/>
                <w:szCs w:val="24"/>
                <w:highlight w:val="none"/>
                <w:lang w:eastAsia="zh-CN"/>
              </w:rPr>
              <w:t>。（</w:t>
            </w:r>
            <w:r>
              <w:rPr>
                <w:rFonts w:hint="eastAsia" w:hAnsi="宋体" w:cs="宋体"/>
                <w:color w:val="auto"/>
                <w:sz w:val="24"/>
                <w:szCs w:val="24"/>
                <w:highlight w:val="none"/>
              </w:rPr>
              <w:t>须</w:t>
            </w:r>
            <w:r>
              <w:rPr>
                <w:rFonts w:hint="eastAsia" w:hAnsi="宋体" w:cs="宋体"/>
                <w:color w:val="auto"/>
                <w:sz w:val="24"/>
                <w:szCs w:val="24"/>
                <w:highlight w:val="none"/>
                <w:lang w:eastAsia="zh-CN"/>
              </w:rPr>
              <w:t>提供</w:t>
            </w:r>
            <w:r>
              <w:rPr>
                <w:rFonts w:hint="eastAsia" w:hAnsi="宋体" w:cs="宋体"/>
                <w:color w:val="auto"/>
                <w:sz w:val="24"/>
                <w:szCs w:val="24"/>
                <w:highlight w:val="none"/>
              </w:rPr>
              <w:t>证明资料复印件</w:t>
            </w:r>
            <w:r>
              <w:rPr>
                <w:rFonts w:hint="eastAsia" w:hAnsi="宋体" w:cs="宋体"/>
                <w:color w:val="auto"/>
                <w:sz w:val="24"/>
                <w:szCs w:val="24"/>
                <w:highlight w:val="none"/>
                <w:lang w:eastAsia="zh-CN"/>
              </w:rPr>
              <w:t>，原件备查）</w:t>
            </w:r>
          </w:p>
          <w:p>
            <w:pPr>
              <w:numPr>
                <w:ilvl w:val="0"/>
                <w:numId w:val="3"/>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参选人需</w:t>
            </w:r>
            <w:r>
              <w:rPr>
                <w:rFonts w:hint="eastAsia" w:ascii="宋体" w:hAnsi="宋体" w:cs="宋体"/>
                <w:color w:val="auto"/>
                <w:sz w:val="24"/>
                <w:szCs w:val="24"/>
                <w:highlight w:val="none"/>
              </w:rPr>
              <w:t>提供原厂商针对本项目专项授权和原厂盖章的服务承诺函</w:t>
            </w:r>
            <w:r>
              <w:rPr>
                <w:rFonts w:hint="eastAsia" w:ascii="宋体" w:hAnsi="宋体" w:cs="宋体"/>
                <w:color w:val="auto"/>
                <w:sz w:val="24"/>
                <w:szCs w:val="24"/>
                <w:highlight w:val="none"/>
                <w:lang w:eastAsia="zh-CN"/>
              </w:rPr>
              <w:t>原件</w:t>
            </w:r>
            <w:r>
              <w:rPr>
                <w:rFonts w:hint="eastAsia" w:hAnsi="宋体" w:cs="宋体"/>
                <w:color w:val="auto"/>
                <w:sz w:val="24"/>
                <w:szCs w:val="24"/>
                <w:highlight w:val="none"/>
                <w:lang w:eastAsia="zh-CN"/>
              </w:rPr>
              <w:t>。</w:t>
            </w:r>
          </w:p>
        </w:tc>
        <w:tc>
          <w:tcPr>
            <w:tcW w:w="765" w:type="dxa"/>
            <w:vAlign w:val="center"/>
          </w:tcPr>
          <w:p>
            <w:pPr>
              <w:autoSpaceDE w:val="0"/>
              <w:autoSpaceDN w:val="0"/>
              <w:jc w:val="center"/>
              <w:rPr>
                <w:rFonts w:ascii="宋体" w:hAnsi="宋体" w:cs="宋体"/>
                <w:color w:val="auto"/>
                <w:sz w:val="24"/>
                <w:szCs w:val="24"/>
                <w:highlight w:val="none"/>
              </w:rPr>
            </w:pPr>
            <w:r>
              <w:rPr>
                <w:rFonts w:hint="eastAsia" w:ascii="宋体" w:hAnsi="宋体" w:cs="Arial"/>
                <w:color w:val="auto"/>
                <w:sz w:val="24"/>
                <w:szCs w:val="24"/>
                <w:highlight w:val="none"/>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41"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1276"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lang w:eastAsia="zh-CN"/>
              </w:rPr>
              <w:t>商用</w:t>
            </w:r>
            <w:r>
              <w:rPr>
                <w:rFonts w:hint="eastAsia" w:hAnsi="宋体" w:cs="宋体"/>
                <w:color w:val="auto"/>
                <w:kern w:val="2"/>
                <w:sz w:val="24"/>
                <w:szCs w:val="24"/>
                <w:highlight w:val="none"/>
              </w:rPr>
              <w:t>笔记本</w:t>
            </w:r>
          </w:p>
        </w:tc>
        <w:tc>
          <w:tcPr>
            <w:tcW w:w="6240" w:type="dxa"/>
            <w:vAlign w:val="center"/>
          </w:tcPr>
          <w:p>
            <w:pPr>
              <w:numPr>
                <w:ilvl w:val="0"/>
                <w:numId w:val="4"/>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需提供2018-2019年IDC</w:t>
            </w:r>
            <w:r>
              <w:rPr>
                <w:rFonts w:hint="eastAsia" w:ascii="宋体" w:hAnsi="宋体" w:cs="宋体"/>
                <w:color w:val="auto"/>
                <w:sz w:val="24"/>
                <w:szCs w:val="24"/>
                <w:highlight w:val="none"/>
                <w:lang w:eastAsia="zh-CN"/>
              </w:rPr>
              <w:t>全球</w:t>
            </w:r>
            <w:r>
              <w:rPr>
                <w:rFonts w:hint="eastAsia" w:ascii="宋体" w:hAnsi="宋体" w:cs="宋体"/>
                <w:color w:val="auto"/>
                <w:sz w:val="24"/>
                <w:szCs w:val="24"/>
                <w:highlight w:val="none"/>
                <w:lang w:val="en-US" w:eastAsia="zh-CN"/>
              </w:rPr>
              <w:t>PC销量</w:t>
            </w:r>
            <w:r>
              <w:rPr>
                <w:rFonts w:hint="eastAsia" w:ascii="宋体" w:hAnsi="宋体" w:cs="宋体"/>
                <w:color w:val="auto"/>
                <w:sz w:val="24"/>
                <w:szCs w:val="24"/>
                <w:highlight w:val="none"/>
              </w:rPr>
              <w:t>排名前5</w:t>
            </w:r>
            <w:r>
              <w:rPr>
                <w:rFonts w:hint="eastAsia" w:ascii="宋体" w:hAnsi="宋体" w:cs="宋体"/>
                <w:color w:val="auto"/>
                <w:sz w:val="24"/>
                <w:szCs w:val="24"/>
                <w:highlight w:val="none"/>
                <w:lang w:eastAsia="zh-CN"/>
              </w:rPr>
              <w:t>名</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证明</w:t>
            </w:r>
            <w:r>
              <w:rPr>
                <w:rFonts w:hint="eastAsia" w:ascii="宋体" w:hAnsi="宋体" w:cs="宋体"/>
                <w:color w:val="auto"/>
                <w:sz w:val="24"/>
                <w:szCs w:val="24"/>
                <w:highlight w:val="none"/>
              </w:rPr>
              <w:t>或网站链接；</w:t>
            </w:r>
          </w:p>
          <w:p>
            <w:pPr>
              <w:numPr>
                <w:ilvl w:val="0"/>
                <w:numId w:val="4"/>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▲处理器：≥Intel酷睿处理器i5-10210U 或i5-9300H(基本频率1.6GHz/4核心/缓存6M)；</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▲内存：</w:t>
            </w:r>
            <w:r>
              <w:rPr>
                <w:rFonts w:ascii="宋体" w:hAnsi="宋体"/>
                <w:color w:val="auto"/>
                <w:sz w:val="24"/>
                <w:szCs w:val="24"/>
                <w:highlight w:val="none"/>
              </w:rPr>
              <w:t>≥</w:t>
            </w:r>
            <w:r>
              <w:rPr>
                <w:rFonts w:hint="eastAsia" w:ascii="宋体" w:hAnsi="宋体"/>
                <w:color w:val="auto"/>
                <w:sz w:val="24"/>
                <w:szCs w:val="24"/>
                <w:highlight w:val="none"/>
              </w:rPr>
              <w:t>16</w:t>
            </w:r>
            <w:r>
              <w:rPr>
                <w:rFonts w:ascii="宋体" w:hAnsi="宋体"/>
                <w:color w:val="auto"/>
                <w:sz w:val="24"/>
                <w:szCs w:val="24"/>
                <w:highlight w:val="none"/>
              </w:rPr>
              <w:t>GB</w:t>
            </w:r>
            <w:r>
              <w:rPr>
                <w:rFonts w:hint="eastAsia" w:ascii="宋体" w:hAnsi="宋体"/>
                <w:color w:val="auto"/>
                <w:sz w:val="24"/>
                <w:szCs w:val="24"/>
                <w:highlight w:val="none"/>
              </w:rPr>
              <w:t>(</w:t>
            </w:r>
            <w:r>
              <w:rPr>
                <w:rFonts w:ascii="宋体" w:hAnsi="宋体" w:cs="宋体"/>
                <w:color w:val="auto"/>
                <w:sz w:val="24"/>
                <w:szCs w:val="24"/>
                <w:highlight w:val="none"/>
              </w:rPr>
              <w:t>DDR4</w:t>
            </w: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400)</w:t>
            </w:r>
            <w:r>
              <w:rPr>
                <w:rFonts w:ascii="宋体" w:hAnsi="宋体"/>
                <w:color w:val="auto"/>
                <w:sz w:val="24"/>
                <w:szCs w:val="24"/>
                <w:highlight w:val="none"/>
              </w:rPr>
              <w:t>内存</w:t>
            </w:r>
            <w:r>
              <w:rPr>
                <w:rFonts w:hint="eastAsia" w:ascii="宋体" w:hAnsi="宋体" w:cs="宋体"/>
                <w:color w:val="auto"/>
                <w:sz w:val="24"/>
                <w:szCs w:val="24"/>
                <w:highlight w:val="none"/>
              </w:rPr>
              <w:t>；</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▲硬盘：≥固态硬盘256GB（M.2接口）；</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接口配置：≥USB3.0/USB 2.0接口，高清接口，HDMI+Type-C或VGA接口（若无VGA接口则需提供VGA转接线、Type-C转HDMI转接线）、耳麦输出，麦克风接口，RJ45接口，电源接口</w:t>
            </w:r>
            <w:r>
              <w:rPr>
                <w:rFonts w:hint="eastAsia" w:ascii="宋体" w:hAnsi="宋体" w:cs="宋体"/>
                <w:color w:val="auto"/>
                <w:sz w:val="24"/>
                <w:szCs w:val="24"/>
                <w:highlight w:val="none"/>
                <w:lang w:eastAsia="zh-CN"/>
              </w:rPr>
              <w:t>，</w:t>
            </w:r>
            <w:r>
              <w:rPr>
                <w:rFonts w:hint="eastAsia" w:hAnsi="宋体" w:cs="宋体"/>
                <w:color w:val="auto"/>
                <w:sz w:val="24"/>
                <w:szCs w:val="24"/>
                <w:highlight w:val="none"/>
              </w:rPr>
              <w:t>≥720P HD高清网络摄像头；</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标配显卡、声卡及千兆以太网卡、无线网卡802.11AC +蓝牙4.0及以上；</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★14英寸窄边框 LED背光 FHD 防眩高清屏1920×1080；</w:t>
            </w:r>
          </w:p>
          <w:p>
            <w:pPr>
              <w:numPr>
                <w:ilvl w:val="0"/>
                <w:numId w:val="4"/>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原装电源适配器、原装电池、原装USB光电无线鼠标、原装笔记本电脑包；</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预装Windows10 Home basic 64位 中文版操作系统</w:t>
            </w:r>
          </w:p>
          <w:p>
            <w:pPr>
              <w:numPr>
                <w:ilvl w:val="0"/>
                <w:numId w:val="4"/>
              </w:numPr>
              <w:ind w:left="425" w:leftChars="0" w:hanging="425" w:firstLineChars="0"/>
              <w:rPr>
                <w:rFonts w:ascii="宋体" w:hAnsi="宋体" w:cs="宋体"/>
                <w:bCs/>
                <w:color w:val="auto"/>
                <w:sz w:val="24"/>
                <w:szCs w:val="24"/>
                <w:highlight w:val="none"/>
                <w:lang w:bidi="ar"/>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产品符合国家质量要求标准；</w:t>
            </w:r>
          </w:p>
          <w:p>
            <w:pPr>
              <w:numPr>
                <w:ilvl w:val="0"/>
                <w:numId w:val="4"/>
              </w:numPr>
              <w:ind w:left="425" w:leftChars="0" w:hanging="425" w:firstLineChars="0"/>
              <w:rPr>
                <w:rFonts w:ascii="宋体" w:hAnsi="宋体" w:cs="宋体"/>
                <w:bCs/>
                <w:color w:val="auto"/>
                <w:sz w:val="24"/>
                <w:szCs w:val="24"/>
                <w:highlight w:val="none"/>
              </w:rPr>
            </w:pPr>
            <w:r>
              <w:rPr>
                <w:rFonts w:hint="eastAsia" w:ascii="宋体" w:hAnsi="宋体" w:cs="宋体"/>
                <w:color w:val="auto"/>
                <w:sz w:val="24"/>
                <w:szCs w:val="24"/>
                <w:highlight w:val="none"/>
              </w:rPr>
              <w:t>★</w:t>
            </w:r>
            <w:r>
              <w:rPr>
                <w:rFonts w:hint="eastAsia" w:hAnsi="宋体" w:cs="宋体"/>
                <w:color w:val="auto"/>
                <w:sz w:val="24"/>
                <w:szCs w:val="24"/>
                <w:highlight w:val="none"/>
              </w:rPr>
              <w:t>原厂壹年专业支持，下一工作日上门保修服务，提供800/400 专线24*7全年无休原厂技术工程师接听电话，</w:t>
            </w:r>
            <w:r>
              <w:rPr>
                <w:rFonts w:hint="eastAsia" w:ascii="宋体" w:hAnsi="宋体" w:cs="宋体"/>
                <w:color w:val="auto"/>
                <w:sz w:val="24"/>
                <w:szCs w:val="24"/>
                <w:highlight w:val="none"/>
              </w:rPr>
              <w:t>原厂整机壹年免费上门保修；</w:t>
            </w:r>
          </w:p>
          <w:p>
            <w:pPr>
              <w:numPr>
                <w:ilvl w:val="0"/>
                <w:numId w:val="4"/>
              </w:numPr>
              <w:ind w:left="425" w:leftChars="0" w:hanging="425" w:firstLineChars="0"/>
              <w:rPr>
                <w:rFonts w:ascii="宋体" w:hAnsi="宋体" w:cs="宋体"/>
                <w:bCs/>
                <w:color w:val="auto"/>
                <w:sz w:val="24"/>
                <w:szCs w:val="24"/>
                <w:highlight w:val="none"/>
              </w:rPr>
            </w:pPr>
            <w:r>
              <w:rPr>
                <w:rFonts w:hint="eastAsia" w:ascii="宋体" w:hAnsi="宋体" w:cs="宋体"/>
                <w:color w:val="auto"/>
                <w:sz w:val="24"/>
                <w:szCs w:val="24"/>
                <w:highlight w:val="none"/>
              </w:rPr>
              <w:t>▲质量认证：平均无故障时间（MTBF）≥80万小时</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须出具证明资料复印件</w:t>
            </w:r>
            <w:r>
              <w:rPr>
                <w:rFonts w:hint="eastAsia" w:ascii="宋体" w:hAnsi="宋体" w:cs="宋体"/>
                <w:bCs/>
                <w:color w:val="auto"/>
                <w:sz w:val="24"/>
                <w:szCs w:val="24"/>
                <w:highlight w:val="none"/>
                <w:lang w:eastAsia="zh-CN"/>
              </w:rPr>
              <w:t>，原件备查）</w:t>
            </w:r>
          </w:p>
          <w:p>
            <w:pPr>
              <w:numPr>
                <w:ilvl w:val="0"/>
                <w:numId w:val="4"/>
              </w:numPr>
              <w:adjustRightInd/>
              <w:spacing w:line="240" w:lineRule="auto"/>
              <w:ind w:left="425" w:leftChars="0" w:hanging="425" w:firstLineChars="0"/>
              <w:textAlignment w:val="auto"/>
              <w:rPr>
                <w:rFonts w:hint="eastAsia" w:ascii="宋体" w:hAnsi="宋体" w:cs="宋体"/>
                <w:bCs/>
                <w:color w:val="auto"/>
                <w:sz w:val="24"/>
                <w:szCs w:val="24"/>
                <w:highlight w:val="none"/>
                <w:lang w:eastAsia="zh-CN"/>
              </w:rPr>
            </w:pPr>
            <w:r>
              <w:rPr>
                <w:rFonts w:hint="eastAsia" w:ascii="宋体" w:hAnsi="宋体" w:cs="宋体"/>
                <w:color w:val="auto"/>
                <w:sz w:val="24"/>
                <w:szCs w:val="24"/>
                <w:highlight w:val="none"/>
              </w:rPr>
              <w:t>▲电池类型：支持快速充电技术，一小时充电超过80%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待机时长≥5小时</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lang w:eastAsia="zh-CN"/>
              </w:rPr>
              <w:t>（须提供权威认证机构出具的测试报告证明资料复印件，原件备查）；</w:t>
            </w:r>
          </w:p>
          <w:p>
            <w:pPr>
              <w:numPr>
                <w:ilvl w:val="0"/>
                <w:numId w:val="4"/>
              </w:numPr>
              <w:adjustRightInd/>
              <w:spacing w:line="240" w:lineRule="auto"/>
              <w:ind w:left="425" w:leftChars="0" w:hanging="425" w:firstLineChars="0"/>
              <w:textAlignment w:val="auto"/>
              <w:rPr>
                <w:rFonts w:ascii="宋体"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eastAsia="zh-CN"/>
              </w:rPr>
              <w:t>参选人具备所投笔记本电脑产品的代理资质，</w:t>
            </w:r>
            <w:r>
              <w:rPr>
                <w:rFonts w:hint="eastAsia" w:hAnsi="宋体" w:cs="宋体"/>
                <w:color w:val="auto"/>
                <w:sz w:val="24"/>
                <w:szCs w:val="24"/>
                <w:highlight w:val="none"/>
              </w:rPr>
              <w:t>要求</w:t>
            </w:r>
            <w:r>
              <w:rPr>
                <w:rFonts w:hint="eastAsia" w:hAnsi="宋体" w:cs="宋体"/>
                <w:color w:val="auto"/>
                <w:sz w:val="24"/>
                <w:szCs w:val="24"/>
                <w:highlight w:val="none"/>
                <w:lang w:eastAsia="zh-CN"/>
              </w:rPr>
              <w:t>所投笔记本电脑是</w:t>
            </w:r>
            <w:r>
              <w:rPr>
                <w:rFonts w:hint="eastAsia" w:hAnsi="宋体" w:cs="宋体"/>
                <w:color w:val="auto"/>
                <w:sz w:val="24"/>
                <w:szCs w:val="24"/>
                <w:highlight w:val="none"/>
              </w:rPr>
              <w:t>原厂产品，并提供原厂</w:t>
            </w:r>
            <w:r>
              <w:rPr>
                <w:rFonts w:hint="eastAsia" w:hAnsi="宋体" w:cs="宋体"/>
                <w:color w:val="auto"/>
                <w:sz w:val="24"/>
                <w:szCs w:val="24"/>
                <w:highlight w:val="none"/>
                <w:lang w:eastAsia="zh-CN"/>
              </w:rPr>
              <w:t>售后</w:t>
            </w:r>
            <w:r>
              <w:rPr>
                <w:rFonts w:hint="eastAsia" w:hAnsi="宋体" w:cs="宋体"/>
                <w:color w:val="auto"/>
                <w:sz w:val="24"/>
                <w:szCs w:val="24"/>
                <w:highlight w:val="none"/>
              </w:rPr>
              <w:t>维护</w:t>
            </w:r>
            <w:r>
              <w:rPr>
                <w:rFonts w:hint="eastAsia" w:hAnsi="宋体" w:cs="宋体"/>
                <w:color w:val="auto"/>
                <w:sz w:val="24"/>
                <w:szCs w:val="24"/>
                <w:highlight w:val="none"/>
                <w:lang w:eastAsia="zh-CN"/>
              </w:rPr>
              <w:t>。（</w:t>
            </w:r>
            <w:r>
              <w:rPr>
                <w:rFonts w:hint="eastAsia" w:hAnsi="宋体" w:cs="宋体"/>
                <w:color w:val="auto"/>
                <w:sz w:val="24"/>
                <w:szCs w:val="24"/>
                <w:highlight w:val="none"/>
              </w:rPr>
              <w:t>须</w:t>
            </w:r>
            <w:r>
              <w:rPr>
                <w:rFonts w:hint="eastAsia" w:hAnsi="宋体" w:cs="宋体"/>
                <w:color w:val="auto"/>
                <w:sz w:val="24"/>
                <w:szCs w:val="24"/>
                <w:highlight w:val="none"/>
                <w:lang w:eastAsia="zh-CN"/>
              </w:rPr>
              <w:t>提供</w:t>
            </w:r>
            <w:r>
              <w:rPr>
                <w:rFonts w:hint="eastAsia" w:hAnsi="宋体" w:cs="宋体"/>
                <w:color w:val="auto"/>
                <w:sz w:val="24"/>
                <w:szCs w:val="24"/>
                <w:highlight w:val="none"/>
              </w:rPr>
              <w:t>证明资料复印件</w:t>
            </w:r>
            <w:r>
              <w:rPr>
                <w:rFonts w:hint="eastAsia" w:hAnsi="宋体" w:cs="宋体"/>
                <w:color w:val="auto"/>
                <w:sz w:val="24"/>
                <w:szCs w:val="24"/>
                <w:highlight w:val="none"/>
                <w:lang w:eastAsia="zh-CN"/>
              </w:rPr>
              <w:t>，原件备查）</w:t>
            </w:r>
          </w:p>
          <w:p>
            <w:pPr>
              <w:numPr>
                <w:ilvl w:val="0"/>
                <w:numId w:val="4"/>
              </w:numPr>
              <w:adjustRightInd/>
              <w:spacing w:line="240" w:lineRule="auto"/>
              <w:ind w:left="425" w:leftChars="0" w:hanging="42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参选人需</w:t>
            </w:r>
            <w:r>
              <w:rPr>
                <w:rFonts w:hint="eastAsia" w:ascii="宋体" w:hAnsi="宋体" w:cs="宋体"/>
                <w:color w:val="auto"/>
                <w:sz w:val="24"/>
                <w:szCs w:val="24"/>
                <w:highlight w:val="none"/>
              </w:rPr>
              <w:t>提供原厂商针对本项目专项授权和原厂盖章的服务承诺函</w:t>
            </w:r>
            <w:r>
              <w:rPr>
                <w:rFonts w:hint="eastAsia" w:ascii="宋体" w:hAnsi="宋体" w:cs="宋体"/>
                <w:color w:val="auto"/>
                <w:sz w:val="24"/>
                <w:szCs w:val="24"/>
                <w:highlight w:val="none"/>
                <w:lang w:eastAsia="zh-CN"/>
              </w:rPr>
              <w:t>原件</w:t>
            </w:r>
            <w:r>
              <w:rPr>
                <w:rFonts w:hint="eastAsia" w:hAnsi="宋体" w:cs="宋体"/>
                <w:color w:val="auto"/>
                <w:sz w:val="24"/>
                <w:szCs w:val="24"/>
                <w:highlight w:val="none"/>
                <w:lang w:eastAsia="zh-CN"/>
              </w:rPr>
              <w:t>。</w:t>
            </w:r>
          </w:p>
        </w:tc>
        <w:tc>
          <w:tcPr>
            <w:tcW w:w="765" w:type="dxa"/>
            <w:vAlign w:val="center"/>
          </w:tcPr>
          <w:p>
            <w:pPr>
              <w:autoSpaceDE w:val="0"/>
              <w:autoSpaceDN w:val="0"/>
              <w:jc w:val="center"/>
              <w:rPr>
                <w:rFonts w:ascii="宋体" w:hAnsi="宋体" w:cs="Arial"/>
                <w:color w:val="auto"/>
                <w:sz w:val="24"/>
                <w:szCs w:val="24"/>
                <w:highlight w:val="none"/>
              </w:rPr>
            </w:pPr>
            <w:r>
              <w:rPr>
                <w:rFonts w:hint="eastAsia" w:ascii="宋体" w:hAnsi="宋体" w:cs="Arial"/>
                <w:color w:val="auto"/>
                <w:sz w:val="24"/>
                <w:szCs w:val="24"/>
                <w:highlight w:val="none"/>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41"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4</w:t>
            </w:r>
          </w:p>
        </w:tc>
        <w:tc>
          <w:tcPr>
            <w:tcW w:w="1276"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显示器</w:t>
            </w:r>
          </w:p>
        </w:tc>
        <w:tc>
          <w:tcPr>
            <w:tcW w:w="6240" w:type="dxa"/>
            <w:vAlign w:val="center"/>
          </w:tcPr>
          <w:p>
            <w:pPr>
              <w:pStyle w:val="69"/>
              <w:numPr>
                <w:ilvl w:val="255"/>
                <w:numId w:val="0"/>
              </w:numPr>
              <w:tabs>
                <w:tab w:val="left" w:pos="312"/>
              </w:tabs>
              <w:rPr>
                <w:rFonts w:ascii="宋体" w:hAnsi="宋体" w:cs="宋体"/>
                <w:color w:val="auto"/>
                <w:sz w:val="24"/>
                <w:szCs w:val="24"/>
                <w:highlight w:val="none"/>
              </w:rPr>
            </w:pPr>
            <w:r>
              <w:rPr>
                <w:rFonts w:hint="eastAsia" w:ascii="宋体" w:hAnsi="宋体" w:cs="宋体"/>
                <w:color w:val="auto"/>
                <w:sz w:val="24"/>
                <w:szCs w:val="24"/>
                <w:highlight w:val="none"/>
              </w:rPr>
              <w:t>21.5寸宽屏液晶显示器（与参选主机同一品牌）。</w:t>
            </w:r>
          </w:p>
        </w:tc>
        <w:tc>
          <w:tcPr>
            <w:tcW w:w="765" w:type="dxa"/>
            <w:vAlign w:val="center"/>
          </w:tcPr>
          <w:p>
            <w:pPr>
              <w:autoSpaceDE w:val="0"/>
              <w:autoSpaceDN w:val="0"/>
              <w:jc w:val="center"/>
              <w:rPr>
                <w:rFonts w:ascii="宋体" w:hAnsi="宋体" w:cs="Arial"/>
                <w:color w:val="auto"/>
                <w:sz w:val="24"/>
                <w:szCs w:val="24"/>
                <w:highlight w:val="none"/>
              </w:rPr>
            </w:pPr>
            <w:r>
              <w:rPr>
                <w:rFonts w:hint="eastAsia" w:ascii="宋体" w:hAnsi="宋体" w:cs="Arial"/>
                <w:color w:val="auto"/>
                <w:sz w:val="24"/>
                <w:szCs w:val="24"/>
                <w:highlight w:val="none"/>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41"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5</w:t>
            </w:r>
          </w:p>
        </w:tc>
        <w:tc>
          <w:tcPr>
            <w:tcW w:w="1276" w:type="dxa"/>
            <w:vAlign w:val="center"/>
          </w:tcPr>
          <w:p>
            <w:pPr>
              <w:autoSpaceDE w:val="0"/>
              <w:autoSpaceDN w:val="0"/>
              <w:jc w:val="center"/>
              <w:rPr>
                <w:rFonts w:hAnsi="宋体" w:cs="宋体"/>
                <w:color w:val="auto"/>
                <w:kern w:val="2"/>
                <w:sz w:val="24"/>
                <w:szCs w:val="24"/>
                <w:highlight w:val="none"/>
              </w:rPr>
            </w:pPr>
            <w:r>
              <w:rPr>
                <w:rFonts w:hint="eastAsia" w:hAnsi="宋体" w:cs="宋体"/>
                <w:color w:val="auto"/>
                <w:kern w:val="2"/>
                <w:sz w:val="24"/>
                <w:szCs w:val="24"/>
                <w:highlight w:val="none"/>
              </w:rPr>
              <w:t>配件</w:t>
            </w:r>
          </w:p>
        </w:tc>
        <w:tc>
          <w:tcPr>
            <w:tcW w:w="6240" w:type="dxa"/>
            <w:vAlign w:val="center"/>
          </w:tcPr>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GT730 2G显存独立显卡（接口类型为VGA、DVI、HDMI，满足其中两个接口可接双屏）；</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金士顿120G固态硬盘SATA接口；</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金士顿240G固态硬盘SATA接口；</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希捷1TB机械硬盘SATA接口；</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≥USB3.0接口希捷1TB移动硬盘；</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金士顿4G DDR4内存条；</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金士顿8G DDR4内存条；</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TPLINK网卡；</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双飞燕USB防水键盘；</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双飞燕USB鼠标；</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鼠标(无线)；</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TPLINK 5口交换机；</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网线3米（超五类线、已配好水晶头，直接可以使用）；</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网线2米（超五类线、已配好水晶头，直接可以使用）；</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网线1米（超五类线、已配好水晶头，直接可以使用）；</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32G U盘；</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网线水晶头1盒；</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目前院里在用的电脑主机电源更换或维修最高限价；</w:t>
            </w:r>
          </w:p>
          <w:p>
            <w:pPr>
              <w:numPr>
                <w:ilvl w:val="0"/>
                <w:numId w:val="5"/>
              </w:numPr>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目前院里在用的台式机或笔记本电脑主板更换或维修最高限价。</w:t>
            </w:r>
          </w:p>
        </w:tc>
        <w:tc>
          <w:tcPr>
            <w:tcW w:w="765" w:type="dxa"/>
            <w:vAlign w:val="center"/>
          </w:tcPr>
          <w:p>
            <w:pPr>
              <w:autoSpaceDE w:val="0"/>
              <w:autoSpaceDN w:val="0"/>
              <w:jc w:val="center"/>
              <w:rPr>
                <w:rFonts w:ascii="宋体" w:hAnsi="宋体" w:cs="Arial"/>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注：（1）本</w:t>
      </w:r>
      <w:r>
        <w:rPr>
          <w:rFonts w:ascii="宋体" w:hAnsi="宋体" w:cs="宋体"/>
          <w:color w:val="auto"/>
          <w:sz w:val="24"/>
          <w:szCs w:val="24"/>
          <w:highlight w:val="none"/>
        </w:rPr>
        <w:t>项目</w:t>
      </w:r>
      <w:r>
        <w:rPr>
          <w:rFonts w:hint="eastAsia" w:ascii="宋体" w:hAnsi="宋体" w:cs="宋体"/>
          <w:color w:val="auto"/>
          <w:sz w:val="24"/>
          <w:szCs w:val="24"/>
          <w:highlight w:val="none"/>
          <w:lang w:eastAsia="zh-CN"/>
        </w:rPr>
        <w:t>壹年框架协议</w:t>
      </w:r>
      <w:r>
        <w:rPr>
          <w:rFonts w:ascii="宋体" w:hAnsi="宋体" w:cs="宋体"/>
          <w:color w:val="auto"/>
          <w:sz w:val="24"/>
          <w:szCs w:val="24"/>
          <w:highlight w:val="none"/>
        </w:rPr>
        <w:t>合同总价</w:t>
      </w:r>
      <w:r>
        <w:rPr>
          <w:rFonts w:hint="eastAsia" w:ascii="宋体" w:hAnsi="宋体" w:cs="宋体"/>
          <w:color w:val="auto"/>
          <w:sz w:val="24"/>
          <w:szCs w:val="24"/>
          <w:highlight w:val="none"/>
        </w:rPr>
        <w:t>不超过</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0万元人民币。各参选人对所有品目号的产品均须单独报价，每个品目号限报一款产品，任一品目号产品未进行报价均视为参选无效。</w:t>
      </w:r>
    </w:p>
    <w:p>
      <w:pPr>
        <w:numPr>
          <w:ilvl w:val="0"/>
          <w:numId w:val="6"/>
        </w:numPr>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具体采购数量由比选人与中选人签订正式采购合同时另行确定。比选人有权增加或减少比选内容和</w:t>
      </w:r>
      <w:r>
        <w:rPr>
          <w:rFonts w:hint="eastAsia" w:hAnsi="宋体"/>
          <w:bCs/>
          <w:color w:val="auto"/>
          <w:sz w:val="24"/>
          <w:szCs w:val="24"/>
          <w:highlight w:val="none"/>
        </w:rPr>
        <w:t>采购产品的</w:t>
      </w:r>
      <w:r>
        <w:rPr>
          <w:rFonts w:hint="eastAsia" w:ascii="宋体" w:hAnsi="宋体" w:cs="宋体"/>
          <w:color w:val="auto"/>
          <w:sz w:val="24"/>
          <w:szCs w:val="24"/>
          <w:highlight w:val="none"/>
        </w:rPr>
        <w:t>数量，</w:t>
      </w:r>
      <w:r>
        <w:rPr>
          <w:rFonts w:hint="eastAsia" w:hAnsi="宋体"/>
          <w:bCs/>
          <w:color w:val="auto"/>
          <w:sz w:val="24"/>
          <w:szCs w:val="24"/>
          <w:highlight w:val="none"/>
        </w:rPr>
        <w:t>对采购的产品可以适当调整，中</w:t>
      </w:r>
      <w:r>
        <w:rPr>
          <w:rFonts w:hint="eastAsia" w:ascii="宋体" w:hAnsi="宋体" w:cs="宋体"/>
          <w:color w:val="auto"/>
          <w:sz w:val="24"/>
          <w:szCs w:val="24"/>
          <w:highlight w:val="none"/>
        </w:rPr>
        <w:t>选人不得有异议。</w:t>
      </w:r>
    </w:p>
    <w:p>
      <w:pPr>
        <w:numPr>
          <w:ilvl w:val="0"/>
          <w:numId w:val="6"/>
        </w:numPr>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比选人若有以上产品目录之外的单价低于500元（不含500元）的办公计算机及配件的需求可以向参选人采购，参选人所售商品须明码标价，并以比选人下单日参选人门店当时段正常售价作为结算价格依据。</w:t>
      </w:r>
    </w:p>
    <w:p>
      <w:pPr>
        <w:numPr>
          <w:ilvl w:val="0"/>
          <w:numId w:val="6"/>
        </w:numPr>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olor w:val="auto"/>
          <w:sz w:val="24"/>
          <w:szCs w:val="24"/>
          <w:highlight w:val="none"/>
          <w:lang w:eastAsia="zh-CN"/>
        </w:rPr>
        <w:t>本项目产品</w:t>
      </w:r>
      <w:r>
        <w:rPr>
          <w:rFonts w:hint="eastAsia" w:ascii="宋体" w:hAnsi="宋体"/>
          <w:color w:val="auto"/>
          <w:sz w:val="24"/>
          <w:szCs w:val="24"/>
          <w:highlight w:val="none"/>
        </w:rPr>
        <w:t>质量保证期</w:t>
      </w:r>
      <w:r>
        <w:rPr>
          <w:rFonts w:hint="eastAsia" w:ascii="宋体" w:hAnsi="宋体"/>
          <w:color w:val="auto"/>
          <w:sz w:val="24"/>
          <w:szCs w:val="24"/>
          <w:highlight w:val="none"/>
          <w:lang w:eastAsia="zh-CN"/>
        </w:rPr>
        <w:t>按框架协议确定</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1.3、本次项目将与</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签订年度供货框架协议，框架协议总周期为壹年（2020年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日至2021年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日），合同期限届满，乙方尚未完成的服务，仍应按照本合同约定履行。</w:t>
      </w:r>
    </w:p>
    <w:p>
      <w:pPr>
        <w:keepNext w:val="0"/>
        <w:keepLines w:val="0"/>
        <w:pageBreakBefore w:val="0"/>
        <w:widowControl w:val="0"/>
        <w:kinsoku/>
        <w:wordWrap/>
        <w:overflowPunct/>
        <w:topLinePunct w:val="0"/>
        <w:autoSpaceDE/>
        <w:autoSpaceDN/>
        <w:bidi w:val="0"/>
        <w:snapToGrid/>
        <w:spacing w:line="360" w:lineRule="auto"/>
        <w:jc w:val="left"/>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2、定义和解释</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color w:val="auto"/>
          <w:sz w:val="24"/>
          <w:szCs w:val="24"/>
          <w:highlight w:val="none"/>
        </w:rPr>
      </w:pP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“比选人”系</w:t>
      </w:r>
      <w:r>
        <w:rPr>
          <w:rFonts w:hint="eastAsia" w:ascii="宋体" w:hAnsi="宋体"/>
          <w:color w:val="auto"/>
          <w:sz w:val="24"/>
          <w:szCs w:val="24"/>
          <w:highlight w:val="none"/>
        </w:rPr>
        <w:t>福建省石油化学工业设计院</w:t>
      </w:r>
      <w:r>
        <w:rPr>
          <w:rFonts w:hint="eastAsia" w:ascii="宋体" w:hAnsi="宋体" w:cs="宋体"/>
          <w:color w:val="auto"/>
          <w:sz w:val="24"/>
          <w:szCs w:val="24"/>
          <w:highlight w:val="none"/>
        </w:rPr>
        <w:t>，即业主方。</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color w:val="auto"/>
          <w:sz w:val="24"/>
          <w:szCs w:val="24"/>
          <w:highlight w:val="none"/>
        </w:rPr>
      </w:pPr>
      <w:r>
        <w:rPr>
          <w:rFonts w:ascii="宋体" w:hAnsi="宋体" w:cs="宋体"/>
          <w:color w:val="auto"/>
          <w:sz w:val="24"/>
          <w:szCs w:val="24"/>
          <w:highlight w:val="none"/>
        </w:rPr>
        <w:t xml:space="preserve">2.2 </w:t>
      </w:r>
      <w:r>
        <w:rPr>
          <w:rFonts w:hint="eastAsia" w:ascii="宋体" w:hAnsi="宋体" w:cs="宋体"/>
          <w:color w:val="auto"/>
          <w:sz w:val="24"/>
          <w:szCs w:val="24"/>
          <w:highlight w:val="none"/>
        </w:rPr>
        <w:t>“参选人”系指向比选人报名并接受邀请，领取比选文件，且已经提交或准备提交本次参选文件的法人。</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color w:val="auto"/>
          <w:sz w:val="24"/>
          <w:szCs w:val="24"/>
          <w:highlight w:val="none"/>
        </w:rPr>
      </w:pPr>
      <w:r>
        <w:rPr>
          <w:rFonts w:ascii="宋体" w:hAnsi="宋体" w:cs="宋体"/>
          <w:color w:val="auto"/>
          <w:sz w:val="24"/>
          <w:szCs w:val="24"/>
          <w:highlight w:val="none"/>
        </w:rPr>
        <w:t xml:space="preserve">2.3  </w:t>
      </w:r>
      <w:r>
        <w:rPr>
          <w:rFonts w:hint="eastAsia" w:ascii="宋体" w:hAnsi="宋体" w:cs="宋体"/>
          <w:color w:val="auto"/>
          <w:sz w:val="24"/>
          <w:szCs w:val="24"/>
          <w:highlight w:val="none"/>
        </w:rPr>
        <w:t>“参选人代表”系指全权代表参选人参加本次参选活动并签署参选文件的人，如果参选人代表不是参选人的法定代表人，须持有《法定代表人授权委托书》。</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color w:val="auto"/>
          <w:sz w:val="24"/>
          <w:szCs w:val="24"/>
          <w:highlight w:val="none"/>
        </w:rPr>
      </w:pPr>
      <w:r>
        <w:rPr>
          <w:rFonts w:ascii="宋体" w:hAnsi="宋体" w:cs="宋体"/>
          <w:color w:val="auto"/>
          <w:sz w:val="24"/>
          <w:szCs w:val="24"/>
          <w:highlight w:val="none"/>
        </w:rPr>
        <w:t xml:space="preserve">2.4 </w:t>
      </w:r>
      <w:r>
        <w:rPr>
          <w:rFonts w:hint="eastAsia" w:ascii="宋体" w:hAnsi="宋体" w:cs="宋体"/>
          <w:color w:val="auto"/>
          <w:sz w:val="24"/>
          <w:szCs w:val="24"/>
          <w:highlight w:val="none"/>
        </w:rPr>
        <w:t>“服务”系指比选文件规定参选人为完成全部合同义务须承担的所有工作，包括：运输、安装、品牌售后等以及其他类似的义务。</w:t>
      </w:r>
    </w:p>
    <w:p>
      <w:pPr>
        <w:keepNext w:val="0"/>
        <w:keepLines w:val="0"/>
        <w:pageBreakBefore w:val="0"/>
        <w:widowControl w:val="0"/>
        <w:kinsoku/>
        <w:wordWrap/>
        <w:overflowPunct/>
        <w:topLinePunct w:val="0"/>
        <w:autoSpaceDE/>
        <w:autoSpaceDN/>
        <w:bidi w:val="0"/>
        <w:snapToGrid/>
        <w:spacing w:line="360" w:lineRule="auto"/>
        <w:jc w:val="left"/>
        <w:outlineLvl w:val="9"/>
        <w:rPr>
          <w:rFonts w:ascii="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、比选文件组成</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比选文件包括下列内容：</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color w:val="auto"/>
          <w:sz w:val="24"/>
          <w:szCs w:val="24"/>
          <w:highlight w:val="none"/>
        </w:rPr>
      </w:pPr>
      <w:r>
        <w:rPr>
          <w:rFonts w:hint="eastAsia" w:ascii="宋体" w:hAnsi="宋体" w:cs="宋体"/>
          <w:color w:val="auto"/>
          <w:sz w:val="24"/>
          <w:szCs w:val="24"/>
          <w:highlight w:val="none"/>
        </w:rPr>
        <w:t>比选公告、比选须知、合同书格式、报价单、承诺函、</w:t>
      </w:r>
      <w:r>
        <w:rPr>
          <w:rFonts w:hint="eastAsia" w:ascii="宋体" w:hAnsi="宋体"/>
          <w:color w:val="auto"/>
          <w:sz w:val="24"/>
          <w:szCs w:val="24"/>
          <w:highlight w:val="none"/>
        </w:rPr>
        <w:t>评选表</w:t>
      </w:r>
      <w:r>
        <w:rPr>
          <w:rFonts w:hint="eastAsia" w:ascii="宋体" w:hAnsi="宋体" w:cs="宋体"/>
          <w:color w:val="auto"/>
          <w:sz w:val="24"/>
          <w:szCs w:val="24"/>
          <w:highlight w:val="none"/>
        </w:rPr>
        <w:t>等。</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outlineLvl w:val="9"/>
        <w:rPr>
          <w:rFonts w:ascii="宋体"/>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sz w:val="24"/>
          <w:szCs w:val="24"/>
          <w:highlight w:val="none"/>
        </w:rPr>
        <w:t>比选文件除</w:t>
      </w:r>
      <w:r>
        <w:rPr>
          <w:rFonts w:ascii="宋体" w:hAnsi="宋体" w:cs="宋体"/>
          <w:color w:val="auto"/>
          <w:sz w:val="24"/>
          <w:szCs w:val="24"/>
          <w:highlight w:val="none"/>
        </w:rPr>
        <w:t>3.1</w:t>
      </w:r>
      <w:r>
        <w:rPr>
          <w:rFonts w:hint="eastAsia" w:ascii="宋体" w:hAnsi="宋体" w:cs="宋体"/>
          <w:color w:val="auto"/>
          <w:sz w:val="24"/>
          <w:szCs w:val="24"/>
          <w:highlight w:val="none"/>
        </w:rPr>
        <w:t>内容外，比选人在比选期间发出的书面文件和其他修改或补充函件，均是比选文件不可分割的组成部分。</w:t>
      </w:r>
    </w:p>
    <w:p>
      <w:pPr>
        <w:spacing w:line="360" w:lineRule="auto"/>
        <w:jc w:val="left"/>
        <w:rPr>
          <w:rFonts w:ascii="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、比选文件的澄清</w:t>
      </w:r>
    </w:p>
    <w:p>
      <w:pPr>
        <w:spacing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参选人获取比选文件后，应仔细检查比选文件的所有内容，如有残缺等问题应在获得比选文件</w:t>
      </w:r>
      <w:r>
        <w:rPr>
          <w:rFonts w:ascii="宋体" w:hAnsi="宋体" w:cs="宋体"/>
          <w:color w:val="auto"/>
          <w:sz w:val="24"/>
          <w:szCs w:val="24"/>
          <w:highlight w:val="none"/>
        </w:rPr>
        <w:t>3</w:t>
      </w:r>
      <w:r>
        <w:rPr>
          <w:rFonts w:hint="eastAsia" w:ascii="宋体" w:hAnsi="宋体" w:cs="宋体"/>
          <w:color w:val="auto"/>
          <w:sz w:val="24"/>
          <w:szCs w:val="24"/>
          <w:highlight w:val="none"/>
        </w:rPr>
        <w:t>日内向比选人提出。参选人若对比选文件有任何疑问，应在参选截止时间前</w:t>
      </w:r>
      <w:r>
        <w:rPr>
          <w:rFonts w:ascii="宋体" w:hAnsi="宋体" w:cs="宋体"/>
          <w:color w:val="auto"/>
          <w:sz w:val="24"/>
          <w:szCs w:val="24"/>
          <w:highlight w:val="none"/>
        </w:rPr>
        <w:t>5</w:t>
      </w:r>
      <w:r>
        <w:rPr>
          <w:rFonts w:hint="eastAsia" w:ascii="宋体" w:hAnsi="宋体" w:cs="宋体"/>
          <w:color w:val="auto"/>
          <w:sz w:val="24"/>
          <w:szCs w:val="24"/>
          <w:highlight w:val="none"/>
        </w:rPr>
        <w:t>日，按参选须知载明的地址以书面形式（包括书面、传真、电子邮件下同）通知到比选人。比选人将视情况确定采用适当方式予以澄清或以书面形式予以答复，澄清文件作为比选文件的组成部分，具有约束作用。</w:t>
      </w:r>
    </w:p>
    <w:p>
      <w:pPr>
        <w:spacing w:line="360" w:lineRule="auto"/>
        <w:jc w:val="left"/>
        <w:rPr>
          <w:rFonts w:ascii="宋体"/>
          <w:b/>
          <w:bCs/>
          <w:color w:val="auto"/>
          <w:sz w:val="24"/>
          <w:szCs w:val="24"/>
          <w:highlight w:val="none"/>
        </w:rPr>
      </w:pPr>
      <w:r>
        <w:rPr>
          <w:rFonts w:ascii="宋体" w:hAnsi="宋体" w:cs="宋体"/>
          <w:b/>
          <w:bCs/>
          <w:color w:val="auto"/>
          <w:sz w:val="24"/>
          <w:szCs w:val="24"/>
          <w:highlight w:val="none"/>
        </w:rPr>
        <w:t>5</w:t>
      </w:r>
      <w:r>
        <w:rPr>
          <w:rFonts w:hint="eastAsia" w:ascii="宋体" w:hAnsi="宋体" w:cs="宋体"/>
          <w:b/>
          <w:bCs/>
          <w:color w:val="auto"/>
          <w:sz w:val="24"/>
          <w:szCs w:val="24"/>
          <w:highlight w:val="none"/>
        </w:rPr>
        <w:t>、比选文件的修改、补充</w:t>
      </w:r>
    </w:p>
    <w:p>
      <w:pP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rPr>
        <w:t>在参选截止日期前，比选人可主动地或依据参选人要求澄清的问题而修改比选文件，并提前以书面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为使参选人在准备参选文件时有合理的时间考虑比选文件的修改，比选人可酌情推迟参选截止时间和开评时间，并以书面形式通知已获得比选文件的每一参选人。</w:t>
      </w:r>
    </w:p>
    <w:p>
      <w:pP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 xml:space="preserve">5.3 </w:t>
      </w:r>
      <w:r>
        <w:rPr>
          <w:rFonts w:hint="eastAsia" w:ascii="宋体" w:hAnsi="宋体" w:cs="宋体"/>
          <w:color w:val="auto"/>
          <w:sz w:val="24"/>
          <w:szCs w:val="24"/>
          <w:highlight w:val="none"/>
        </w:rPr>
        <w:t>比选文件的修改书将构成比选文件的一部分，对参选人具有约束作用。</w:t>
      </w:r>
    </w:p>
    <w:p>
      <w:pPr>
        <w:spacing w:line="360" w:lineRule="auto"/>
        <w:jc w:val="left"/>
        <w:rPr>
          <w:rFonts w:ascii="宋体"/>
          <w:b/>
          <w:bCs/>
          <w:color w:val="auto"/>
          <w:sz w:val="24"/>
          <w:szCs w:val="24"/>
          <w:highlight w:val="none"/>
        </w:rPr>
      </w:pPr>
      <w:r>
        <w:rPr>
          <w:rFonts w:ascii="宋体" w:hAnsi="宋体" w:cs="宋体"/>
          <w:b/>
          <w:bCs/>
          <w:color w:val="auto"/>
          <w:sz w:val="24"/>
          <w:szCs w:val="24"/>
          <w:highlight w:val="none"/>
        </w:rPr>
        <w:t>6</w:t>
      </w:r>
      <w:r>
        <w:rPr>
          <w:rFonts w:hint="eastAsia" w:ascii="宋体" w:hAnsi="宋体" w:cs="宋体"/>
          <w:b/>
          <w:bCs/>
          <w:color w:val="auto"/>
          <w:sz w:val="24"/>
          <w:szCs w:val="24"/>
          <w:highlight w:val="none"/>
        </w:rPr>
        <w:t>、参选人资格</w:t>
      </w:r>
    </w:p>
    <w:p>
      <w:pPr>
        <w:pStyle w:val="7"/>
        <w:spacing w:line="360" w:lineRule="auto"/>
        <w:ind w:firstLine="480" w:firstLineChars="200"/>
        <w:rPr>
          <w:rFonts w:hAnsi="宋体"/>
          <w:color w:val="auto"/>
          <w:kern w:val="0"/>
          <w:sz w:val="24"/>
          <w:szCs w:val="24"/>
          <w:highlight w:val="none"/>
        </w:rPr>
      </w:pPr>
      <w:r>
        <w:rPr>
          <w:rFonts w:hint="eastAsia" w:hAnsi="宋体"/>
          <w:color w:val="auto"/>
          <w:kern w:val="0"/>
          <w:sz w:val="24"/>
          <w:szCs w:val="24"/>
          <w:highlight w:val="none"/>
        </w:rPr>
        <w:t>6.1参选人具备独立法人资格且有能力提供自主比选货物及服务的</w:t>
      </w:r>
      <w:r>
        <w:rPr>
          <w:rFonts w:hint="eastAsia" w:hAnsi="宋体"/>
          <w:color w:val="auto"/>
          <w:kern w:val="0"/>
          <w:sz w:val="24"/>
          <w:szCs w:val="24"/>
          <w:highlight w:val="none"/>
          <w:lang w:eastAsia="zh-CN"/>
        </w:rPr>
        <w:t>厂</w:t>
      </w:r>
      <w:r>
        <w:rPr>
          <w:rFonts w:hint="eastAsia" w:hAnsi="宋体"/>
          <w:color w:val="auto"/>
          <w:kern w:val="0"/>
          <w:sz w:val="24"/>
          <w:szCs w:val="24"/>
          <w:highlight w:val="none"/>
        </w:rPr>
        <w:t>商及代理商，应具有履行合同的相关资质，需提供合格有效的营业执照</w:t>
      </w:r>
      <w:r>
        <w:rPr>
          <w:rFonts w:hint="eastAsia" w:hAnsi="宋体"/>
          <w:color w:val="auto"/>
          <w:kern w:val="0"/>
          <w:sz w:val="24"/>
          <w:szCs w:val="24"/>
          <w:highlight w:val="none"/>
          <w:lang w:eastAsia="zh-CN"/>
        </w:rPr>
        <w:t>、</w:t>
      </w:r>
      <w:r>
        <w:rPr>
          <w:rFonts w:hint="eastAsia" w:hAnsi="宋体"/>
          <w:color w:val="auto"/>
          <w:kern w:val="0"/>
          <w:sz w:val="24"/>
          <w:szCs w:val="24"/>
          <w:highlight w:val="none"/>
        </w:rPr>
        <w:t>税务登记证（或三证合一）</w:t>
      </w:r>
      <w:r>
        <w:rPr>
          <w:rFonts w:hint="eastAsia" w:hAnsi="宋体"/>
          <w:color w:val="auto"/>
          <w:kern w:val="0"/>
          <w:sz w:val="24"/>
          <w:szCs w:val="24"/>
          <w:highlight w:val="none"/>
          <w:lang w:eastAsia="zh-CN"/>
        </w:rPr>
        <w:t>、</w:t>
      </w:r>
      <w:r>
        <w:rPr>
          <w:rFonts w:hint="eastAsia" w:ascii="宋体" w:hAnsi="宋体" w:cs="宋体"/>
          <w:color w:val="auto"/>
          <w:sz w:val="24"/>
          <w:szCs w:val="24"/>
          <w:highlight w:val="none"/>
        </w:rPr>
        <w:t>产品合法代理商证书</w:t>
      </w:r>
      <w:r>
        <w:rPr>
          <w:rFonts w:hint="eastAsia" w:hAnsi="宋体"/>
          <w:color w:val="auto"/>
          <w:kern w:val="0"/>
          <w:sz w:val="24"/>
          <w:szCs w:val="24"/>
          <w:highlight w:val="none"/>
        </w:rPr>
        <w:t>等复印件并加盖参选人单位公章并注明与原件一致。</w:t>
      </w:r>
    </w:p>
    <w:p>
      <w:pPr>
        <w:pStyle w:val="7"/>
        <w:spacing w:line="360" w:lineRule="auto"/>
        <w:ind w:firstLine="480" w:firstLineChars="200"/>
        <w:rPr>
          <w:rFonts w:hAnsi="宋体"/>
          <w:color w:val="auto"/>
          <w:kern w:val="0"/>
          <w:sz w:val="24"/>
          <w:szCs w:val="24"/>
          <w:highlight w:val="none"/>
        </w:rPr>
      </w:pPr>
      <w:r>
        <w:rPr>
          <w:rFonts w:hint="eastAsia" w:hAnsi="宋体"/>
          <w:color w:val="auto"/>
          <w:kern w:val="0"/>
          <w:sz w:val="24"/>
          <w:szCs w:val="24"/>
          <w:highlight w:val="none"/>
        </w:rPr>
        <w:t xml:space="preserve">6.2参选人近3年内没有骗取中选和严重违约等其它不良记录，无安全事故，参选时没有处于被责令停业，财产被接管、冻结，破产状态内，以及可能影响到合同履行的其他问题。 </w:t>
      </w:r>
    </w:p>
    <w:p>
      <w:pPr>
        <w:pStyle w:val="7"/>
        <w:spacing w:line="360" w:lineRule="auto"/>
        <w:ind w:firstLine="480" w:firstLineChars="200"/>
        <w:rPr>
          <w:rFonts w:hAnsi="宋体"/>
          <w:color w:val="auto"/>
          <w:kern w:val="0"/>
          <w:sz w:val="24"/>
          <w:szCs w:val="24"/>
          <w:highlight w:val="none"/>
        </w:rPr>
      </w:pPr>
      <w:r>
        <w:rPr>
          <w:rFonts w:hint="eastAsia" w:hAnsi="宋体"/>
          <w:color w:val="auto"/>
          <w:kern w:val="0"/>
          <w:sz w:val="24"/>
          <w:szCs w:val="24"/>
          <w:highlight w:val="none"/>
        </w:rPr>
        <w:t>6.3本项目不接受联合体参选。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6.4 其他资格要求详见比选文件，本项目采用资格后审方式对参选人进行资格审查，经资格审查合格的参选人才可能有资格成为中选候选人。</w:t>
      </w:r>
    </w:p>
    <w:p>
      <w:pPr>
        <w:spacing w:line="360" w:lineRule="auto"/>
        <w:jc w:val="left"/>
        <w:rPr>
          <w:rFonts w:ascii="宋体"/>
          <w:b/>
          <w:bCs/>
          <w:color w:val="auto"/>
          <w:sz w:val="24"/>
          <w:szCs w:val="24"/>
          <w:highlight w:val="none"/>
        </w:rPr>
      </w:pPr>
      <w:r>
        <w:rPr>
          <w:rFonts w:ascii="宋体" w:hAnsi="宋体" w:cs="宋体"/>
          <w:b/>
          <w:bCs/>
          <w:color w:val="auto"/>
          <w:sz w:val="24"/>
          <w:szCs w:val="24"/>
          <w:highlight w:val="none"/>
        </w:rPr>
        <w:t>7</w:t>
      </w:r>
      <w:r>
        <w:rPr>
          <w:rFonts w:hint="eastAsia" w:ascii="宋体" w:hAnsi="宋体" w:cs="宋体"/>
          <w:b/>
          <w:bCs/>
          <w:color w:val="auto"/>
          <w:sz w:val="24"/>
          <w:szCs w:val="24"/>
          <w:highlight w:val="none"/>
        </w:rPr>
        <w:t>、比选文件的递交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7.1参选文件递交的截止时间：2020年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日17时00分。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7.2提交参选文件的地点为：福建省石油化学工业设计院机房（地址：福建省福州市鼓楼区东大路117号7号楼208室），联系人：</w:t>
      </w:r>
      <w:r>
        <w:rPr>
          <w:rFonts w:hint="eastAsia" w:ascii="宋体" w:hAnsi="宋体" w:cs="宋体"/>
          <w:color w:val="auto"/>
          <w:sz w:val="24"/>
          <w:szCs w:val="24"/>
          <w:highlight w:val="none"/>
          <w:lang w:eastAsia="zh-CN"/>
        </w:rPr>
        <w:t>魏</w:t>
      </w:r>
      <w:r>
        <w:rPr>
          <w:rFonts w:hint="eastAsia" w:ascii="宋体" w:hAnsi="宋体" w:cs="宋体"/>
          <w:color w:val="auto"/>
          <w:sz w:val="24"/>
          <w:szCs w:val="24"/>
          <w:highlight w:val="none"/>
        </w:rPr>
        <w:t>先生、联系电话：0591-87552729</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7.3若要使用邮寄方式，请尽量使用顺丰或EMS邮政快递，外包装上必须注明参选项目名称、</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、联系人电话）尽快送达。</w:t>
      </w:r>
    </w:p>
    <w:p>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rPr>
        <w:t>7.4逾期送达的或未送达指定地点或不符合规定的参选文件，比选人不予受理。</w:t>
      </w:r>
    </w:p>
    <w:p>
      <w:pPr>
        <w:spacing w:line="360" w:lineRule="auto"/>
        <w:jc w:val="center"/>
        <w:rPr>
          <w:rFonts w:ascii="宋体" w:hAnsi="宋体" w:cs="宋体"/>
          <w:b/>
          <w:bCs/>
          <w:color w:val="auto"/>
          <w:sz w:val="28"/>
          <w:szCs w:val="28"/>
          <w:highlight w:val="none"/>
        </w:rPr>
      </w:pPr>
      <w:r>
        <w:rPr>
          <w:rFonts w:hint="eastAsia" w:ascii="宋体" w:hAnsi="宋体" w:cs="宋体"/>
          <w:b/>
          <w:bCs/>
          <w:color w:val="auto"/>
          <w:sz w:val="32"/>
          <w:szCs w:val="32"/>
          <w:highlight w:val="none"/>
        </w:rPr>
        <w:t>第三章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参选文件的编制</w:t>
      </w:r>
    </w:p>
    <w:p>
      <w:pPr>
        <w:snapToGrid w:val="0"/>
        <w:spacing w:line="360" w:lineRule="auto"/>
        <w:rPr>
          <w:rFonts w:ascii="宋体" w:hAnsi="宋体" w:cs="宋体"/>
          <w:b/>
          <w:bCs/>
          <w:color w:val="auto"/>
          <w:sz w:val="28"/>
          <w:szCs w:val="28"/>
          <w:highlight w:val="none"/>
        </w:rPr>
      </w:pPr>
    </w:p>
    <w:p>
      <w:pPr>
        <w:snapToGrid w:val="0"/>
        <w:spacing w:line="360" w:lineRule="auto"/>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、参选文件的组成：</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①有良好经营业绩的证明。其中包括以往承包业绩的合同、营业收入证明等其他可以证明承包单位具有良好运营业绩的相关材料；凡弄虚作假的，一经查实，比选人有权取消其中选资格。</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企业概况（企业简介、经营状况、</w:t>
      </w:r>
      <w:r>
        <w:rPr>
          <w:rFonts w:hint="eastAsia" w:ascii="宋体" w:hAnsi="宋体"/>
          <w:color w:val="auto"/>
          <w:sz w:val="24"/>
          <w:szCs w:val="24"/>
          <w:highlight w:val="none"/>
        </w:rPr>
        <w:t>经营历史简介、经营能力介绍、</w:t>
      </w:r>
      <w:r>
        <w:rPr>
          <w:rFonts w:hint="eastAsia" w:ascii="宋体" w:hAnsi="宋体" w:cs="宋体"/>
          <w:color w:val="auto"/>
          <w:sz w:val="24"/>
          <w:szCs w:val="24"/>
          <w:highlight w:val="none"/>
        </w:rPr>
        <w:t>最近三年拟提供产品（台式机或笔记本电脑）在国内主要用户不少于3个项目合同销售的业绩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最近三年承接的电脑维护等项目业绩情况）、营业执照、组织机构代码证、税务登记证、产品合法代理商证书、质量保证及售后服务承诺书等</w:t>
      </w:r>
      <w:r>
        <w:rPr>
          <w:rFonts w:hint="eastAsia" w:ascii="宋体" w:hAnsi="宋体" w:cs="宋体"/>
          <w:color w:val="auto"/>
          <w:sz w:val="24"/>
          <w:szCs w:val="24"/>
          <w:highlight w:val="none"/>
          <w:lang w:eastAsia="zh-CN"/>
        </w:rPr>
        <w:t>（参照附件四～七</w:t>
      </w:r>
      <w:r>
        <w:rPr>
          <w:rFonts w:hint="eastAsia" w:ascii="宋体" w:hAnsi="宋体" w:cs="宋体"/>
          <w:color w:val="auto"/>
          <w:sz w:val="24"/>
          <w:szCs w:val="24"/>
          <w:highlight w:val="none"/>
        </w:rPr>
        <w:t>编写并按顺序装订</w:t>
      </w:r>
      <w:r>
        <w:rPr>
          <w:rFonts w:hint="eastAsia" w:ascii="宋体" w:hAnsi="宋体" w:cs="宋体"/>
          <w:color w:val="auto"/>
          <w:sz w:val="24"/>
          <w:szCs w:val="24"/>
          <w:highlight w:val="none"/>
          <w:lang w:eastAsia="zh-CN"/>
        </w:rPr>
        <w:t>），需准备</w:t>
      </w:r>
      <w:r>
        <w:rPr>
          <w:rFonts w:hint="eastAsia" w:ascii="宋体" w:hAnsi="宋体" w:cs="宋体"/>
          <w:color w:val="auto"/>
          <w:sz w:val="24"/>
          <w:szCs w:val="24"/>
          <w:highlight w:val="none"/>
        </w:rPr>
        <w:t>参选文件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含资格证明文件部分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一份正本和一份电子文件（U盘或光盘）</w:t>
      </w:r>
      <w:r>
        <w:rPr>
          <w:rFonts w:hint="eastAsia" w:ascii="宋体" w:hAnsi="宋体" w:cs="宋体"/>
          <w:color w:val="auto"/>
          <w:sz w:val="24"/>
          <w:szCs w:val="24"/>
          <w:highlight w:val="none"/>
          <w:lang w:eastAsia="zh-CN"/>
        </w:rPr>
        <w:t>。</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出具业务联系人的法定代表人授权委托书（参照附件三），业务联系人或被授权代表变更时应取得相应的具有法律效力的证明材料。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hAnsi="宋体" w:cs="宋体"/>
          <w:color w:val="auto"/>
          <w:sz w:val="24"/>
          <w:szCs w:val="24"/>
          <w:highlight w:val="none"/>
        </w:rPr>
      </w:pPr>
      <w:r>
        <w:rPr>
          <w:rFonts w:hint="eastAsia" w:ascii="宋体" w:hAnsi="宋体"/>
          <w:color w:val="auto"/>
          <w:sz w:val="24"/>
          <w:szCs w:val="24"/>
          <w:highlight w:val="none"/>
        </w:rPr>
        <w:t>④</w:t>
      </w:r>
      <w:r>
        <w:rPr>
          <w:rFonts w:hint="eastAsia" w:ascii="宋体" w:hAnsi="宋体" w:cs="宋体"/>
          <w:color w:val="auto"/>
          <w:sz w:val="24"/>
          <w:szCs w:val="24"/>
          <w:highlight w:val="none"/>
        </w:rPr>
        <w:t>提供参选报价单。报价单参照附件二格式进行报价。如私自修改报价格式</w:t>
      </w:r>
      <w:r>
        <w:rPr>
          <w:rFonts w:hint="eastAsia" w:ascii="宋体" w:hAnsi="宋体" w:cs="宋体"/>
          <w:color w:val="auto"/>
          <w:sz w:val="24"/>
          <w:szCs w:val="24"/>
          <w:highlight w:val="none"/>
          <w:lang w:eastAsia="zh-CN"/>
        </w:rPr>
        <w:t>比选人有权决定是否按废选</w:t>
      </w:r>
      <w:r>
        <w:rPr>
          <w:rFonts w:hint="eastAsia" w:ascii="宋体" w:hAnsi="宋体" w:cs="宋体"/>
          <w:color w:val="auto"/>
          <w:sz w:val="24"/>
          <w:szCs w:val="24"/>
          <w:highlight w:val="none"/>
        </w:rPr>
        <w:t>处理。</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⑤</w:t>
      </w:r>
      <w:r>
        <w:rPr>
          <w:rFonts w:hint="eastAsia" w:ascii="宋体" w:hAnsi="宋体" w:cs="宋体"/>
          <w:color w:val="auto"/>
          <w:sz w:val="24"/>
          <w:szCs w:val="24"/>
          <w:highlight w:val="none"/>
        </w:rPr>
        <w:t>以上①至③项内容合并密封并</w:t>
      </w:r>
      <w:r>
        <w:rPr>
          <w:rFonts w:hint="eastAsia" w:ascii="宋体" w:hAnsi="宋体" w:cs="宋体"/>
          <w:color w:val="auto"/>
          <w:sz w:val="24"/>
          <w:szCs w:val="24"/>
          <w:highlight w:val="none"/>
          <w:lang w:eastAsia="zh-CN"/>
        </w:rPr>
        <w:t>每页</w:t>
      </w:r>
      <w:r>
        <w:rPr>
          <w:rFonts w:hint="eastAsia" w:ascii="宋体" w:hAnsi="宋体" w:cs="宋体"/>
          <w:color w:val="auto"/>
          <w:sz w:val="24"/>
          <w:szCs w:val="24"/>
          <w:highlight w:val="none"/>
        </w:rPr>
        <w:t>加盖公章；</w:t>
      </w:r>
      <w:r>
        <w:rPr>
          <w:rFonts w:hint="eastAsia" w:ascii="宋体" w:hAnsi="宋体"/>
          <w:color w:val="auto"/>
          <w:sz w:val="24"/>
          <w:szCs w:val="24"/>
          <w:highlight w:val="none"/>
        </w:rPr>
        <w:t>④</w:t>
      </w:r>
      <w:r>
        <w:rPr>
          <w:rFonts w:hint="eastAsia" w:ascii="宋体" w:hAnsi="宋体" w:cs="宋体"/>
          <w:color w:val="auto"/>
          <w:sz w:val="24"/>
          <w:szCs w:val="24"/>
          <w:highlight w:val="none"/>
        </w:rPr>
        <w:t>项内容单独密封并</w:t>
      </w:r>
      <w:r>
        <w:rPr>
          <w:rFonts w:hint="eastAsia" w:ascii="宋体" w:hAnsi="宋体" w:cs="宋体"/>
          <w:color w:val="auto"/>
          <w:sz w:val="24"/>
          <w:szCs w:val="24"/>
          <w:highlight w:val="none"/>
          <w:lang w:eastAsia="zh-CN"/>
        </w:rPr>
        <w:t>每页</w:t>
      </w:r>
      <w:r>
        <w:rPr>
          <w:rFonts w:hint="eastAsia" w:ascii="宋体" w:hAnsi="宋体" w:cs="宋体"/>
          <w:color w:val="auto"/>
          <w:sz w:val="24"/>
          <w:szCs w:val="24"/>
          <w:highlight w:val="none"/>
        </w:rPr>
        <w:t>加盖公章；在密封封面上要有明确的注明表示密封内的项号。</w:t>
      </w:r>
    </w:p>
    <w:p>
      <w:pPr>
        <w:spacing w:line="360" w:lineRule="auto"/>
        <w:rPr>
          <w:rFonts w:ascii="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、参选书格式</w:t>
      </w:r>
    </w:p>
    <w:p>
      <w:pPr>
        <w:spacing w:line="360" w:lineRule="auto"/>
        <w:ind w:firstLine="470" w:firstLineChars="196"/>
        <w:rPr>
          <w:rFonts w:ascii="宋体"/>
          <w:color w:val="auto"/>
          <w:sz w:val="24"/>
          <w:szCs w:val="24"/>
          <w:highlight w:val="none"/>
        </w:rPr>
      </w:pPr>
      <w:r>
        <w:rPr>
          <w:rFonts w:hint="eastAsia" w:ascii="宋体" w:hAnsi="宋体" w:cs="宋体"/>
          <w:color w:val="auto"/>
          <w:sz w:val="24"/>
          <w:szCs w:val="24"/>
          <w:highlight w:val="none"/>
        </w:rPr>
        <w:t>参选人应按规定制作参选文件并需加盖公章，按规定填写报价表并需加盖公章，法定代表人或委托代表人签字。</w:t>
      </w:r>
    </w:p>
    <w:p>
      <w:pPr>
        <w:snapToGrid w:val="0"/>
        <w:spacing w:line="360" w:lineRule="auto"/>
        <w:rPr>
          <w:rFonts w:ascii="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、参选报价</w:t>
      </w:r>
    </w:p>
    <w:p>
      <w:pPr>
        <w:snapToGrid w:val="0"/>
        <w:spacing w:line="360" w:lineRule="auto"/>
        <w:ind w:firstLine="477" w:firstLineChars="199"/>
        <w:rPr>
          <w:rFonts w:ascii="宋体" w:hAnsi="宋体" w:cs="宋体"/>
          <w:color w:val="auto"/>
          <w:sz w:val="24"/>
          <w:szCs w:val="24"/>
          <w:highlight w:val="none"/>
        </w:rPr>
      </w:pPr>
      <w:r>
        <w:rPr>
          <w:rFonts w:hint="eastAsia" w:ascii="宋体" w:hAnsi="宋体" w:cs="宋体"/>
          <w:color w:val="auto"/>
          <w:sz w:val="24"/>
          <w:szCs w:val="24"/>
          <w:highlight w:val="none"/>
        </w:rPr>
        <w:t>参选人须对参选报价负责</w:t>
      </w:r>
      <w:r>
        <w:rPr>
          <w:rFonts w:hint="eastAsia" w:ascii="宋体" w:hAnsi="宋体"/>
          <w:color w:val="auto"/>
          <w:sz w:val="24"/>
          <w:szCs w:val="24"/>
          <w:highlight w:val="none"/>
        </w:rPr>
        <w:t>，报价为含税价</w:t>
      </w:r>
      <w:r>
        <w:rPr>
          <w:rFonts w:hint="eastAsia" w:ascii="宋体" w:hAnsi="宋体" w:cs="宋体"/>
          <w:color w:val="auto"/>
          <w:sz w:val="24"/>
          <w:szCs w:val="24"/>
          <w:highlight w:val="none"/>
        </w:rPr>
        <w:t>。</w:t>
      </w:r>
      <w:r>
        <w:rPr>
          <w:rFonts w:hint="eastAsia" w:ascii="宋体" w:hAnsi="宋体"/>
          <w:color w:val="auto"/>
          <w:sz w:val="24"/>
          <w:szCs w:val="24"/>
          <w:highlight w:val="none"/>
        </w:rPr>
        <w:t>参选</w:t>
      </w:r>
      <w:r>
        <w:rPr>
          <w:rFonts w:ascii="宋体" w:hAnsi="宋体"/>
          <w:color w:val="auto"/>
          <w:sz w:val="24"/>
          <w:szCs w:val="24"/>
          <w:highlight w:val="none"/>
        </w:rPr>
        <w:t>报价应包括</w:t>
      </w:r>
      <w:r>
        <w:rPr>
          <w:rFonts w:hint="eastAsia" w:ascii="宋体" w:hAnsi="宋体"/>
          <w:color w:val="auto"/>
          <w:sz w:val="24"/>
          <w:szCs w:val="24"/>
          <w:highlight w:val="none"/>
        </w:rPr>
        <w:t>比选</w:t>
      </w:r>
      <w:r>
        <w:rPr>
          <w:rFonts w:ascii="宋体" w:hAnsi="宋体"/>
          <w:color w:val="auto"/>
          <w:sz w:val="24"/>
          <w:szCs w:val="24"/>
          <w:highlight w:val="none"/>
        </w:rPr>
        <w:t>文件所</w:t>
      </w:r>
      <w:r>
        <w:rPr>
          <w:rFonts w:hint="eastAsia" w:ascii="宋体" w:hAnsi="宋体" w:cs="宋体"/>
          <w:color w:val="auto"/>
          <w:sz w:val="24"/>
          <w:szCs w:val="24"/>
          <w:highlight w:val="none"/>
        </w:rPr>
        <w:t>确定的项目范围内的全部内容，以及为完成上述内容所必须的运输、包装、售后服务及所需的全部费用。参选报价应根据报价函填写，加盖参选人印章，字迹清晰，否则视为无效。</w:t>
      </w:r>
      <w:r>
        <w:rPr>
          <w:rFonts w:ascii="宋体" w:hAnsi="宋体" w:cs="宋体"/>
          <w:color w:val="auto"/>
          <w:sz w:val="24"/>
          <w:szCs w:val="24"/>
          <w:highlight w:val="none"/>
        </w:rPr>
        <w:t xml:space="preserve"> </w:t>
      </w:r>
    </w:p>
    <w:p>
      <w:pPr>
        <w:snapToGrid w:val="0"/>
        <w:spacing w:line="360" w:lineRule="auto"/>
        <w:rPr>
          <w:rFonts w:ascii="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、特别说明</w:t>
      </w:r>
    </w:p>
    <w:p>
      <w:pPr>
        <w:widowControl/>
        <w:snapToGri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参选人需承担所有与比选有关的费用，比选人在任何情况不负担上述费用。</w:t>
      </w:r>
    </w:p>
    <w:p>
      <w:pPr>
        <w:widowControl/>
        <w:tabs>
          <w:tab w:val="left" w:pos="3825"/>
        </w:tabs>
        <w:snapToGrid w:val="0"/>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参选收到比选文件后，如有疑问需要澄清，请以书面形式在规定时间内报比选人汇总。</w:t>
      </w:r>
    </w:p>
    <w:p>
      <w:pPr>
        <w:widowControl/>
        <w:tabs>
          <w:tab w:val="left" w:pos="3825"/>
        </w:tabs>
        <w:snapToGrid w:val="0"/>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4.3</w:t>
      </w:r>
      <w:r>
        <w:rPr>
          <w:rFonts w:hint="eastAsia" w:ascii="宋体" w:hAnsi="宋体" w:cs="宋体"/>
          <w:color w:val="auto"/>
          <w:sz w:val="24"/>
          <w:szCs w:val="24"/>
          <w:highlight w:val="none"/>
        </w:rPr>
        <w:t>参选人对比选人提供的比选文件所做出的推论、解释和结论，比选人概不负责。参选人由于对比选文件的任何推论和误解以及比选对有关问题的口头解释所造成的后果，均由参选人负责。</w:t>
      </w:r>
    </w:p>
    <w:p>
      <w:pPr>
        <w:widowControl/>
        <w:tabs>
          <w:tab w:val="left" w:pos="3825"/>
        </w:tabs>
        <w:snapToGrid w:val="0"/>
        <w:spacing w:line="360" w:lineRule="auto"/>
        <w:ind w:firstLine="560" w:firstLineChars="200"/>
        <w:jc w:val="left"/>
        <w:rPr>
          <w:rFonts w:ascii="宋体" w:hAnsi="宋体" w:cs="宋体"/>
          <w:color w:val="auto"/>
          <w:sz w:val="28"/>
          <w:szCs w:val="28"/>
          <w:highlight w:val="none"/>
        </w:rPr>
      </w:pPr>
    </w:p>
    <w:p>
      <w:pPr>
        <w:spacing w:line="360" w:lineRule="auto"/>
        <w:jc w:val="center"/>
        <w:rPr>
          <w:rFonts w:ascii="宋体" w:hAnsi="宋体"/>
          <w:b/>
          <w:color w:val="auto"/>
          <w:sz w:val="28"/>
          <w:szCs w:val="28"/>
          <w:highlight w:val="none"/>
        </w:rPr>
      </w:pPr>
      <w:r>
        <w:rPr>
          <w:rFonts w:hint="eastAsia" w:ascii="宋体" w:hAnsi="宋体" w:cs="宋体"/>
          <w:b/>
          <w:bCs/>
          <w:color w:val="auto"/>
          <w:sz w:val="32"/>
          <w:szCs w:val="32"/>
          <w:highlight w:val="none"/>
        </w:rPr>
        <w:t>第四章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评比规则</w:t>
      </w:r>
    </w:p>
    <w:p>
      <w:pPr>
        <w:spacing w:line="360" w:lineRule="auto"/>
        <w:rPr>
          <w:rFonts w:ascii="宋体" w:hAnsi="宋体"/>
          <w:b/>
          <w:color w:val="auto"/>
          <w:sz w:val="28"/>
          <w:szCs w:val="28"/>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1、评分规则：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1.1采用综合评分法：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1.1.1总分100分，其中商务部分满分10分，技术部分满分35分，报价部分满分55分。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1.1.2、参选人的最终分为：价格分与参选人的商务、技术分和为最终得分（保留小数点后2位数）。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1.2、商务、技术部分评分办法：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1.2.1 各个评委的评分中去掉一个最高分和一个最低分后的算术平均值（保留小数点后2位数）；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1.2.2 商务、技术（含服务）部分评分细则详见“附件五 评分表”。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1.3、价格部分评分办法：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1.3.1 PF=Fm÷F×55</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PF：对各参选人的报价进行计算所得的分数。计算分数时四舍五入后保留小数点后两位。亦称为参选评定价；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Fm：满足参选文件要求且参选价格最低的合格参选人报价，亦称为评选基准价；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F：满足参选文件要求的各合格参选人的参选报价；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1.3.2 上述参选报价为总费用的含税价。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比选小组对具有实际性响应的参选人按商务、技术（含服务）、价格三部份进行评估，以综合评分法确定中选人，综合得分最高的确定为中选人。若有相同的最高得分，则其中所报总价最低的参选人将被推荐为中选人。若所报总价相同，则其中技术部分得分高的参选人将被推荐为中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1.5参选报价符合当前市场通行标准，如出现恶意竞标、</w:t>
      </w:r>
      <w:r>
        <w:rPr>
          <w:rFonts w:hint="eastAsia" w:ascii="宋体" w:hAnsi="宋体"/>
          <w:bCs/>
          <w:color w:val="auto"/>
          <w:sz w:val="24"/>
          <w:szCs w:val="24"/>
          <w:highlight w:val="none"/>
        </w:rPr>
        <w:t>串</w:t>
      </w:r>
      <w:r>
        <w:rPr>
          <w:rFonts w:hint="eastAsia" w:ascii="宋体" w:hAnsi="宋体"/>
          <w:color w:val="auto"/>
          <w:sz w:val="24"/>
          <w:szCs w:val="24"/>
          <w:highlight w:val="none"/>
        </w:rPr>
        <w:t>标现象，或</w:t>
      </w:r>
      <w:r>
        <w:rPr>
          <w:rFonts w:hint="eastAsia" w:ascii="宋体" w:hAnsi="宋体"/>
          <w:bCs/>
          <w:color w:val="auto"/>
          <w:sz w:val="24"/>
          <w:szCs w:val="24"/>
          <w:highlight w:val="none"/>
        </w:rPr>
        <w:t>参选以各种方式对评选小组成员施加影响；及其它违反招投标法、以及本次比选规定的，</w:t>
      </w:r>
      <w:r>
        <w:rPr>
          <w:rFonts w:hint="eastAsia" w:ascii="宋体" w:hAnsi="宋体"/>
          <w:color w:val="auto"/>
          <w:sz w:val="24"/>
          <w:szCs w:val="24"/>
          <w:highlight w:val="none"/>
        </w:rPr>
        <w:t>比选人有权单方面终止参选人此次参选活动，并取消恶意竞标或</w:t>
      </w:r>
      <w:r>
        <w:rPr>
          <w:rFonts w:hint="eastAsia" w:ascii="宋体" w:hAnsi="宋体"/>
          <w:bCs/>
          <w:color w:val="auto"/>
          <w:sz w:val="24"/>
          <w:szCs w:val="24"/>
          <w:highlight w:val="none"/>
        </w:rPr>
        <w:t>串</w:t>
      </w:r>
      <w:r>
        <w:rPr>
          <w:rFonts w:hint="eastAsia" w:ascii="宋体" w:hAnsi="宋体"/>
          <w:color w:val="auto"/>
          <w:sz w:val="24"/>
          <w:szCs w:val="24"/>
          <w:highlight w:val="none"/>
        </w:rPr>
        <w:t>标单位在我院三年之内的比选活动中的参选资格；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1.6以往的业绩及相关证明材料，可附表提供；</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1.7具备良好的沟通、合作能力，服从比选人的管理。</w:t>
      </w:r>
    </w:p>
    <w:p>
      <w:pPr>
        <w:spacing w:line="360" w:lineRule="auto"/>
        <w:rPr>
          <w:rFonts w:ascii="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、以下情况作废选处理：</w:t>
      </w:r>
    </w:p>
    <w:p>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szCs w:val="24"/>
          <w:highlight w:val="none"/>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2.2</w:t>
      </w:r>
      <w:r>
        <w:rPr>
          <w:rFonts w:hint="eastAsia" w:ascii="宋体" w:hAnsi="宋体" w:cs="宋体"/>
          <w:color w:val="auto"/>
          <w:sz w:val="24"/>
          <w:szCs w:val="24"/>
          <w:highlight w:val="none"/>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2.3</w:t>
      </w:r>
      <w:r>
        <w:rPr>
          <w:rFonts w:hint="eastAsia" w:ascii="宋体" w:hAnsi="宋体" w:cs="宋体"/>
          <w:color w:val="auto"/>
          <w:sz w:val="24"/>
          <w:szCs w:val="24"/>
          <w:highlight w:val="none"/>
        </w:rPr>
        <w:t>未按规定格式要求编制参选文件的。</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违反规定影响开选评选工作或采取其他方式对比选人施加影响的。</w:t>
      </w:r>
    </w:p>
    <w:p>
      <w:pPr>
        <w:spacing w:line="360" w:lineRule="auto"/>
        <w:ind w:firstLine="480" w:firstLineChars="200"/>
        <w:rPr>
          <w:rFonts w:hint="eastAsia" w:ascii="宋体" w:hAnsi="宋体" w:cs="宋体"/>
          <w:color w:val="auto"/>
          <w:sz w:val="24"/>
          <w:szCs w:val="24"/>
          <w:highlight w:val="none"/>
        </w:rPr>
      </w:pPr>
    </w:p>
    <w:p>
      <w:pPr>
        <w:spacing w:line="360" w:lineRule="auto"/>
        <w:jc w:val="center"/>
        <w:rPr>
          <w:rFonts w:ascii="宋体"/>
          <w:b/>
          <w:bCs/>
          <w:color w:val="auto"/>
          <w:sz w:val="32"/>
          <w:szCs w:val="32"/>
          <w:highlight w:val="none"/>
        </w:rPr>
      </w:pPr>
      <w:r>
        <w:rPr>
          <w:rFonts w:hint="eastAsia" w:ascii="宋体" w:hAnsi="宋体" w:cs="宋体"/>
          <w:b/>
          <w:bCs/>
          <w:color w:val="auto"/>
          <w:sz w:val="32"/>
          <w:szCs w:val="32"/>
          <w:highlight w:val="none"/>
        </w:rPr>
        <w:t>第五章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参选人选定</w:t>
      </w:r>
    </w:p>
    <w:p>
      <w:pPr>
        <w:widowControl/>
        <w:spacing w:line="360" w:lineRule="auto"/>
        <w:ind w:firstLine="536" w:firstLineChars="200"/>
        <w:jc w:val="left"/>
        <w:rPr>
          <w:rFonts w:ascii="宋体" w:hAnsi="宋体" w:cs="宋体"/>
          <w:color w:val="auto"/>
          <w:spacing w:val="-6"/>
          <w:sz w:val="28"/>
          <w:szCs w:val="28"/>
          <w:highlight w:val="none"/>
        </w:rPr>
      </w:pPr>
    </w:p>
    <w:p>
      <w:pPr>
        <w:widowControl/>
        <w:spacing w:line="360" w:lineRule="auto"/>
        <w:ind w:firstLine="456" w:firstLineChars="200"/>
        <w:jc w:val="left"/>
        <w:rPr>
          <w:rFonts w:ascii="宋体"/>
          <w:color w:val="auto"/>
          <w:sz w:val="24"/>
          <w:szCs w:val="24"/>
          <w:highlight w:val="none"/>
        </w:rPr>
      </w:pPr>
      <w:r>
        <w:rPr>
          <w:rFonts w:ascii="宋体" w:hAnsi="宋体" w:cs="宋体"/>
          <w:color w:val="auto"/>
          <w:spacing w:val="-6"/>
          <w:sz w:val="24"/>
          <w:szCs w:val="24"/>
          <w:highlight w:val="none"/>
        </w:rPr>
        <w:t>1</w:t>
      </w:r>
      <w:r>
        <w:rPr>
          <w:rFonts w:hint="eastAsia" w:ascii="宋体" w:hAnsi="宋体" w:cs="宋体"/>
          <w:color w:val="auto"/>
          <w:spacing w:val="-6"/>
          <w:sz w:val="24"/>
          <w:szCs w:val="24"/>
          <w:highlight w:val="none"/>
        </w:rPr>
        <w:t>、</w:t>
      </w:r>
      <w:r>
        <w:rPr>
          <w:rFonts w:hint="eastAsia" w:ascii="宋体" w:hAnsi="宋体" w:cs="宋体"/>
          <w:color w:val="auto"/>
          <w:sz w:val="24"/>
          <w:szCs w:val="24"/>
          <w:highlight w:val="none"/>
        </w:rPr>
        <w:t>比选人将在比选截至日期后另行组织比选会，参选人选定工作在比选人有关部门监督下，由比选人依法组建的评选委员会负责。</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2、福建省石油化学工业设计院评选委员会按规定程序,根据评标的标准和要求综合评定确定</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3、公布</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(中选结果公示在</w:t>
      </w:r>
      <w:r>
        <w:rPr>
          <w:rFonts w:hint="eastAsia" w:ascii="宋体" w:hAnsi="宋体" w:cs="宋体"/>
          <w:color w:val="auto"/>
          <w:sz w:val="24"/>
          <w:szCs w:val="24"/>
          <w:highlight w:val="none"/>
          <w:lang w:eastAsia="zh-CN"/>
        </w:rPr>
        <w:t>比</w:t>
      </w:r>
      <w:r>
        <w:rPr>
          <w:rFonts w:hint="eastAsia" w:ascii="宋体" w:hAnsi="宋体" w:cs="宋体"/>
          <w:color w:val="auto"/>
          <w:sz w:val="24"/>
          <w:szCs w:val="24"/>
          <w:highlight w:val="none"/>
        </w:rPr>
        <w:t>选人公司网站）。</w:t>
      </w:r>
    </w:p>
    <w:p>
      <w:pPr>
        <w:widowControl/>
        <w:spacing w:line="360" w:lineRule="auto"/>
        <w:ind w:firstLine="480" w:firstLineChars="200"/>
        <w:jc w:val="left"/>
        <w:rPr>
          <w:rFonts w:hint="eastAsia" w:ascii="宋体" w:hAnsi="宋体" w:cs="宋体"/>
          <w:color w:val="auto"/>
          <w:sz w:val="24"/>
          <w:szCs w:val="24"/>
          <w:highlight w:val="none"/>
        </w:rPr>
      </w:pPr>
    </w:p>
    <w:p>
      <w:pPr>
        <w:spacing w:line="360" w:lineRule="auto"/>
        <w:jc w:val="center"/>
        <w:rPr>
          <w:rFonts w:ascii="宋体"/>
          <w:color w:val="auto"/>
          <w:sz w:val="28"/>
          <w:szCs w:val="28"/>
          <w:highlight w:val="none"/>
        </w:rPr>
      </w:pPr>
      <w:r>
        <w:rPr>
          <w:rFonts w:hint="eastAsia" w:ascii="宋体" w:hAnsi="宋体" w:cs="宋体"/>
          <w:b/>
          <w:bCs/>
          <w:color w:val="auto"/>
          <w:sz w:val="32"/>
          <w:szCs w:val="32"/>
          <w:highlight w:val="none"/>
        </w:rPr>
        <w:t>第六章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合同授予</w:t>
      </w:r>
    </w:p>
    <w:p>
      <w:pPr>
        <w:snapToGrid w:val="0"/>
        <w:spacing w:line="360" w:lineRule="auto"/>
        <w:ind w:firstLine="560" w:firstLineChars="200"/>
        <w:rPr>
          <w:rFonts w:ascii="宋体" w:hAnsi="宋体" w:cs="宋体"/>
          <w:color w:val="auto"/>
          <w:sz w:val="28"/>
          <w:szCs w:val="28"/>
          <w:highlight w:val="none"/>
        </w:rPr>
      </w:pPr>
    </w:p>
    <w:p>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、比选人将把合同授予中选人；在授予前，仍需进行资格审查。</w:t>
      </w:r>
      <w:r>
        <w:rPr>
          <w:rFonts w:ascii="宋体" w:hAnsi="宋体" w:cs="宋体"/>
          <w:color w:val="auto"/>
          <w:sz w:val="24"/>
          <w:szCs w:val="24"/>
          <w:highlight w:val="none"/>
        </w:rPr>
        <w:t xml:space="preserve"> </w:t>
      </w:r>
    </w:p>
    <w:p>
      <w:pPr>
        <w:snapToGrid w:val="0"/>
        <w:spacing w:line="360" w:lineRule="auto"/>
        <w:rPr>
          <w:rFonts w:ascii="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rPr>
        <w:t>、中选人确定后，比选将通知中选人，并将中选结果口头或电话通知所有未中选的参选人。</w:t>
      </w:r>
    </w:p>
    <w:p>
      <w:pPr>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、中选通知对比选人和参选人具有法律效力。</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需在比选人通知中选后10个工作日内与比选人签订合同。若因</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原因未在规定的时间和地点与比选人签署合同，比选人有权单方取消</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的资格。同时，由此给比选人造成的损失，比选人有权追究</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的全部责任。</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中选人因不可抗力不能</w:t>
      </w:r>
      <w:r>
        <w:rPr>
          <w:rFonts w:hint="eastAsia" w:ascii="宋体" w:hAnsi="宋体" w:cs="宋体"/>
          <w:color w:val="auto"/>
          <w:sz w:val="24"/>
          <w:szCs w:val="24"/>
          <w:highlight w:val="none"/>
          <w:lang w:eastAsia="zh-CN"/>
        </w:rPr>
        <w:t>签订</w:t>
      </w:r>
      <w:r>
        <w:rPr>
          <w:rFonts w:hint="eastAsia" w:ascii="宋体" w:hAnsi="宋体" w:cs="宋体"/>
          <w:color w:val="auto"/>
          <w:sz w:val="24"/>
          <w:szCs w:val="24"/>
          <w:highlight w:val="none"/>
        </w:rPr>
        <w:t>合同的，比选人可以与排位在中选人之后第一位的候选人签订合同，以此类推。</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、中选人必须履行中选价格，执行合同过程中不得提升价格，如出现上述情况，将取消参选人三年内在比选人的业务中的参选资格，由此给比选人造成的损失，比选人有权追究</w:t>
      </w:r>
      <w:r>
        <w:rPr>
          <w:rFonts w:hint="eastAsia" w:ascii="宋体" w:hAnsi="宋体"/>
          <w:color w:val="auto"/>
          <w:sz w:val="24"/>
          <w:szCs w:val="24"/>
          <w:highlight w:val="none"/>
          <w:lang w:eastAsia="zh-CN"/>
        </w:rPr>
        <w:t>中选人</w:t>
      </w:r>
      <w:r>
        <w:rPr>
          <w:rFonts w:hint="eastAsia" w:ascii="宋体" w:hAnsi="宋体"/>
          <w:color w:val="auto"/>
          <w:sz w:val="24"/>
          <w:szCs w:val="24"/>
          <w:highlight w:val="none"/>
        </w:rPr>
        <w:t>的全部责任。</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ascii="宋体" w:hAnsi="宋体"/>
          <w:color w:val="auto"/>
          <w:sz w:val="24"/>
          <w:szCs w:val="24"/>
          <w:highlight w:val="none"/>
        </w:rPr>
        <w:t>中选人承诺并保证其提供的产品不侵犯任何第三方的知识产权和其他合法权益。如有</w:t>
      </w:r>
      <w:r>
        <w:rPr>
          <w:rFonts w:hint="eastAsia" w:ascii="宋体" w:hAnsi="宋体"/>
          <w:color w:val="auto"/>
          <w:sz w:val="24"/>
          <w:szCs w:val="24"/>
          <w:highlight w:val="none"/>
        </w:rPr>
        <w:t>涉及</w:t>
      </w:r>
      <w:r>
        <w:rPr>
          <w:rFonts w:ascii="宋体" w:hAnsi="宋体"/>
          <w:color w:val="auto"/>
          <w:sz w:val="24"/>
          <w:szCs w:val="24"/>
          <w:highlight w:val="none"/>
        </w:rPr>
        <w:t>到侵犯第三方的知识产权的，中选人应及时</w:t>
      </w:r>
      <w:r>
        <w:rPr>
          <w:rFonts w:hint="eastAsia" w:ascii="宋体" w:hAnsi="宋体"/>
          <w:color w:val="auto"/>
          <w:sz w:val="24"/>
          <w:szCs w:val="24"/>
          <w:highlight w:val="none"/>
        </w:rPr>
        <w:t>告知</w:t>
      </w:r>
      <w:r>
        <w:rPr>
          <w:rFonts w:ascii="宋体" w:hAnsi="宋体"/>
          <w:color w:val="auto"/>
          <w:sz w:val="24"/>
          <w:szCs w:val="24"/>
          <w:highlight w:val="none"/>
        </w:rPr>
        <w:t>比选人并采取避免侵权的措施。凡</w:t>
      </w:r>
      <w:r>
        <w:rPr>
          <w:rFonts w:hint="eastAsia" w:ascii="宋体" w:hAnsi="宋体"/>
          <w:color w:val="auto"/>
          <w:sz w:val="24"/>
          <w:szCs w:val="24"/>
          <w:highlight w:val="none"/>
        </w:rPr>
        <w:t>因</w:t>
      </w:r>
      <w:r>
        <w:rPr>
          <w:rFonts w:ascii="宋体" w:hAnsi="宋体"/>
          <w:color w:val="auto"/>
          <w:sz w:val="24"/>
          <w:szCs w:val="24"/>
          <w:highlight w:val="none"/>
        </w:rPr>
        <w:t>中选人原因导致</w:t>
      </w:r>
      <w:r>
        <w:rPr>
          <w:rFonts w:hint="eastAsia" w:ascii="宋体" w:hAnsi="宋体"/>
          <w:color w:val="auto"/>
          <w:sz w:val="24"/>
          <w:szCs w:val="24"/>
          <w:highlight w:val="none"/>
        </w:rPr>
        <w:t>其</w:t>
      </w:r>
      <w:r>
        <w:rPr>
          <w:rFonts w:ascii="宋体" w:hAnsi="宋体"/>
          <w:color w:val="auto"/>
          <w:sz w:val="24"/>
          <w:szCs w:val="24"/>
          <w:highlight w:val="none"/>
        </w:rPr>
        <w:t>所提供的产品侵犯第三方知识产权的，中选人应承担全部责任，</w:t>
      </w:r>
      <w:r>
        <w:rPr>
          <w:rFonts w:hint="eastAsia" w:ascii="宋体" w:hAnsi="宋体"/>
          <w:color w:val="auto"/>
          <w:sz w:val="24"/>
          <w:szCs w:val="24"/>
          <w:highlight w:val="none"/>
        </w:rPr>
        <w:t>比选人</w:t>
      </w:r>
      <w:r>
        <w:rPr>
          <w:rFonts w:ascii="宋体" w:hAnsi="宋体"/>
          <w:color w:val="auto"/>
          <w:sz w:val="24"/>
          <w:szCs w:val="24"/>
          <w:highlight w:val="none"/>
        </w:rPr>
        <w:t>因此遭受损失的，中选人应当</w:t>
      </w:r>
      <w:r>
        <w:rPr>
          <w:rFonts w:hint="eastAsia" w:ascii="宋体" w:hAnsi="宋体"/>
          <w:color w:val="auto"/>
          <w:sz w:val="24"/>
          <w:szCs w:val="24"/>
          <w:highlight w:val="none"/>
        </w:rPr>
        <w:t>予以</w:t>
      </w:r>
      <w:r>
        <w:rPr>
          <w:rFonts w:ascii="宋体" w:hAnsi="宋体"/>
          <w:color w:val="auto"/>
          <w:sz w:val="24"/>
          <w:szCs w:val="24"/>
          <w:highlight w:val="none"/>
        </w:rPr>
        <w:t>赔偿</w:t>
      </w:r>
      <w:r>
        <w:rPr>
          <w:rFonts w:hint="eastAsia" w:ascii="宋体" w:hAnsi="宋体"/>
          <w:color w:val="auto"/>
          <w:sz w:val="24"/>
          <w:szCs w:val="24"/>
          <w:highlight w:val="none"/>
        </w:rPr>
        <w:t>。</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、比选文件与合同附件作为签定合同的条款，比选文件合同条款中没有规定的内容，比选人、参选人认为有必要进行补充，可另行商定解决。 </w:t>
      </w:r>
    </w:p>
    <w:p>
      <w:pPr>
        <w:snapToGrid w:val="0"/>
        <w:spacing w:line="360" w:lineRule="auto"/>
        <w:ind w:firstLine="480" w:firstLineChars="200"/>
        <w:rPr>
          <w:rFonts w:hint="eastAsia" w:ascii="宋体" w:hAnsi="宋体"/>
          <w:color w:val="auto"/>
          <w:sz w:val="24"/>
          <w:szCs w:val="24"/>
          <w:highlight w:val="none"/>
        </w:rPr>
      </w:pPr>
    </w:p>
    <w:p>
      <w:pPr>
        <w:tabs>
          <w:tab w:val="left" w:pos="1260"/>
          <w:tab w:val="left" w:pos="1800"/>
        </w:tabs>
        <w:spacing w:line="360" w:lineRule="auto"/>
        <w:jc w:val="center"/>
        <w:rPr>
          <w:rFonts w:ascii="宋体"/>
          <w:b/>
          <w:bCs/>
          <w:color w:val="auto"/>
          <w:sz w:val="32"/>
          <w:szCs w:val="32"/>
          <w:highlight w:val="none"/>
        </w:rPr>
      </w:pPr>
      <w:r>
        <w:rPr>
          <w:rFonts w:hint="eastAsia" w:ascii="宋体" w:hAnsi="宋体" w:cs="宋体"/>
          <w:b/>
          <w:bCs/>
          <w:color w:val="auto"/>
          <w:sz w:val="32"/>
          <w:szCs w:val="32"/>
          <w:highlight w:val="none"/>
        </w:rPr>
        <w:t>第七章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中选后相关履约要求</w:t>
      </w:r>
    </w:p>
    <w:p>
      <w:pPr>
        <w:snapToGrid w:val="0"/>
        <w:spacing w:line="360" w:lineRule="auto"/>
        <w:ind w:firstLine="560" w:firstLineChars="200"/>
        <w:rPr>
          <w:rFonts w:ascii="宋体" w:hAnsi="宋体" w:cs="宋体"/>
          <w:color w:val="auto"/>
          <w:sz w:val="28"/>
          <w:szCs w:val="28"/>
          <w:highlight w:val="none"/>
        </w:rPr>
      </w:pPr>
    </w:p>
    <w:p>
      <w:pPr>
        <w:snapToGri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应服从比选的管理规定，不得影响甲方的生产运行，如有违反，取消</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的继续履行合同的资格，同时，由此给比选人造成的损失，比选人有权追究</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的全部责任。</w:t>
      </w:r>
    </w:p>
    <w:p>
      <w:pPr>
        <w:spacing w:line="360" w:lineRule="auto"/>
        <w:ind w:firstLine="560"/>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、中选人必须严格执行</w:t>
      </w:r>
      <w:r>
        <w:rPr>
          <w:rFonts w:hint="eastAsia" w:ascii="宋体" w:hAnsi="宋体"/>
          <w:color w:val="auto"/>
          <w:sz w:val="24"/>
          <w:szCs w:val="24"/>
          <w:highlight w:val="none"/>
        </w:rPr>
        <w:t>《2020-2021年办公计算机及配件采购项目框架协议》</w:t>
      </w:r>
      <w:r>
        <w:rPr>
          <w:rFonts w:hint="eastAsia" w:ascii="宋体" w:hAnsi="宋体" w:cs="宋体"/>
          <w:color w:val="auto"/>
          <w:sz w:val="24"/>
          <w:szCs w:val="24"/>
          <w:highlight w:val="none"/>
        </w:rPr>
        <w:t>（详见附件一）、《承诺函》（详见附件四）的规定。</w:t>
      </w:r>
    </w:p>
    <w:p>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、中选人需遵守甲方的各项管理规章制度。如触犯相关条例者则按福建省石油化学工业设计院相应处罚条款进行处罚。</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4、严禁</w:t>
      </w:r>
      <w:r>
        <w:rPr>
          <w:rFonts w:hint="eastAsia" w:ascii="宋体" w:hAnsi="宋体"/>
          <w:color w:val="auto"/>
          <w:sz w:val="24"/>
          <w:szCs w:val="24"/>
          <w:highlight w:val="none"/>
          <w:lang w:eastAsia="zh-CN"/>
        </w:rPr>
        <w:t>中选人</w:t>
      </w:r>
      <w:r>
        <w:rPr>
          <w:rFonts w:hint="eastAsia" w:ascii="宋体" w:hAnsi="宋体"/>
          <w:color w:val="auto"/>
          <w:sz w:val="24"/>
          <w:szCs w:val="24"/>
          <w:highlight w:val="none"/>
        </w:rPr>
        <w:t>任何形式的业务转包、分包，一经发现甲方将取消乙方的合同资格。</w:t>
      </w:r>
    </w:p>
    <w:p>
      <w:pPr>
        <w:snapToGrid w:val="0"/>
        <w:spacing w:line="360" w:lineRule="auto"/>
        <w:rPr>
          <w:rFonts w:hint="eastAsia" w:ascii="宋体" w:hAnsi="宋体"/>
          <w:color w:val="auto"/>
          <w:sz w:val="24"/>
          <w:szCs w:val="24"/>
          <w:highlight w:val="none"/>
        </w:rPr>
      </w:pPr>
    </w:p>
    <w:p>
      <w:pPr>
        <w:tabs>
          <w:tab w:val="left" w:pos="1260"/>
          <w:tab w:val="left" w:pos="1800"/>
        </w:tabs>
        <w:spacing w:line="360" w:lineRule="auto"/>
        <w:jc w:val="center"/>
        <w:rPr>
          <w:rFonts w:ascii="宋体"/>
          <w:color w:val="auto"/>
          <w:sz w:val="28"/>
          <w:szCs w:val="28"/>
          <w:highlight w:val="none"/>
        </w:rPr>
      </w:pPr>
      <w:r>
        <w:rPr>
          <w:rFonts w:hint="eastAsia" w:ascii="宋体" w:hAnsi="宋体" w:cs="宋体"/>
          <w:b/>
          <w:bCs/>
          <w:color w:val="auto"/>
          <w:sz w:val="32"/>
          <w:szCs w:val="32"/>
          <w:highlight w:val="none"/>
        </w:rPr>
        <w:t>第八章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其它</w:t>
      </w:r>
    </w:p>
    <w:p>
      <w:pPr>
        <w:snapToGrid w:val="0"/>
        <w:spacing w:line="360" w:lineRule="auto"/>
        <w:ind w:firstLine="480" w:firstLineChars="200"/>
        <w:rPr>
          <w:rFonts w:ascii="宋体" w:hAnsi="宋体" w:cs="宋体"/>
          <w:color w:val="auto"/>
          <w:sz w:val="24"/>
          <w:szCs w:val="24"/>
          <w:highlight w:val="none"/>
        </w:rPr>
      </w:pPr>
    </w:p>
    <w:p>
      <w:pPr>
        <w:snapToGri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、参选人的参选文件无论其是否中选，均不退回。</w:t>
      </w:r>
    </w:p>
    <w:p>
      <w:pPr>
        <w:snapToGri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、比选人郑重承诺：</w:t>
      </w:r>
      <w:r>
        <w:rPr>
          <w:rFonts w:hint="eastAsia" w:ascii="宋体" w:hAnsi="宋体" w:cs="宋体"/>
          <w:color w:val="auto"/>
          <w:sz w:val="24"/>
          <w:szCs w:val="24"/>
          <w:highlight w:val="none"/>
          <w:lang w:eastAsia="zh-CN"/>
        </w:rPr>
        <w:t>除法律法规另有规定外，</w:t>
      </w:r>
      <w:r>
        <w:rPr>
          <w:rFonts w:hint="eastAsia" w:ascii="宋体" w:hAnsi="宋体" w:cs="宋体"/>
          <w:color w:val="auto"/>
          <w:sz w:val="24"/>
          <w:szCs w:val="24"/>
          <w:highlight w:val="none"/>
        </w:rPr>
        <w:t>参选人所提交的参选文件及相关资料不向第三方泄露。</w:t>
      </w:r>
    </w:p>
    <w:p>
      <w:pPr>
        <w:snapToGrid w:val="0"/>
        <w:spacing w:line="360" w:lineRule="auto"/>
        <w:ind w:firstLine="480" w:firstLineChars="200"/>
        <w:rPr>
          <w:rFonts w:ascii="宋体" w:hAnsi="宋体" w:cs="宋体"/>
          <w:color w:val="auto"/>
          <w:sz w:val="28"/>
          <w:szCs w:val="28"/>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、本比选文件的解释权归</w:t>
      </w:r>
      <w:r>
        <w:rPr>
          <w:rFonts w:hint="eastAsia" w:ascii="宋体" w:hAnsi="宋体"/>
          <w:color w:val="auto"/>
          <w:sz w:val="24"/>
          <w:szCs w:val="24"/>
          <w:highlight w:val="none"/>
        </w:rPr>
        <w:t>福建省石油化学工业设计院</w:t>
      </w:r>
      <w:r>
        <w:rPr>
          <w:rFonts w:hint="eastAsia" w:ascii="宋体" w:hAnsi="宋体" w:cs="宋体"/>
          <w:color w:val="auto"/>
          <w:sz w:val="24"/>
          <w:szCs w:val="24"/>
          <w:highlight w:val="none"/>
        </w:rPr>
        <w:t>。</w:t>
      </w:r>
      <w:r>
        <w:rPr>
          <w:rFonts w:ascii="宋体" w:hAnsi="宋体" w:cs="宋体"/>
          <w:color w:val="auto"/>
          <w:sz w:val="28"/>
          <w:szCs w:val="28"/>
          <w:highlight w:val="none"/>
        </w:rPr>
        <w:br w:type="page"/>
      </w:r>
    </w:p>
    <w:p>
      <w:pPr>
        <w:spacing w:line="120" w:lineRule="auto"/>
        <w:jc w:val="center"/>
        <w:rPr>
          <w:b/>
          <w:color w:val="auto"/>
          <w:sz w:val="36"/>
          <w:szCs w:val="36"/>
          <w:highlight w:val="none"/>
        </w:rPr>
      </w:pPr>
      <w:r>
        <w:rPr>
          <w:rFonts w:hint="eastAsia" w:ascii="宋体" w:hAnsi="宋体" w:cs="宋体"/>
          <w:color w:val="auto"/>
          <w:sz w:val="32"/>
          <w:szCs w:val="32"/>
          <w:highlight w:val="none"/>
        </w:rPr>
        <w:t>附件一：2020-2021年办公计算机及配件采购框架协议</w:t>
      </w:r>
    </w:p>
    <w:p>
      <w:pPr>
        <w:spacing w:line="360" w:lineRule="auto"/>
        <w:ind w:firstLine="360" w:firstLineChars="150"/>
        <w:jc w:val="center"/>
        <w:rPr>
          <w:b/>
          <w:color w:val="auto"/>
          <w:sz w:val="36"/>
          <w:szCs w:val="36"/>
          <w:highlight w:val="none"/>
        </w:rPr>
      </w:pPr>
      <w:r>
        <w:rPr>
          <w:rFonts w:hint="eastAsia"/>
          <w:color w:val="auto"/>
          <w:sz w:val="24"/>
          <w:highlight w:val="none"/>
        </w:rPr>
        <w:t xml:space="preserve">                                       </w:t>
      </w:r>
    </w:p>
    <w:p>
      <w:pPr>
        <w:spacing w:line="360" w:lineRule="auto"/>
        <w:rPr>
          <w:color w:val="auto"/>
          <w:sz w:val="24"/>
          <w:highlight w:val="none"/>
        </w:rPr>
      </w:pPr>
      <w:r>
        <w:rPr>
          <w:rFonts w:hint="eastAsia"/>
          <w:color w:val="auto"/>
          <w:sz w:val="24"/>
          <w:highlight w:val="none"/>
        </w:rPr>
        <w:t>合同编号：</w:t>
      </w:r>
    </w:p>
    <w:p>
      <w:pPr>
        <w:spacing w:line="360" w:lineRule="auto"/>
        <w:rPr>
          <w:rFonts w:hint="eastAsia" w:eastAsia="宋体"/>
          <w:color w:val="auto"/>
          <w:sz w:val="24"/>
          <w:highlight w:val="none"/>
          <w:lang w:eastAsia="zh-CN"/>
        </w:rPr>
      </w:pPr>
      <w:r>
        <w:rPr>
          <w:rFonts w:hint="eastAsia"/>
          <w:color w:val="auto"/>
          <w:sz w:val="24"/>
          <w:highlight w:val="none"/>
        </w:rPr>
        <w:t>甲方：</w:t>
      </w:r>
      <w:r>
        <w:rPr>
          <w:rFonts w:hint="eastAsia" w:ascii="宋体" w:hAnsi="宋体"/>
          <w:color w:val="auto"/>
          <w:sz w:val="24"/>
          <w:highlight w:val="none"/>
        </w:rPr>
        <w:t>福建省石油化学工业设计院</w:t>
      </w:r>
      <w:r>
        <w:rPr>
          <w:rFonts w:hint="eastAsia"/>
          <w:color w:val="auto"/>
          <w:sz w:val="24"/>
          <w:highlight w:val="none"/>
        </w:rPr>
        <w:t xml:space="preserve">                 签订地点：</w:t>
      </w:r>
      <w:r>
        <w:rPr>
          <w:rFonts w:hint="eastAsia"/>
          <w:color w:val="auto"/>
          <w:sz w:val="24"/>
          <w:highlight w:val="none"/>
          <w:lang w:eastAsia="zh-CN"/>
        </w:rPr>
        <w:t>福州</w:t>
      </w:r>
    </w:p>
    <w:p>
      <w:pPr>
        <w:spacing w:line="360" w:lineRule="auto"/>
        <w:rPr>
          <w:color w:val="auto"/>
          <w:sz w:val="24"/>
          <w:highlight w:val="none"/>
        </w:rPr>
      </w:pPr>
      <w:r>
        <w:rPr>
          <w:rFonts w:hint="eastAsia"/>
          <w:color w:val="auto"/>
          <w:sz w:val="24"/>
          <w:highlight w:val="none"/>
        </w:rPr>
        <w:t>乙方：                                         签订日期：   年  月  日</w:t>
      </w:r>
    </w:p>
    <w:p>
      <w:pPr>
        <w:spacing w:line="360" w:lineRule="auto"/>
        <w:ind w:firstLine="480" w:firstLineChars="200"/>
        <w:rPr>
          <w:color w:val="auto"/>
          <w:sz w:val="24"/>
          <w:highlight w:val="none"/>
        </w:rPr>
      </w:pPr>
      <w:r>
        <w:rPr>
          <w:rFonts w:hint="eastAsia"/>
          <w:color w:val="auto"/>
          <w:sz w:val="24"/>
          <w:highlight w:val="none"/>
        </w:rPr>
        <w:t>根据甲方采购项目需求，经双方友好协商，就甲方向乙方采购本合同第1条所列产品相关事宜，依据《中华人民共和国合同法》及其他相关法律法规规定，双方签订如下合同：</w:t>
      </w:r>
    </w:p>
    <w:p>
      <w:pPr>
        <w:numPr>
          <w:ilvl w:val="0"/>
          <w:numId w:val="7"/>
        </w:numPr>
        <w:spacing w:line="360" w:lineRule="auto"/>
        <w:rPr>
          <w:color w:val="auto"/>
          <w:sz w:val="24"/>
          <w:highlight w:val="none"/>
        </w:rPr>
      </w:pPr>
      <w:r>
        <w:rPr>
          <w:rFonts w:hint="eastAsia"/>
          <w:color w:val="auto"/>
          <w:sz w:val="24"/>
          <w:highlight w:val="none"/>
        </w:rPr>
        <w:t>合同标的和合同价格</w:t>
      </w:r>
    </w:p>
    <w:tbl>
      <w:tblPr>
        <w:tblStyle w:val="20"/>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410"/>
        <w:gridCol w:w="120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00" w:type="dxa"/>
          </w:tcPr>
          <w:p>
            <w:pPr>
              <w:spacing w:line="360" w:lineRule="auto"/>
              <w:jc w:val="center"/>
              <w:rPr>
                <w:color w:val="auto"/>
                <w:sz w:val="24"/>
                <w:highlight w:val="none"/>
              </w:rPr>
            </w:pPr>
            <w:r>
              <w:rPr>
                <w:rFonts w:hint="eastAsia"/>
                <w:color w:val="auto"/>
                <w:sz w:val="24"/>
                <w:highlight w:val="none"/>
              </w:rPr>
              <w:t>产品名称</w:t>
            </w:r>
          </w:p>
        </w:tc>
        <w:tc>
          <w:tcPr>
            <w:tcW w:w="4410" w:type="dxa"/>
          </w:tcPr>
          <w:p>
            <w:pPr>
              <w:spacing w:line="360" w:lineRule="auto"/>
              <w:jc w:val="center"/>
              <w:rPr>
                <w:color w:val="auto"/>
                <w:sz w:val="24"/>
                <w:highlight w:val="none"/>
              </w:rPr>
            </w:pPr>
            <w:r>
              <w:rPr>
                <w:rFonts w:hint="eastAsia" w:ascii="宋体" w:hAnsi="宋体"/>
                <w:color w:val="auto"/>
                <w:sz w:val="24"/>
                <w:highlight w:val="none"/>
              </w:rPr>
              <w:t>规格型号</w:t>
            </w:r>
          </w:p>
        </w:tc>
        <w:tc>
          <w:tcPr>
            <w:tcW w:w="1200" w:type="dxa"/>
          </w:tcPr>
          <w:p>
            <w:pPr>
              <w:spacing w:line="360" w:lineRule="auto"/>
              <w:jc w:val="center"/>
              <w:rPr>
                <w:color w:val="auto"/>
                <w:sz w:val="24"/>
                <w:highlight w:val="none"/>
              </w:rPr>
            </w:pPr>
            <w:r>
              <w:rPr>
                <w:rFonts w:hint="eastAsia"/>
                <w:color w:val="auto"/>
                <w:sz w:val="24"/>
                <w:highlight w:val="none"/>
              </w:rPr>
              <w:t>协议价格</w:t>
            </w:r>
          </w:p>
        </w:tc>
        <w:tc>
          <w:tcPr>
            <w:tcW w:w="1515" w:type="dxa"/>
          </w:tcPr>
          <w:p>
            <w:pPr>
              <w:spacing w:line="360" w:lineRule="auto"/>
              <w:jc w:val="center"/>
              <w:rPr>
                <w:rFonts w:hint="eastAsia" w:eastAsia="宋体"/>
                <w:color w:val="auto"/>
                <w:sz w:val="24"/>
                <w:highlight w:val="none"/>
                <w:lang w:eastAsia="zh-CN"/>
              </w:rPr>
            </w:pPr>
            <w:r>
              <w:rPr>
                <w:rFonts w:hint="eastAsia"/>
                <w:color w:val="auto"/>
                <w:sz w:val="24"/>
                <w:highlight w:val="none"/>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800" w:type="dxa"/>
            <w:vAlign w:val="center"/>
          </w:tcPr>
          <w:p>
            <w:pPr>
              <w:spacing w:line="360" w:lineRule="auto"/>
              <w:ind w:firstLine="480" w:firstLineChars="200"/>
              <w:jc w:val="center"/>
              <w:rPr>
                <w:rFonts w:ascii="宋体" w:hAnsi="宋体"/>
                <w:color w:val="auto"/>
                <w:sz w:val="24"/>
                <w:highlight w:val="none"/>
              </w:rPr>
            </w:pPr>
          </w:p>
        </w:tc>
        <w:tc>
          <w:tcPr>
            <w:tcW w:w="4410" w:type="dxa"/>
          </w:tcPr>
          <w:p>
            <w:pPr>
              <w:spacing w:line="360" w:lineRule="auto"/>
              <w:jc w:val="left"/>
              <w:rPr>
                <w:rFonts w:ascii="宋体" w:hAnsi="宋体"/>
                <w:color w:val="auto"/>
                <w:sz w:val="24"/>
                <w:highlight w:val="none"/>
              </w:rPr>
            </w:pPr>
          </w:p>
        </w:tc>
        <w:tc>
          <w:tcPr>
            <w:tcW w:w="1200" w:type="dxa"/>
            <w:vAlign w:val="center"/>
          </w:tcPr>
          <w:p>
            <w:pPr>
              <w:spacing w:line="360" w:lineRule="auto"/>
              <w:jc w:val="center"/>
              <w:rPr>
                <w:color w:val="auto"/>
                <w:sz w:val="24"/>
                <w:highlight w:val="none"/>
              </w:rPr>
            </w:pPr>
          </w:p>
        </w:tc>
        <w:tc>
          <w:tcPr>
            <w:tcW w:w="1515" w:type="dxa"/>
            <w:vAlign w:val="center"/>
          </w:tcPr>
          <w:p>
            <w:pPr>
              <w:spacing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800" w:type="dxa"/>
            <w:vAlign w:val="center"/>
          </w:tcPr>
          <w:p>
            <w:pPr>
              <w:spacing w:line="360" w:lineRule="auto"/>
              <w:jc w:val="left"/>
              <w:rPr>
                <w:rFonts w:ascii="宋体" w:hAnsi="宋体"/>
                <w:color w:val="auto"/>
                <w:sz w:val="24"/>
                <w:highlight w:val="none"/>
              </w:rPr>
            </w:pPr>
            <w:r>
              <w:rPr>
                <w:rFonts w:hint="eastAsia" w:ascii="宋体" w:hAnsi="宋体" w:cs="宋体"/>
                <w:color w:val="auto"/>
                <w:sz w:val="24"/>
                <w:szCs w:val="24"/>
                <w:highlight w:val="none"/>
              </w:rPr>
              <w:t>协议金额合计</w:t>
            </w:r>
          </w:p>
        </w:tc>
        <w:tc>
          <w:tcPr>
            <w:tcW w:w="7125" w:type="dxa"/>
            <w:gridSpan w:val="3"/>
          </w:tcPr>
          <w:p>
            <w:pPr>
              <w:spacing w:line="360" w:lineRule="auto"/>
              <w:jc w:val="left"/>
              <w:rPr>
                <w:color w:val="auto"/>
                <w:sz w:val="24"/>
                <w:highlight w:val="none"/>
              </w:rPr>
            </w:pPr>
            <w:r>
              <w:rPr>
                <w:rFonts w:hint="eastAsia" w:ascii="宋体" w:hAnsi="宋体"/>
                <w:color w:val="auto"/>
                <w:sz w:val="24"/>
                <w:highlight w:val="none"/>
              </w:rPr>
              <w:t>（大写）                                      （小写）</w:t>
            </w:r>
            <w:r>
              <w:rPr>
                <w:rFonts w:hint="eastAsia"/>
                <w:color w:val="auto"/>
                <w:sz w:val="24"/>
                <w:highlight w:val="none"/>
              </w:rPr>
              <w:t>￥元</w:t>
            </w:r>
          </w:p>
        </w:tc>
      </w:tr>
    </w:tbl>
    <w:p>
      <w:pPr>
        <w:spacing w:line="360" w:lineRule="auto"/>
        <w:ind w:firstLine="480" w:firstLineChars="200"/>
        <w:rPr>
          <w:color w:val="auto"/>
          <w:sz w:val="24"/>
          <w:szCs w:val="22"/>
          <w:highlight w:val="none"/>
        </w:rPr>
      </w:pPr>
      <w:r>
        <w:rPr>
          <w:rFonts w:hint="eastAsia"/>
          <w:color w:val="auto"/>
          <w:sz w:val="24"/>
          <w:highlight w:val="none"/>
        </w:rPr>
        <w:t>上述金额为含税</w:t>
      </w:r>
      <w:r>
        <w:rPr>
          <w:rFonts w:hint="eastAsia"/>
          <w:color w:val="auto"/>
          <w:sz w:val="24"/>
          <w:highlight w:val="none"/>
          <w:lang w:eastAsia="zh-CN"/>
        </w:rPr>
        <w:t>（税率</w:t>
      </w:r>
      <w:r>
        <w:rPr>
          <w:rFonts w:hint="eastAsia"/>
          <w:color w:val="auto"/>
          <w:sz w:val="24"/>
          <w:highlight w:val="none"/>
          <w:u w:val="single"/>
          <w:lang w:val="en-US" w:eastAsia="zh-CN"/>
        </w:rPr>
        <w:t xml:space="preserve">     </w:t>
      </w:r>
      <w:r>
        <w:rPr>
          <w:rFonts w:hint="eastAsia"/>
          <w:color w:val="auto"/>
          <w:sz w:val="24"/>
          <w:highlight w:val="none"/>
          <w:lang w:eastAsia="zh-CN"/>
        </w:rPr>
        <w:t>）</w:t>
      </w:r>
      <w:r>
        <w:rPr>
          <w:rFonts w:hint="eastAsia"/>
          <w:color w:val="auto"/>
          <w:sz w:val="24"/>
          <w:highlight w:val="none"/>
        </w:rPr>
        <w:t>价格，包含了乙方提供本协议约定的产品及相应服务（如有）的全部价格，并负责运输、安装、调试、验收、培训、售后服务，能够满足甲方自</w:t>
      </w:r>
      <w:r>
        <w:rPr>
          <w:color w:val="auto"/>
          <w:sz w:val="24"/>
          <w:highlight w:val="none"/>
        </w:rPr>
        <w:t>主</w:t>
      </w:r>
      <w:r>
        <w:rPr>
          <w:rFonts w:hint="eastAsia"/>
          <w:color w:val="auto"/>
          <w:sz w:val="24"/>
          <w:highlight w:val="none"/>
        </w:rPr>
        <w:t>比</w:t>
      </w:r>
      <w:r>
        <w:rPr>
          <w:color w:val="auto"/>
          <w:sz w:val="24"/>
          <w:highlight w:val="none"/>
        </w:rPr>
        <w:t>选</w:t>
      </w:r>
      <w:r>
        <w:rPr>
          <w:rFonts w:hint="eastAsia"/>
          <w:color w:val="auto"/>
          <w:sz w:val="24"/>
          <w:highlight w:val="none"/>
        </w:rPr>
        <w:t>文件的要求的全部价格，除非另有约定，甲方不再承担其他费用。在合同交</w:t>
      </w:r>
      <w:r>
        <w:rPr>
          <w:rFonts w:hint="eastAsia"/>
          <w:color w:val="auto"/>
          <w:sz w:val="24"/>
          <w:szCs w:val="22"/>
          <w:highlight w:val="none"/>
        </w:rPr>
        <w:t>货期内</w:t>
      </w:r>
      <w:r>
        <w:rPr>
          <w:rFonts w:hint="eastAsia"/>
          <w:color w:val="auto"/>
          <w:sz w:val="24"/>
          <w:highlight w:val="none"/>
        </w:rPr>
        <w:t>本合同总价</w:t>
      </w:r>
      <w:r>
        <w:rPr>
          <w:rFonts w:hint="eastAsia"/>
          <w:color w:val="auto"/>
          <w:sz w:val="24"/>
          <w:szCs w:val="22"/>
          <w:highlight w:val="none"/>
        </w:rPr>
        <w:t>不得提升。</w:t>
      </w:r>
    </w:p>
    <w:p>
      <w:pPr>
        <w:spacing w:line="360" w:lineRule="auto"/>
        <w:ind w:firstLine="600" w:firstLineChars="250"/>
        <w:rPr>
          <w:color w:val="auto"/>
          <w:sz w:val="24"/>
          <w:highlight w:val="none"/>
        </w:rPr>
      </w:pPr>
      <w:r>
        <w:rPr>
          <w:rFonts w:hint="eastAsia"/>
          <w:color w:val="auto"/>
          <w:sz w:val="24"/>
          <w:highlight w:val="none"/>
        </w:rPr>
        <w:t>具体采购数量由甲方与乙方签订正式采购合同时另行确定。甲方有权增加或减少采购产品的数量，甲方对采购的产品可以适当调整，乙方所提供的价格、技术服务等方面的优惠条件保持不变，乙方不得有异议。</w:t>
      </w:r>
    </w:p>
    <w:p>
      <w:pPr>
        <w:spacing w:line="360" w:lineRule="auto"/>
        <w:ind w:firstLine="600" w:firstLineChars="250"/>
        <w:rPr>
          <w:color w:val="auto"/>
          <w:sz w:val="24"/>
          <w:highlight w:val="none"/>
        </w:rPr>
      </w:pPr>
      <w:r>
        <w:rPr>
          <w:rFonts w:hint="eastAsia"/>
          <w:color w:val="auto"/>
          <w:sz w:val="24"/>
          <w:highlight w:val="none"/>
        </w:rPr>
        <w:t>甲方再次采购相同产品时以不高于本次报价单价的优惠条件购买。采购与本次报价产品同档次产品时享受不低于本次报价产品的优惠条件。甲方在后续软、硬件和部件采购时应享受不低于本次报价产品的优惠条件。</w:t>
      </w:r>
    </w:p>
    <w:p>
      <w:pPr>
        <w:spacing w:line="360" w:lineRule="auto"/>
        <w:ind w:firstLine="600" w:firstLineChars="250"/>
        <w:rPr>
          <w:color w:val="auto"/>
          <w:sz w:val="24"/>
          <w:highlight w:val="none"/>
        </w:rPr>
      </w:pPr>
      <w:r>
        <w:rPr>
          <w:rFonts w:hint="eastAsia"/>
          <w:color w:val="auto"/>
          <w:sz w:val="24"/>
          <w:highlight w:val="none"/>
        </w:rPr>
        <w:t>如因上游供货厂商或其它原因导致报价产品型号停产或价格变动，乙方仍须主动向甲方提供更新报价及相关说明，更新报价不得高于本次报价且产品配置不得低于本次报价产品的配置。</w:t>
      </w:r>
    </w:p>
    <w:p>
      <w:pPr>
        <w:spacing w:line="360" w:lineRule="auto"/>
        <w:ind w:firstLine="600" w:firstLineChars="250"/>
        <w:rPr>
          <w:color w:val="auto"/>
          <w:sz w:val="24"/>
          <w:highlight w:val="none"/>
        </w:rPr>
      </w:pPr>
      <w:r>
        <w:rPr>
          <w:rFonts w:hint="eastAsia" w:ascii="宋体" w:hAnsi="宋体" w:cs="宋体"/>
          <w:color w:val="auto"/>
          <w:sz w:val="24"/>
          <w:szCs w:val="24"/>
          <w:highlight w:val="none"/>
        </w:rPr>
        <w:t>甲方若有以上产品目录之外的单价低于500元（不含500元）的办公计算机及配件的需求可以向乙方采购，乙方参照本合同相关条款执行，乙方所售商品须明码标价，并以甲方下单日乙方门店当时段正常售价作为结算价格依据。</w:t>
      </w:r>
    </w:p>
    <w:p>
      <w:pPr>
        <w:spacing w:line="384" w:lineRule="auto"/>
        <w:rPr>
          <w:color w:val="auto"/>
          <w:sz w:val="24"/>
          <w:highlight w:val="none"/>
        </w:rPr>
      </w:pPr>
      <w:r>
        <w:rPr>
          <w:rFonts w:hint="eastAsia"/>
          <w:color w:val="auto"/>
          <w:sz w:val="24"/>
          <w:highlight w:val="none"/>
        </w:rPr>
        <w:t>2、交货：</w:t>
      </w:r>
    </w:p>
    <w:p>
      <w:pPr>
        <w:spacing w:line="384" w:lineRule="auto"/>
        <w:ind w:firstLine="360" w:firstLineChars="150"/>
        <w:rPr>
          <w:color w:val="auto"/>
          <w:sz w:val="24"/>
          <w:highlight w:val="none"/>
        </w:rPr>
      </w:pPr>
      <w:r>
        <w:rPr>
          <w:rFonts w:hint="eastAsia"/>
          <w:color w:val="auto"/>
          <w:sz w:val="24"/>
          <w:highlight w:val="none"/>
        </w:rPr>
        <w:t xml:space="preserve"> 2.1交货方式：现场交货。</w:t>
      </w:r>
    </w:p>
    <w:p>
      <w:pPr>
        <w:spacing w:line="384" w:lineRule="auto"/>
        <w:ind w:firstLine="480" w:firstLineChars="200"/>
        <w:rPr>
          <w:color w:val="auto"/>
          <w:sz w:val="24"/>
          <w:highlight w:val="none"/>
        </w:rPr>
      </w:pPr>
      <w:r>
        <w:rPr>
          <w:rFonts w:hint="eastAsia"/>
          <w:color w:val="auto"/>
          <w:sz w:val="24"/>
          <w:highlight w:val="none"/>
        </w:rPr>
        <w:t>2.2交货地点：运送到福建省福州市鼓楼区东大路117号福建省石油化学工业设计院机房（以甲方提供的送货清单和地址明细为准）。</w:t>
      </w:r>
    </w:p>
    <w:p>
      <w:pPr>
        <w:spacing w:line="384" w:lineRule="auto"/>
        <w:ind w:firstLine="480" w:firstLineChars="200"/>
        <w:rPr>
          <w:color w:val="auto"/>
          <w:sz w:val="24"/>
          <w:highlight w:val="none"/>
        </w:rPr>
      </w:pPr>
      <w:r>
        <w:rPr>
          <w:rFonts w:hint="eastAsia"/>
          <w:color w:val="auto"/>
          <w:sz w:val="24"/>
          <w:highlight w:val="none"/>
        </w:rPr>
        <w:t>2.3交货时间：本合同签订生效后十个工作日内，乙方将上述产品及相关材料（包括但不限于说明书、保修书等必要凭证）送至甲方处，相应运输费用由乙方自行负担。</w:t>
      </w:r>
    </w:p>
    <w:p>
      <w:pPr>
        <w:spacing w:line="384" w:lineRule="auto"/>
        <w:ind w:firstLine="480" w:firstLineChars="200"/>
        <w:rPr>
          <w:color w:val="auto"/>
          <w:sz w:val="24"/>
          <w:highlight w:val="none"/>
        </w:rPr>
      </w:pPr>
      <w:r>
        <w:rPr>
          <w:rFonts w:hint="eastAsia"/>
          <w:color w:val="auto"/>
          <w:sz w:val="24"/>
          <w:highlight w:val="none"/>
        </w:rPr>
        <w:t>2.4乙方提供产品安装及调试服务，并承担运输过程中发生的一切费用。在产品交付给甲方之前，相关的毁损、灭失等风险均由乙方自行承担。</w:t>
      </w:r>
    </w:p>
    <w:p>
      <w:pPr>
        <w:spacing w:line="384" w:lineRule="auto"/>
        <w:rPr>
          <w:rFonts w:hint="eastAsia" w:eastAsia="宋体"/>
          <w:color w:val="auto"/>
          <w:sz w:val="24"/>
          <w:highlight w:val="none"/>
          <w:lang w:eastAsia="zh-CN"/>
        </w:rPr>
      </w:pPr>
      <w:r>
        <w:rPr>
          <w:rFonts w:hint="eastAsia"/>
          <w:color w:val="auto"/>
          <w:sz w:val="24"/>
          <w:highlight w:val="none"/>
        </w:rPr>
        <w:t>3、付款方式与条件</w:t>
      </w:r>
    </w:p>
    <w:p>
      <w:pPr>
        <w:spacing w:line="384" w:lineRule="auto"/>
        <w:ind w:firstLine="480" w:firstLineChars="200"/>
        <w:rPr>
          <w:color w:val="auto"/>
          <w:sz w:val="24"/>
          <w:highlight w:val="none"/>
        </w:rPr>
      </w:pPr>
      <w:r>
        <w:rPr>
          <w:rFonts w:hint="eastAsia"/>
          <w:color w:val="auto"/>
          <w:sz w:val="24"/>
          <w:highlight w:val="none"/>
        </w:rPr>
        <w:t>3.1乙方交付的产品按合同约定标准经甲方验收合格后，甲方</w:t>
      </w:r>
      <w:r>
        <w:rPr>
          <w:rFonts w:hint="eastAsia"/>
          <w:color w:val="auto"/>
          <w:sz w:val="24"/>
          <w:highlight w:val="none"/>
          <w:u w:val="single"/>
        </w:rPr>
        <w:t>壹个月</w:t>
      </w:r>
      <w:r>
        <w:rPr>
          <w:rFonts w:hint="eastAsia"/>
          <w:color w:val="auto"/>
          <w:sz w:val="24"/>
          <w:highlight w:val="none"/>
        </w:rPr>
        <w:t>内向乙方一次性支付合同全额货款。</w:t>
      </w:r>
    </w:p>
    <w:p>
      <w:pPr>
        <w:spacing w:line="384" w:lineRule="auto"/>
        <w:ind w:firstLine="480" w:firstLineChars="200"/>
        <w:rPr>
          <w:rFonts w:hint="eastAsia" w:eastAsia="宋体"/>
          <w:color w:val="auto"/>
          <w:sz w:val="24"/>
          <w:highlight w:val="none"/>
          <w:lang w:eastAsia="zh-CN"/>
        </w:rPr>
      </w:pPr>
      <w:r>
        <w:rPr>
          <w:rFonts w:hint="eastAsia"/>
          <w:color w:val="auto"/>
          <w:sz w:val="24"/>
          <w:highlight w:val="none"/>
        </w:rPr>
        <w:t>3.2 乙方应根据甲方要求在甲方付款前</w:t>
      </w:r>
      <w:r>
        <w:rPr>
          <w:rFonts w:hint="eastAsia"/>
          <w:color w:val="auto"/>
          <w:sz w:val="24"/>
          <w:highlight w:val="none"/>
          <w:u w:val="single"/>
        </w:rPr>
        <w:t xml:space="preserve"> 叁个工作日</w:t>
      </w:r>
      <w:r>
        <w:rPr>
          <w:rFonts w:hint="eastAsia"/>
          <w:color w:val="auto"/>
          <w:sz w:val="24"/>
          <w:highlight w:val="none"/>
        </w:rPr>
        <w:t>内提供正式税务发票，否则甲方有权顺延付款且不承担</w:t>
      </w:r>
      <w:r>
        <w:rPr>
          <w:color w:val="auto"/>
          <w:sz w:val="24"/>
          <w:highlight w:val="none"/>
        </w:rPr>
        <w:t>任何责任</w:t>
      </w:r>
      <w:r>
        <w:rPr>
          <w:rFonts w:hint="eastAsia"/>
          <w:color w:val="auto"/>
          <w:sz w:val="24"/>
          <w:highlight w:val="none"/>
        </w:rPr>
        <w:t>。现场交货条件下，乙方应提交全额增值税专用发票（税率</w:t>
      </w:r>
      <w:r>
        <w:rPr>
          <w:rFonts w:hint="eastAsia"/>
          <w:color w:val="auto"/>
          <w:sz w:val="24"/>
          <w:highlight w:val="none"/>
          <w:u w:val="single"/>
        </w:rPr>
        <w:t xml:space="preserve">   </w:t>
      </w:r>
      <w:r>
        <w:rPr>
          <w:rFonts w:hint="eastAsia"/>
          <w:color w:val="auto"/>
          <w:sz w:val="24"/>
          <w:highlight w:val="none"/>
        </w:rPr>
        <w:t>%）。</w:t>
      </w:r>
    </w:p>
    <w:p>
      <w:pPr>
        <w:spacing w:line="384" w:lineRule="auto"/>
        <w:rPr>
          <w:color w:val="auto"/>
          <w:sz w:val="24"/>
          <w:highlight w:val="none"/>
        </w:rPr>
      </w:pPr>
      <w:r>
        <w:rPr>
          <w:rFonts w:hint="eastAsia"/>
          <w:color w:val="auto"/>
          <w:sz w:val="24"/>
          <w:highlight w:val="none"/>
        </w:rPr>
        <w:t>4、质量要求和技术标准</w:t>
      </w:r>
    </w:p>
    <w:p>
      <w:pPr>
        <w:spacing w:line="384" w:lineRule="auto"/>
        <w:rPr>
          <w:color w:val="auto"/>
          <w:sz w:val="24"/>
          <w:highlight w:val="none"/>
        </w:rPr>
      </w:pPr>
      <w:r>
        <w:rPr>
          <w:rFonts w:hint="eastAsia"/>
          <w:color w:val="auto"/>
          <w:sz w:val="24"/>
          <w:highlight w:val="none"/>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84" w:lineRule="auto"/>
        <w:ind w:firstLine="480"/>
        <w:rPr>
          <w:color w:val="auto"/>
          <w:sz w:val="24"/>
          <w:highlight w:val="none"/>
        </w:rPr>
      </w:pPr>
      <w:r>
        <w:rPr>
          <w:rFonts w:hint="eastAsia"/>
          <w:color w:val="auto"/>
          <w:sz w:val="24"/>
          <w:highlight w:val="none"/>
        </w:rPr>
        <w:t>4.2乙方应保证货物是全新、未使用过的原装合格正品，并完全符合合同规定的质量、规格和性能的要求。乙方应保证其提供的货物在正确安装、正常使用和保养条件下，在其使用寿命内具有良好的性能。</w:t>
      </w:r>
      <w:r>
        <w:rPr>
          <w:rFonts w:hint="eastAsia"/>
          <w:color w:val="auto"/>
          <w:sz w:val="24"/>
          <w:szCs w:val="22"/>
          <w:highlight w:val="none"/>
        </w:rPr>
        <w:t>本项目所有产品的质量保证期至少为项目经比选人验收合格之日起</w:t>
      </w:r>
      <w:r>
        <w:rPr>
          <w:rFonts w:hint="eastAsia"/>
          <w:color w:val="auto"/>
          <w:sz w:val="24"/>
          <w:highlight w:val="none"/>
          <w:lang w:eastAsia="zh-CN"/>
        </w:rPr>
        <w:t>按照协议中约定的</w:t>
      </w:r>
      <w:r>
        <w:rPr>
          <w:rFonts w:hint="eastAsia"/>
          <w:color w:val="auto"/>
          <w:sz w:val="24"/>
          <w:szCs w:val="22"/>
          <w:highlight w:val="none"/>
        </w:rPr>
        <w:t>质量保证期</w:t>
      </w:r>
      <w:r>
        <w:rPr>
          <w:rFonts w:hint="eastAsia"/>
          <w:color w:val="auto"/>
          <w:sz w:val="24"/>
          <w:szCs w:val="22"/>
          <w:highlight w:val="none"/>
          <w:lang w:eastAsia="zh-CN"/>
        </w:rPr>
        <w:t>期限要求</w:t>
      </w:r>
      <w:r>
        <w:rPr>
          <w:rFonts w:hint="eastAsia"/>
          <w:color w:val="auto"/>
          <w:sz w:val="24"/>
          <w:szCs w:val="22"/>
          <w:highlight w:val="none"/>
        </w:rPr>
        <w:t>，在质量保证期内，乙方应当对其交付</w:t>
      </w:r>
      <w:r>
        <w:rPr>
          <w:rFonts w:hint="eastAsia"/>
          <w:color w:val="auto"/>
          <w:sz w:val="24"/>
          <w:highlight w:val="none"/>
        </w:rPr>
        <w:t>的产品承担质量保证责任并提供产品保修服务，所需费用由乙方承担。</w:t>
      </w:r>
    </w:p>
    <w:p>
      <w:pPr>
        <w:spacing w:line="384" w:lineRule="auto"/>
        <w:rPr>
          <w:color w:val="auto"/>
          <w:sz w:val="24"/>
          <w:highlight w:val="none"/>
        </w:rPr>
      </w:pPr>
      <w:r>
        <w:rPr>
          <w:rFonts w:hint="eastAsia"/>
          <w:color w:val="auto"/>
          <w:sz w:val="24"/>
          <w:highlight w:val="none"/>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84" w:lineRule="auto"/>
        <w:rPr>
          <w:color w:val="auto"/>
          <w:sz w:val="24"/>
          <w:highlight w:val="none"/>
        </w:rPr>
      </w:pPr>
      <w:r>
        <w:rPr>
          <w:rFonts w:hint="eastAsia"/>
          <w:color w:val="auto"/>
          <w:sz w:val="24"/>
          <w:highlight w:val="none"/>
        </w:rPr>
        <w:t xml:space="preserve">    4.4乙方不按本合同约定交付产品所产生的任何费用由乙方自行承担。</w:t>
      </w:r>
    </w:p>
    <w:p>
      <w:pPr>
        <w:spacing w:line="384" w:lineRule="auto"/>
        <w:rPr>
          <w:color w:val="auto"/>
          <w:sz w:val="24"/>
          <w:highlight w:val="none"/>
        </w:rPr>
      </w:pPr>
      <w:r>
        <w:rPr>
          <w:rFonts w:hint="eastAsia"/>
          <w:color w:val="auto"/>
          <w:sz w:val="24"/>
          <w:highlight w:val="none"/>
        </w:rPr>
        <w:t>5、安装调试、技术服务、人员培训及技术资料</w:t>
      </w:r>
    </w:p>
    <w:p>
      <w:pPr>
        <w:spacing w:line="384" w:lineRule="auto"/>
        <w:ind w:firstLine="480" w:firstLineChars="200"/>
        <w:rPr>
          <w:color w:val="auto"/>
          <w:sz w:val="24"/>
          <w:highlight w:val="none"/>
        </w:rPr>
      </w:pPr>
      <w:r>
        <w:rPr>
          <w:rFonts w:hint="eastAsia"/>
          <w:color w:val="auto"/>
          <w:sz w:val="24"/>
          <w:highlight w:val="none"/>
        </w:rPr>
        <w:t>5.1乙方为甲方提供下列服务（具体以打“√”为准）：</w:t>
      </w:r>
    </w:p>
    <w:p>
      <w:pPr>
        <w:numPr>
          <w:ilvl w:val="0"/>
          <w:numId w:val="8"/>
        </w:numPr>
        <w:spacing w:line="384" w:lineRule="auto"/>
        <w:rPr>
          <w:color w:val="auto"/>
          <w:sz w:val="24"/>
          <w:highlight w:val="none"/>
        </w:rPr>
      </w:pPr>
      <w:r>
        <w:rPr>
          <w:rFonts w:hint="eastAsia"/>
          <w:color w:val="auto"/>
          <w:sz w:val="24"/>
          <w:highlight w:val="none"/>
        </w:rPr>
        <w:t>安装调试：乙方应在产品到货后</w:t>
      </w:r>
      <w:r>
        <w:rPr>
          <w:rFonts w:hint="eastAsia"/>
          <w:color w:val="auto"/>
          <w:sz w:val="24"/>
          <w:highlight w:val="none"/>
          <w:u w:val="single"/>
        </w:rPr>
        <w:t>叁</w:t>
      </w:r>
      <w:r>
        <w:rPr>
          <w:rFonts w:hint="eastAsia"/>
          <w:color w:val="auto"/>
          <w:sz w:val="24"/>
          <w:highlight w:val="none"/>
        </w:rPr>
        <w:t xml:space="preserve">日内免费安装完毕，并提请甲方进行调试验收； </w:t>
      </w:r>
    </w:p>
    <w:p>
      <w:pPr>
        <w:numPr>
          <w:ilvl w:val="0"/>
          <w:numId w:val="8"/>
        </w:numPr>
        <w:spacing w:line="384" w:lineRule="auto"/>
        <w:rPr>
          <w:color w:val="auto"/>
          <w:sz w:val="24"/>
          <w:highlight w:val="none"/>
        </w:rPr>
      </w:pPr>
      <w:r>
        <w:rPr>
          <w:rFonts w:hint="eastAsia"/>
          <w:color w:val="auto"/>
          <w:sz w:val="24"/>
          <w:highlight w:val="none"/>
        </w:rPr>
        <w:t>技术服务：</w:t>
      </w:r>
    </w:p>
    <w:p>
      <w:pPr>
        <w:spacing w:line="384" w:lineRule="auto"/>
        <w:ind w:firstLine="480" w:firstLineChars="200"/>
        <w:rPr>
          <w:color w:val="auto"/>
          <w:sz w:val="24"/>
          <w:highlight w:val="none"/>
        </w:rPr>
      </w:pPr>
      <w:r>
        <w:rPr>
          <w:rFonts w:hint="eastAsia"/>
          <w:color w:val="auto"/>
          <w:sz w:val="24"/>
          <w:highlight w:val="none"/>
        </w:rPr>
        <w:t>1）</w:t>
      </w:r>
      <w:r>
        <w:rPr>
          <w:color w:val="auto"/>
          <w:sz w:val="24"/>
          <w:highlight w:val="none"/>
        </w:rPr>
        <w:t>产品</w:t>
      </w:r>
      <w:r>
        <w:rPr>
          <w:rFonts w:hint="eastAsia"/>
          <w:color w:val="auto"/>
          <w:sz w:val="24"/>
          <w:highlight w:val="none"/>
        </w:rPr>
        <w:t>保修</w:t>
      </w:r>
      <w:r>
        <w:rPr>
          <w:color w:val="auto"/>
          <w:sz w:val="24"/>
          <w:highlight w:val="none"/>
        </w:rPr>
        <w:t>服务由</w:t>
      </w:r>
      <w:r>
        <w:rPr>
          <w:rFonts w:hint="eastAsia"/>
          <w:color w:val="auto"/>
          <w:sz w:val="24"/>
          <w:highlight w:val="none"/>
        </w:rPr>
        <w:t>原厂厂家按产品保修条例免费</w:t>
      </w:r>
      <w:r>
        <w:rPr>
          <w:color w:val="auto"/>
          <w:sz w:val="24"/>
          <w:highlight w:val="none"/>
        </w:rPr>
        <w:t>提供</w:t>
      </w:r>
      <w:r>
        <w:rPr>
          <w:rFonts w:hint="eastAsia"/>
          <w:color w:val="auto"/>
          <w:sz w:val="24"/>
          <w:highlight w:val="none"/>
        </w:rPr>
        <w:t>。</w:t>
      </w:r>
    </w:p>
    <w:p>
      <w:pPr>
        <w:spacing w:line="384" w:lineRule="auto"/>
        <w:ind w:firstLine="480" w:firstLineChars="200"/>
        <w:rPr>
          <w:color w:val="auto"/>
          <w:sz w:val="24"/>
          <w:highlight w:val="none"/>
        </w:rPr>
      </w:pPr>
      <w:r>
        <w:rPr>
          <w:rFonts w:hint="eastAsia"/>
          <w:color w:val="auto"/>
          <w:sz w:val="24"/>
          <w:highlight w:val="none"/>
        </w:rPr>
        <w:t>2）对产品及其配件</w:t>
      </w:r>
      <w:r>
        <w:rPr>
          <w:rFonts w:hint="eastAsia"/>
          <w:color w:val="auto"/>
          <w:sz w:val="24"/>
          <w:highlight w:val="none"/>
          <w:lang w:eastAsia="zh-CN"/>
        </w:rPr>
        <w:t>按协议中的</w:t>
      </w:r>
      <w:r>
        <w:rPr>
          <w:rFonts w:hint="eastAsia"/>
          <w:color w:val="auto"/>
          <w:sz w:val="24"/>
          <w:szCs w:val="22"/>
          <w:highlight w:val="none"/>
        </w:rPr>
        <w:t>质量保证期</w:t>
      </w:r>
      <w:r>
        <w:rPr>
          <w:rFonts w:hint="eastAsia"/>
          <w:color w:val="auto"/>
          <w:sz w:val="24"/>
          <w:szCs w:val="22"/>
          <w:highlight w:val="none"/>
          <w:lang w:eastAsia="zh-CN"/>
        </w:rPr>
        <w:t>期限要求</w:t>
      </w:r>
      <w:r>
        <w:rPr>
          <w:rFonts w:hint="eastAsia"/>
          <w:color w:val="auto"/>
          <w:sz w:val="24"/>
          <w:highlight w:val="none"/>
        </w:rPr>
        <w:t>实行三包免费上门保修，</w:t>
      </w:r>
      <w:r>
        <w:rPr>
          <w:rFonts w:hint="eastAsia"/>
          <w:color w:val="auto"/>
          <w:sz w:val="24"/>
          <w:highlight w:val="none"/>
          <w:u w:val="single"/>
        </w:rPr>
        <w:t>7×24</w:t>
      </w:r>
      <w:r>
        <w:rPr>
          <w:rFonts w:hint="eastAsia"/>
          <w:color w:val="auto"/>
          <w:sz w:val="24"/>
          <w:highlight w:val="none"/>
        </w:rPr>
        <w:t>小时免费现场响应服务，保修时间以发票日期为准。</w:t>
      </w:r>
    </w:p>
    <w:p>
      <w:pPr>
        <w:spacing w:line="384" w:lineRule="auto"/>
        <w:ind w:firstLine="480" w:firstLineChars="200"/>
        <w:rPr>
          <w:color w:val="auto"/>
          <w:sz w:val="24"/>
          <w:highlight w:val="none"/>
        </w:rPr>
      </w:pPr>
      <w:r>
        <w:rPr>
          <w:rFonts w:hint="eastAsia"/>
          <w:color w:val="auto"/>
          <w:sz w:val="24"/>
          <w:highlight w:val="none"/>
        </w:rPr>
        <w:t>3）在甲方使用产品期间，遇到使用故障时，在电话咨询原厂厂家免费咨询电话或乙方技术电话支持还未能解决之下，乙方应在下半个工作日提供免费上门服务，并将诊断结果及建议告诉甲方。</w:t>
      </w:r>
    </w:p>
    <w:p>
      <w:pPr>
        <w:spacing w:line="384" w:lineRule="auto"/>
        <w:ind w:firstLine="480" w:firstLineChars="200"/>
        <w:rPr>
          <w:color w:val="auto"/>
          <w:sz w:val="24"/>
          <w:highlight w:val="none"/>
        </w:rPr>
      </w:pPr>
      <w:r>
        <w:rPr>
          <w:rFonts w:hint="eastAsia"/>
          <w:color w:val="auto"/>
          <w:sz w:val="24"/>
          <w:highlight w:val="none"/>
        </w:rPr>
        <w:t>4）甲方若有需要可向乙方提出按季一次，到甲方现场进行免费例行维护，并给予合理化建议。</w:t>
      </w:r>
    </w:p>
    <w:p>
      <w:pPr>
        <w:spacing w:line="384" w:lineRule="auto"/>
        <w:ind w:firstLine="436" w:firstLineChars="182"/>
        <w:rPr>
          <w:color w:val="auto"/>
          <w:sz w:val="24"/>
          <w:highlight w:val="none"/>
        </w:rPr>
      </w:pPr>
      <w:r>
        <w:rPr>
          <w:rFonts w:hint="eastAsia"/>
          <w:color w:val="auto"/>
          <w:sz w:val="24"/>
          <w:highlight w:val="none"/>
        </w:rPr>
        <w:t>5）在保修期内，甲方购买的产品出现硬件故障或缺陷，乙方</w:t>
      </w:r>
      <w:r>
        <w:rPr>
          <w:color w:val="auto"/>
          <w:sz w:val="24"/>
          <w:highlight w:val="none"/>
        </w:rPr>
        <w:t>对</w:t>
      </w:r>
      <w:r>
        <w:rPr>
          <w:rFonts w:hint="eastAsia"/>
          <w:color w:val="auto"/>
          <w:sz w:val="24"/>
          <w:highlight w:val="none"/>
        </w:rPr>
        <w:t>缺陷产品的故障配件的更换应在一周内完成，保修产生的运输、保管等相关费用由乙方承担。</w:t>
      </w:r>
    </w:p>
    <w:p>
      <w:pPr>
        <w:pStyle w:val="6"/>
        <w:spacing w:line="384" w:lineRule="auto"/>
        <w:ind w:left="0" w:firstLine="480" w:firstLineChars="200"/>
        <w:rPr>
          <w:color w:val="auto"/>
          <w:kern w:val="2"/>
          <w:sz w:val="24"/>
          <w:highlight w:val="none"/>
          <w:lang w:val="en-US"/>
        </w:rPr>
      </w:pPr>
      <w:r>
        <w:rPr>
          <w:rFonts w:hint="eastAsia"/>
          <w:color w:val="auto"/>
          <w:kern w:val="2"/>
          <w:sz w:val="24"/>
          <w:highlight w:val="none"/>
          <w:lang w:val="en-US"/>
        </w:rPr>
        <w:t>6）保修期届满后，乙方承诺继续为甲方提供产品的维修和更换服务，仅收取部件成本费，免收服务费。</w:t>
      </w:r>
    </w:p>
    <w:p>
      <w:pPr>
        <w:pStyle w:val="5"/>
        <w:numPr>
          <w:ilvl w:val="0"/>
          <w:numId w:val="9"/>
        </w:numPr>
        <w:spacing w:before="0" w:line="384" w:lineRule="auto"/>
        <w:rPr>
          <w:rFonts w:hint="default" w:ascii="Times New Roman" w:hAnsi="Times New Roman"/>
          <w:color w:val="auto"/>
          <w:szCs w:val="24"/>
          <w:highlight w:val="none"/>
        </w:rPr>
      </w:pPr>
      <w:r>
        <w:rPr>
          <w:rFonts w:ascii="Times New Roman" w:hAnsi="Times New Roman"/>
          <w:color w:val="auto"/>
          <w:szCs w:val="24"/>
          <w:highlight w:val="none"/>
        </w:rPr>
        <w:t>人员培训：乙方应免费为甲方技术人员进行有关产品安装、调试、维护、操作、保养等方面的技术培训，直至甲方技术人员能熟练独立操作，确保产品整体运转正常。</w:t>
      </w:r>
    </w:p>
    <w:p>
      <w:pPr>
        <w:numPr>
          <w:ilvl w:val="0"/>
          <w:numId w:val="9"/>
        </w:numPr>
        <w:spacing w:line="384" w:lineRule="auto"/>
        <w:rPr>
          <w:color w:val="auto"/>
          <w:sz w:val="24"/>
          <w:highlight w:val="none"/>
        </w:rPr>
      </w:pPr>
      <w:r>
        <w:rPr>
          <w:rFonts w:hint="eastAsia"/>
          <w:color w:val="auto"/>
          <w:sz w:val="24"/>
          <w:highlight w:val="none"/>
        </w:rPr>
        <w:t>技术资料：</w:t>
      </w:r>
      <w:r>
        <w:rPr>
          <w:rFonts w:hint="eastAsia" w:ascii="宋体" w:hAnsi="宋体"/>
          <w:color w:val="auto"/>
          <w:sz w:val="24"/>
          <w:highlight w:val="none"/>
        </w:rPr>
        <w:t>乙方应免费</w:t>
      </w:r>
      <w:r>
        <w:rPr>
          <w:rFonts w:hint="eastAsia" w:ascii="宋体" w:hAnsi="宋体"/>
          <w:snapToGrid w:val="0"/>
          <w:color w:val="auto"/>
          <w:sz w:val="24"/>
          <w:highlight w:val="none"/>
        </w:rPr>
        <w:t>提供</w:t>
      </w:r>
      <w:r>
        <w:rPr>
          <w:rFonts w:hint="eastAsia" w:ascii="宋体" w:hAnsi="宋体"/>
          <w:color w:val="auto"/>
          <w:sz w:val="24"/>
          <w:highlight w:val="none"/>
        </w:rPr>
        <w:t>产品安装、维修及操作手册</w:t>
      </w:r>
      <w:r>
        <w:rPr>
          <w:rFonts w:hint="eastAsia" w:ascii="宋体" w:hAnsi="宋体"/>
          <w:snapToGrid w:val="0"/>
          <w:color w:val="auto"/>
          <w:sz w:val="24"/>
          <w:highlight w:val="none"/>
        </w:rPr>
        <w:t>、系统安装盘、质量保证卡、维修卡等相关材料</w:t>
      </w:r>
      <w:r>
        <w:rPr>
          <w:rFonts w:hint="eastAsia"/>
          <w:color w:val="auto"/>
          <w:sz w:val="24"/>
          <w:highlight w:val="none"/>
        </w:rPr>
        <w:t>。</w:t>
      </w:r>
    </w:p>
    <w:p>
      <w:pPr>
        <w:spacing w:line="384" w:lineRule="auto"/>
        <w:rPr>
          <w:color w:val="auto"/>
          <w:sz w:val="24"/>
          <w:highlight w:val="none"/>
        </w:rPr>
      </w:pPr>
      <w:r>
        <w:rPr>
          <w:rFonts w:hint="eastAsia"/>
          <w:color w:val="auto"/>
          <w:sz w:val="24"/>
          <w:highlight w:val="none"/>
        </w:rPr>
        <w:t xml:space="preserve">    5.2除第5.1款约定外，乙方还应根据甲方要求为甲方工作人员以及使用人员进行必要的现场免费技术培训，使甲方人员及使用人员能独立使用该产品，完成日常操作。</w:t>
      </w:r>
    </w:p>
    <w:p>
      <w:pPr>
        <w:spacing w:line="384" w:lineRule="auto"/>
        <w:rPr>
          <w:color w:val="auto"/>
          <w:sz w:val="24"/>
          <w:highlight w:val="none"/>
        </w:rPr>
      </w:pPr>
      <w:r>
        <w:rPr>
          <w:rFonts w:hint="eastAsia"/>
          <w:color w:val="auto"/>
          <w:sz w:val="24"/>
          <w:highlight w:val="none"/>
        </w:rPr>
        <w:t>6、验收</w:t>
      </w:r>
    </w:p>
    <w:p>
      <w:pPr>
        <w:spacing w:line="384" w:lineRule="auto"/>
        <w:rPr>
          <w:color w:val="auto"/>
          <w:sz w:val="24"/>
          <w:highlight w:val="none"/>
        </w:rPr>
      </w:pPr>
      <w:r>
        <w:rPr>
          <w:rFonts w:hint="eastAsia"/>
          <w:color w:val="auto"/>
          <w:sz w:val="24"/>
          <w:highlight w:val="none"/>
        </w:rPr>
        <w:t xml:space="preserve">    6.1货物的货到验收包括：型号、规格、数量、外观质量、及货物包装是否完好。</w:t>
      </w:r>
    </w:p>
    <w:p>
      <w:pPr>
        <w:spacing w:line="384" w:lineRule="auto"/>
        <w:rPr>
          <w:color w:val="auto"/>
          <w:sz w:val="24"/>
          <w:highlight w:val="none"/>
        </w:rPr>
      </w:pPr>
      <w:r>
        <w:rPr>
          <w:rFonts w:hint="eastAsia"/>
          <w:color w:val="auto"/>
          <w:sz w:val="24"/>
          <w:highlight w:val="none"/>
        </w:rPr>
        <w:t xml:space="preserve">    6.2乙方对一次开箱不合格（产品有质量故障）的产品予以换新，并承担一切与之有关的费用。</w:t>
      </w:r>
    </w:p>
    <w:p>
      <w:pPr>
        <w:spacing w:line="384" w:lineRule="auto"/>
        <w:rPr>
          <w:color w:val="auto"/>
          <w:sz w:val="24"/>
          <w:highlight w:val="none"/>
        </w:rPr>
      </w:pPr>
      <w:r>
        <w:rPr>
          <w:rFonts w:hint="eastAsia"/>
          <w:color w:val="auto"/>
          <w:sz w:val="24"/>
          <w:highlight w:val="none"/>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84" w:lineRule="auto"/>
        <w:ind w:firstLine="480" w:firstLineChars="200"/>
        <w:rPr>
          <w:color w:val="auto"/>
          <w:sz w:val="24"/>
          <w:highlight w:val="none"/>
        </w:rPr>
      </w:pPr>
      <w:r>
        <w:rPr>
          <w:rFonts w:hint="eastAsia"/>
          <w:color w:val="auto"/>
          <w:sz w:val="24"/>
          <w:highlight w:val="none"/>
        </w:rPr>
        <w:t>6.4对于安装质量，乙方保证标准时、正确安装好设备，保证设备良好运行。产品调试验收的标准：按行业通行标准、厂方出厂标准；两者要求不一致的，适用对产品更为严格的标准。</w:t>
      </w:r>
    </w:p>
    <w:p>
      <w:pPr>
        <w:spacing w:line="384" w:lineRule="auto"/>
        <w:ind w:firstLine="480" w:firstLineChars="200"/>
        <w:rPr>
          <w:color w:val="auto"/>
          <w:sz w:val="24"/>
          <w:highlight w:val="none"/>
        </w:rPr>
      </w:pPr>
      <w:r>
        <w:rPr>
          <w:rFonts w:hint="eastAsia"/>
          <w:color w:val="auto"/>
          <w:sz w:val="24"/>
          <w:highlight w:val="none"/>
        </w:rPr>
        <w:t>6.5调试验收结果经甲方确认后，双方代表必须按规定的验收交接单上的项目对照本合同填好验收结果并签名盖章。</w:t>
      </w:r>
    </w:p>
    <w:p>
      <w:pPr>
        <w:spacing w:line="384" w:lineRule="auto"/>
        <w:ind w:firstLine="480" w:firstLineChars="200"/>
        <w:rPr>
          <w:color w:val="auto"/>
          <w:sz w:val="24"/>
          <w:highlight w:val="none"/>
        </w:rPr>
      </w:pPr>
      <w:r>
        <w:rPr>
          <w:rFonts w:hint="eastAsia"/>
          <w:color w:val="auto"/>
          <w:sz w:val="24"/>
          <w:highlight w:val="none"/>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84" w:lineRule="auto"/>
        <w:rPr>
          <w:color w:val="auto"/>
          <w:sz w:val="24"/>
          <w:highlight w:val="none"/>
        </w:rPr>
      </w:pPr>
      <w:r>
        <w:rPr>
          <w:rFonts w:hint="eastAsia"/>
          <w:color w:val="auto"/>
          <w:sz w:val="24"/>
          <w:highlight w:val="none"/>
        </w:rPr>
        <w:t>7、质量保证</w:t>
      </w:r>
    </w:p>
    <w:p>
      <w:pPr>
        <w:spacing w:line="384" w:lineRule="auto"/>
        <w:ind w:firstLine="480"/>
        <w:rPr>
          <w:color w:val="auto"/>
          <w:sz w:val="24"/>
          <w:highlight w:val="none"/>
        </w:rPr>
      </w:pPr>
      <w:r>
        <w:rPr>
          <w:rFonts w:hint="eastAsia"/>
          <w:color w:val="auto"/>
          <w:sz w:val="24"/>
          <w:highlight w:val="none"/>
        </w:rPr>
        <w:t>除本</w:t>
      </w:r>
      <w:r>
        <w:rPr>
          <w:rFonts w:hint="eastAsia"/>
          <w:color w:val="auto"/>
          <w:sz w:val="24"/>
          <w:highlight w:val="none"/>
          <w:lang w:eastAsia="zh-CN"/>
        </w:rPr>
        <w:t>协议</w:t>
      </w:r>
      <w:r>
        <w:rPr>
          <w:rFonts w:hint="eastAsia"/>
          <w:color w:val="auto"/>
          <w:sz w:val="24"/>
          <w:highlight w:val="none"/>
        </w:rPr>
        <w:t>另有约定外，本</w:t>
      </w:r>
      <w:r>
        <w:rPr>
          <w:rFonts w:hint="eastAsia"/>
          <w:color w:val="auto"/>
          <w:sz w:val="24"/>
          <w:highlight w:val="none"/>
          <w:lang w:eastAsia="zh-CN"/>
        </w:rPr>
        <w:t>协议</w:t>
      </w:r>
      <w:r>
        <w:rPr>
          <w:rFonts w:hint="eastAsia"/>
          <w:color w:val="auto"/>
          <w:sz w:val="24"/>
          <w:highlight w:val="none"/>
        </w:rPr>
        <w:t>产品售后服务按原厂厂家标准提供有关质量保证和售后服务的承诺执行，国家有规定的按国家规定执行。</w:t>
      </w:r>
    </w:p>
    <w:p>
      <w:pPr>
        <w:pStyle w:val="65"/>
        <w:snapToGrid w:val="0"/>
        <w:spacing w:before="0" w:beforeAutospacing="0" w:after="0" w:afterAutospacing="0" w:line="440" w:lineRule="exact"/>
        <w:rPr>
          <w:rFonts w:ascii="Times New Roman" w:hAnsi="Times New Roman"/>
          <w:color w:val="auto"/>
          <w:szCs w:val="22"/>
          <w:highlight w:val="none"/>
        </w:rPr>
      </w:pPr>
      <w:r>
        <w:rPr>
          <w:rFonts w:hint="eastAsia" w:ascii="Times New Roman" w:hAnsi="Times New Roman"/>
          <w:color w:val="auto"/>
          <w:szCs w:val="22"/>
          <w:highlight w:val="none"/>
        </w:rPr>
        <w:t>8、知识产权及侵权责任</w:t>
      </w:r>
    </w:p>
    <w:p>
      <w:pPr>
        <w:widowControl/>
        <w:snapToGrid w:val="0"/>
        <w:spacing w:line="440" w:lineRule="exact"/>
        <w:ind w:firstLine="360" w:firstLineChars="150"/>
        <w:rPr>
          <w:rFonts w:ascii="宋体" w:hAnsi="宋体"/>
          <w:color w:val="auto"/>
          <w:sz w:val="24"/>
          <w:szCs w:val="24"/>
          <w:highlight w:val="none"/>
        </w:rPr>
      </w:pPr>
      <w:r>
        <w:rPr>
          <w:rFonts w:hint="eastAsia" w:ascii="宋体" w:hAnsi="宋体"/>
          <w:color w:val="auto"/>
          <w:sz w:val="24"/>
          <w:highlight w:val="none"/>
        </w:rPr>
        <w:t xml:space="preserve"> 1、乙方应保证其具备履行本协议约定所需的全部资质和证照，所生产销售本合同项下计算机产品具有知识产权</w:t>
      </w:r>
      <w:r>
        <w:rPr>
          <w:rFonts w:hint="eastAsia" w:ascii="宋体" w:hAnsi="宋体"/>
          <w:color w:val="auto"/>
          <w:sz w:val="24"/>
          <w:szCs w:val="24"/>
          <w:highlight w:val="none"/>
        </w:rPr>
        <w:t xml:space="preserve">；甲方享有本合同项下计算机产品完整的使用权和所有权。 </w:t>
      </w:r>
    </w:p>
    <w:p>
      <w:pPr>
        <w:widowControl/>
        <w:snapToGrid w:val="0"/>
        <w:spacing w:line="440" w:lineRule="exact"/>
        <w:ind w:firstLine="360" w:firstLineChars="150"/>
        <w:rPr>
          <w:color w:val="auto"/>
          <w:sz w:val="24"/>
          <w:highlight w:val="none"/>
        </w:rPr>
      </w:pPr>
      <w:r>
        <w:rPr>
          <w:rFonts w:hint="eastAsia" w:ascii="宋体" w:hAnsi="宋体"/>
          <w:color w:val="auto"/>
          <w:sz w:val="24"/>
          <w:highlight w:val="none"/>
        </w:rPr>
        <w:t xml:space="preserve"> 2、乙方保证其向甲方提供的所有产品及服务不会侵犯任何第三方的知识产权。一旦甲方因此遭受到任何第三方的索赔、诉讼或任何权利请求，乙方负责应诉并赔偿甲方因此遭受的全部损失（包括但不限于诉讼费、保全费、律师费、</w:t>
      </w:r>
      <w:r>
        <w:rPr>
          <w:rFonts w:ascii="宋体" w:hAnsi="宋体"/>
          <w:color w:val="auto"/>
          <w:sz w:val="24"/>
          <w:highlight w:val="none"/>
        </w:rPr>
        <w:t>公告费</w:t>
      </w:r>
      <w:r>
        <w:rPr>
          <w:rFonts w:hint="eastAsia" w:ascii="宋体" w:hAnsi="宋体"/>
          <w:color w:val="auto"/>
          <w:sz w:val="24"/>
          <w:highlight w:val="none"/>
        </w:rPr>
        <w:t>等）。甲方在条件允许的情况下，协助乙方处理纠纷，所发生的费用由乙方承担。如果甲方因此遭受损失的，乙方将对该损失予以补偿。</w:t>
      </w:r>
    </w:p>
    <w:p>
      <w:pPr>
        <w:spacing w:line="384" w:lineRule="auto"/>
        <w:rPr>
          <w:color w:val="auto"/>
          <w:sz w:val="24"/>
          <w:highlight w:val="none"/>
        </w:rPr>
      </w:pPr>
      <w:r>
        <w:rPr>
          <w:rFonts w:hint="eastAsia"/>
          <w:color w:val="auto"/>
          <w:sz w:val="24"/>
          <w:highlight w:val="none"/>
        </w:rPr>
        <w:t>9、违约责任</w:t>
      </w:r>
    </w:p>
    <w:p>
      <w:pPr>
        <w:spacing w:line="384" w:lineRule="auto"/>
        <w:rPr>
          <w:color w:val="auto"/>
          <w:sz w:val="24"/>
          <w:highlight w:val="none"/>
        </w:rPr>
      </w:pPr>
      <w:r>
        <w:rPr>
          <w:rFonts w:hint="eastAsia"/>
          <w:color w:val="auto"/>
          <w:sz w:val="24"/>
          <w:highlight w:val="none"/>
        </w:rPr>
        <w:t xml:space="preserve">     9.1乙方逾期交货的，每日按照合同总额的</w:t>
      </w:r>
      <w:r>
        <w:rPr>
          <w:rFonts w:hint="eastAsia"/>
          <w:color w:val="auto"/>
          <w:sz w:val="24"/>
          <w:highlight w:val="none"/>
          <w:u w:val="single"/>
        </w:rPr>
        <w:t>0.1</w:t>
      </w:r>
      <w:r>
        <w:rPr>
          <w:rFonts w:hint="eastAsia"/>
          <w:color w:val="auto"/>
          <w:sz w:val="24"/>
          <w:highlight w:val="none"/>
        </w:rPr>
        <w:t>%向甲方计付违约金，逾期超过</w:t>
      </w:r>
      <w:r>
        <w:rPr>
          <w:rFonts w:hint="eastAsia"/>
          <w:color w:val="auto"/>
          <w:sz w:val="24"/>
          <w:highlight w:val="none"/>
          <w:u w:val="single"/>
        </w:rPr>
        <w:t xml:space="preserve">10 </w:t>
      </w:r>
      <w:r>
        <w:rPr>
          <w:rFonts w:hint="eastAsia"/>
          <w:color w:val="auto"/>
          <w:sz w:val="24"/>
          <w:highlight w:val="none"/>
        </w:rPr>
        <w:t>日的，甲方还有权解除合同，并要求乙方赔偿</w:t>
      </w:r>
      <w:r>
        <w:rPr>
          <w:color w:val="auto"/>
          <w:sz w:val="24"/>
          <w:highlight w:val="none"/>
        </w:rPr>
        <w:t>损失并向甲方</w:t>
      </w:r>
      <w:r>
        <w:rPr>
          <w:rFonts w:hint="eastAsia"/>
          <w:color w:val="auto"/>
          <w:sz w:val="24"/>
          <w:highlight w:val="none"/>
        </w:rPr>
        <w:t>一次性支付合同总额</w:t>
      </w:r>
      <w:r>
        <w:rPr>
          <w:rFonts w:hint="eastAsia"/>
          <w:color w:val="auto"/>
          <w:sz w:val="24"/>
          <w:highlight w:val="none"/>
          <w:u w:val="single"/>
        </w:rPr>
        <w:t xml:space="preserve">20 </w:t>
      </w:r>
      <w:r>
        <w:rPr>
          <w:rFonts w:hint="eastAsia"/>
          <w:color w:val="auto"/>
          <w:sz w:val="24"/>
          <w:highlight w:val="none"/>
        </w:rPr>
        <w:t>%的违约金。乙方部分交货、交货不符合要求的，均按照逾期交货处理。</w:t>
      </w:r>
    </w:p>
    <w:p>
      <w:pPr>
        <w:spacing w:line="384" w:lineRule="auto"/>
        <w:rPr>
          <w:color w:val="auto"/>
          <w:sz w:val="24"/>
          <w:highlight w:val="none"/>
        </w:rPr>
      </w:pPr>
      <w:r>
        <w:rPr>
          <w:rFonts w:hint="eastAsia"/>
          <w:color w:val="auto"/>
          <w:sz w:val="24"/>
          <w:highlight w:val="none"/>
        </w:rPr>
        <w:t xml:space="preserve">    9.2 乙方交付的产品经甲方验收不合格的，每次应向甲方支付违约金人民币</w:t>
      </w:r>
      <w:r>
        <w:rPr>
          <w:rFonts w:hint="eastAsia"/>
          <w:color w:val="auto"/>
          <w:sz w:val="24"/>
          <w:highlight w:val="none"/>
          <w:u w:val="single"/>
        </w:rPr>
        <w:t xml:space="preserve"> 1000 </w:t>
      </w:r>
      <w:r>
        <w:rPr>
          <w:rFonts w:hint="eastAsia"/>
          <w:color w:val="auto"/>
          <w:sz w:val="24"/>
          <w:highlight w:val="none"/>
        </w:rPr>
        <w:t>元，并应根据甲方要求进行修理、更换或采取其他补救措施。累计</w:t>
      </w:r>
      <w:r>
        <w:rPr>
          <w:rFonts w:hint="eastAsia"/>
          <w:color w:val="auto"/>
          <w:sz w:val="24"/>
          <w:highlight w:val="none"/>
          <w:u w:val="single"/>
        </w:rPr>
        <w:t xml:space="preserve"> 两 </w:t>
      </w:r>
      <w:r>
        <w:rPr>
          <w:rFonts w:hint="eastAsia"/>
          <w:color w:val="auto"/>
          <w:sz w:val="24"/>
          <w:highlight w:val="none"/>
        </w:rPr>
        <w:t>次验收不合格的，甲方还有权解除合同、拒绝支付任何费用。</w:t>
      </w:r>
    </w:p>
    <w:p>
      <w:pPr>
        <w:spacing w:line="384" w:lineRule="auto"/>
        <w:rPr>
          <w:color w:val="auto"/>
          <w:sz w:val="24"/>
          <w:highlight w:val="none"/>
        </w:rPr>
      </w:pPr>
      <w:r>
        <w:rPr>
          <w:rFonts w:hint="eastAsia"/>
          <w:color w:val="auto"/>
          <w:sz w:val="24"/>
          <w:highlight w:val="none"/>
        </w:rPr>
        <w:t xml:space="preserve">     9.3 甲方无故逾期付款的，按照银行同期贷款利率标准支付利息。</w:t>
      </w:r>
    </w:p>
    <w:p>
      <w:pPr>
        <w:spacing w:line="384" w:lineRule="auto"/>
        <w:ind w:firstLine="600" w:firstLineChars="250"/>
        <w:rPr>
          <w:color w:val="auto"/>
          <w:sz w:val="24"/>
          <w:highlight w:val="none"/>
        </w:rPr>
      </w:pPr>
      <w:r>
        <w:rPr>
          <w:rFonts w:hint="eastAsia"/>
          <w:color w:val="auto"/>
          <w:sz w:val="24"/>
          <w:highlight w:val="none"/>
        </w:rPr>
        <w:t>9.4 除</w:t>
      </w:r>
      <w:r>
        <w:rPr>
          <w:color w:val="auto"/>
          <w:sz w:val="24"/>
          <w:highlight w:val="none"/>
        </w:rPr>
        <w:t>本</w:t>
      </w:r>
      <w:r>
        <w:rPr>
          <w:rFonts w:hint="eastAsia"/>
          <w:color w:val="auto"/>
          <w:sz w:val="24"/>
          <w:highlight w:val="none"/>
        </w:rPr>
        <w:t>合同</w:t>
      </w:r>
      <w:r>
        <w:rPr>
          <w:color w:val="auto"/>
          <w:sz w:val="24"/>
          <w:highlight w:val="none"/>
        </w:rPr>
        <w:t>另有约定或比选文件另有规定外，本合同一经生效</w:t>
      </w:r>
      <w:r>
        <w:rPr>
          <w:rFonts w:hint="eastAsia"/>
          <w:color w:val="auto"/>
          <w:sz w:val="24"/>
          <w:highlight w:val="none"/>
        </w:rPr>
        <w:t>，合同双方均不得擅自对本合同的内容（包括附件）作任何单方的修改，否则视为违约，应承担相应的违约责任。</w:t>
      </w:r>
    </w:p>
    <w:p>
      <w:pPr>
        <w:spacing w:line="384" w:lineRule="auto"/>
        <w:ind w:firstLine="600" w:firstLineChars="250"/>
        <w:rPr>
          <w:color w:val="auto"/>
          <w:sz w:val="24"/>
          <w:highlight w:val="none"/>
        </w:rPr>
      </w:pPr>
      <w:r>
        <w:rPr>
          <w:rFonts w:hint="eastAsia"/>
          <w:color w:val="auto"/>
          <w:sz w:val="24"/>
          <w:highlight w:val="none"/>
        </w:rPr>
        <w:t>9.</w:t>
      </w:r>
      <w:r>
        <w:rPr>
          <w:color w:val="auto"/>
          <w:sz w:val="24"/>
          <w:highlight w:val="none"/>
        </w:rPr>
        <w:t>5</w:t>
      </w:r>
      <w:r>
        <w:rPr>
          <w:rFonts w:hint="eastAsia"/>
          <w:color w:val="auto"/>
          <w:sz w:val="24"/>
          <w:highlight w:val="none"/>
        </w:rPr>
        <w:t>甲乙双方均应全面履行本合同约定的义务，若一方根本违约，导致合同无法继续履行，守约方有权要求违约方赔偿所遭受的损失并支付不超过本合同总额20%的违约金，本合同另有约定的除外。</w:t>
      </w:r>
    </w:p>
    <w:p>
      <w:pPr>
        <w:spacing w:line="384" w:lineRule="auto"/>
        <w:rPr>
          <w:color w:val="auto"/>
          <w:sz w:val="24"/>
          <w:highlight w:val="none"/>
        </w:rPr>
      </w:pPr>
      <w:r>
        <w:rPr>
          <w:rFonts w:hint="eastAsia"/>
          <w:color w:val="auto"/>
          <w:sz w:val="24"/>
          <w:highlight w:val="none"/>
        </w:rPr>
        <w:t>10、通知</w:t>
      </w:r>
    </w:p>
    <w:p>
      <w:pPr>
        <w:spacing w:line="384" w:lineRule="auto"/>
        <w:ind w:firstLine="480" w:firstLineChars="200"/>
        <w:rPr>
          <w:color w:val="auto"/>
          <w:sz w:val="24"/>
          <w:highlight w:val="none"/>
        </w:rPr>
      </w:pPr>
      <w:r>
        <w:rPr>
          <w:rFonts w:hint="eastAsia"/>
          <w:color w:val="auto"/>
          <w:sz w:val="24"/>
          <w:highlight w:val="none"/>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在变更</w:t>
      </w:r>
      <w:r>
        <w:rPr>
          <w:color w:val="auto"/>
          <w:sz w:val="24"/>
          <w:highlight w:val="none"/>
        </w:rPr>
        <w:t>后</w:t>
      </w:r>
      <w:r>
        <w:rPr>
          <w:rFonts w:hint="eastAsia"/>
          <w:color w:val="auto"/>
          <w:sz w:val="24"/>
          <w:highlight w:val="none"/>
        </w:rPr>
        <w:t>3日</w:t>
      </w:r>
      <w:r>
        <w:rPr>
          <w:color w:val="auto"/>
          <w:sz w:val="24"/>
          <w:highlight w:val="none"/>
        </w:rPr>
        <w:t>内</w:t>
      </w:r>
      <w:r>
        <w:rPr>
          <w:rFonts w:hint="eastAsia"/>
          <w:color w:val="auto"/>
          <w:sz w:val="24"/>
          <w:highlight w:val="none"/>
        </w:rPr>
        <w:t>通知另一方，否则，通知方按对方变更前地址寄出的，仍然视为有效送达，地址变更方对此无异议。</w:t>
      </w:r>
    </w:p>
    <w:p>
      <w:pPr>
        <w:spacing w:line="384" w:lineRule="auto"/>
        <w:ind w:firstLine="480" w:firstLineChars="200"/>
        <w:rPr>
          <w:color w:val="auto"/>
          <w:sz w:val="24"/>
          <w:highlight w:val="none"/>
        </w:rPr>
      </w:pPr>
      <w:r>
        <w:rPr>
          <w:rFonts w:hint="eastAsia"/>
          <w:color w:val="auto"/>
          <w:sz w:val="24"/>
          <w:highlight w:val="none"/>
        </w:rPr>
        <w:t>11、本合同在履行过程中，如发生争议或者纠纷，任何一方均可向福州仲裁委员会申请仲裁。</w:t>
      </w:r>
    </w:p>
    <w:p>
      <w:pPr>
        <w:spacing w:line="384" w:lineRule="auto"/>
        <w:ind w:firstLine="480" w:firstLineChars="200"/>
        <w:rPr>
          <w:color w:val="auto"/>
          <w:sz w:val="24"/>
          <w:highlight w:val="none"/>
        </w:rPr>
      </w:pPr>
      <w:r>
        <w:rPr>
          <w:rFonts w:hint="eastAsia"/>
          <w:color w:val="auto"/>
          <w:sz w:val="24"/>
          <w:highlight w:val="none"/>
        </w:rPr>
        <w:t>12、本合同</w:t>
      </w:r>
      <w:r>
        <w:rPr>
          <w:rFonts w:hint="eastAsia" w:ascii="宋体" w:hAnsi="宋体"/>
          <w:color w:val="auto"/>
          <w:sz w:val="24"/>
          <w:highlight w:val="none"/>
        </w:rPr>
        <w:t>总周期为壹年，</w:t>
      </w:r>
      <w:r>
        <w:rPr>
          <w:rFonts w:hint="eastAsia"/>
          <w:color w:val="auto"/>
          <w:sz w:val="24"/>
          <w:highlight w:val="none"/>
        </w:rPr>
        <w:t>有效期自2020年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日至2021年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日，壹式肆份，经双方签字或者盖章后即生效，甲方执叁份、乙方执壹份，具有同等法律效力。</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附件：</w:t>
      </w:r>
    </w:p>
    <w:p>
      <w:pPr>
        <w:spacing w:line="360" w:lineRule="auto"/>
        <w:ind w:firstLine="480" w:firstLineChars="200"/>
        <w:rPr>
          <w:color w:val="auto"/>
          <w:sz w:val="24"/>
          <w:szCs w:val="22"/>
          <w:highlight w:val="none"/>
        </w:rPr>
      </w:pPr>
      <w:r>
        <w:rPr>
          <w:rFonts w:hint="eastAsia"/>
          <w:color w:val="auto"/>
          <w:sz w:val="24"/>
          <w:szCs w:val="22"/>
          <w:highlight w:val="none"/>
        </w:rPr>
        <w:t>1、《福建省石油化学工业设计院办公计算机及配件</w:t>
      </w:r>
      <w:r>
        <w:rPr>
          <w:rFonts w:hint="eastAsia" w:ascii="宋体" w:hAnsi="宋体"/>
          <w:color w:val="auto"/>
          <w:sz w:val="24"/>
          <w:szCs w:val="24"/>
          <w:highlight w:val="none"/>
        </w:rPr>
        <w:t>采购项目</w:t>
      </w:r>
      <w:r>
        <w:rPr>
          <w:rFonts w:hint="eastAsia"/>
          <w:color w:val="auto"/>
          <w:sz w:val="24"/>
          <w:szCs w:val="22"/>
          <w:highlight w:val="none"/>
        </w:rPr>
        <w:t>自主比选文件》（另附）。</w:t>
      </w:r>
    </w:p>
    <w:p>
      <w:pPr>
        <w:spacing w:line="360" w:lineRule="auto"/>
        <w:ind w:firstLine="480" w:firstLineChars="200"/>
        <w:rPr>
          <w:color w:val="auto"/>
          <w:sz w:val="24"/>
          <w:highlight w:val="none"/>
        </w:rPr>
      </w:pPr>
      <w:r>
        <w:rPr>
          <w:rFonts w:hint="eastAsia"/>
          <w:color w:val="auto"/>
          <w:sz w:val="24"/>
          <w:szCs w:val="22"/>
          <w:highlight w:val="none"/>
        </w:rPr>
        <w:t>2、乙方参与甲方的《福建省石油化学工业设计院办公计算机及配件</w:t>
      </w:r>
      <w:r>
        <w:rPr>
          <w:rFonts w:hint="eastAsia" w:ascii="宋体" w:hAnsi="宋体"/>
          <w:color w:val="auto"/>
          <w:sz w:val="24"/>
          <w:szCs w:val="24"/>
          <w:highlight w:val="none"/>
        </w:rPr>
        <w:t>采购项目</w:t>
      </w:r>
      <w:r>
        <w:rPr>
          <w:rFonts w:hint="eastAsia"/>
          <w:color w:val="auto"/>
          <w:sz w:val="24"/>
          <w:szCs w:val="22"/>
          <w:highlight w:val="none"/>
        </w:rPr>
        <w:t>参选文件》（另附）。</w:t>
      </w:r>
    </w:p>
    <w:p>
      <w:pPr>
        <w:spacing w:line="360" w:lineRule="auto"/>
        <w:ind w:firstLine="480" w:firstLineChars="200"/>
        <w:rPr>
          <w:color w:val="auto"/>
          <w:sz w:val="24"/>
          <w:highlight w:val="none"/>
        </w:rPr>
      </w:pPr>
      <w:r>
        <w:rPr>
          <w:rFonts w:hint="eastAsia"/>
          <w:color w:val="auto"/>
          <w:sz w:val="24"/>
          <w:highlight w:val="none"/>
        </w:rPr>
        <w:t>（以下无正文内容，为签字盖章页）</w:t>
      </w:r>
    </w:p>
    <w:p>
      <w:pPr>
        <w:spacing w:line="360" w:lineRule="auto"/>
        <w:rPr>
          <w:color w:val="auto"/>
          <w:sz w:val="24"/>
          <w:highlight w:val="none"/>
        </w:rPr>
      </w:pPr>
      <w:r>
        <w:rPr>
          <w:rFonts w:hint="eastAsia"/>
          <w:color w:val="auto"/>
          <w:sz w:val="24"/>
          <w:highlight w:val="none"/>
        </w:rPr>
        <w:t>甲方</w:t>
      </w:r>
      <w:r>
        <w:rPr>
          <w:rFonts w:hint="eastAsia" w:ascii="宋体" w:hAnsi="宋体"/>
          <w:color w:val="auto"/>
          <w:sz w:val="24"/>
          <w:highlight w:val="none"/>
        </w:rPr>
        <w:t>（签章）</w:t>
      </w:r>
      <w:r>
        <w:rPr>
          <w:rFonts w:hint="eastAsia"/>
          <w:color w:val="auto"/>
          <w:sz w:val="24"/>
          <w:highlight w:val="none"/>
        </w:rPr>
        <w:t>：福建省石油化学工业设计院     乙方</w:t>
      </w:r>
      <w:r>
        <w:rPr>
          <w:rFonts w:hint="eastAsia" w:ascii="宋体" w:hAnsi="宋体"/>
          <w:color w:val="auto"/>
          <w:sz w:val="24"/>
          <w:highlight w:val="none"/>
        </w:rPr>
        <w:t>（签章）</w:t>
      </w:r>
      <w:r>
        <w:rPr>
          <w:rFonts w:hint="eastAsia"/>
          <w:color w:val="auto"/>
          <w:sz w:val="24"/>
          <w:highlight w:val="none"/>
        </w:rPr>
        <w:t>：</w:t>
      </w:r>
    </w:p>
    <w:p>
      <w:pPr>
        <w:tabs>
          <w:tab w:val="left" w:pos="-540"/>
          <w:tab w:val="left" w:pos="3780"/>
        </w:tabs>
        <w:spacing w:line="400" w:lineRule="exact"/>
        <w:rPr>
          <w:color w:val="auto"/>
          <w:sz w:val="24"/>
          <w:highlight w:val="none"/>
        </w:rPr>
      </w:pPr>
      <w:r>
        <w:rPr>
          <w:rFonts w:hint="eastAsia"/>
          <w:color w:val="auto"/>
          <w:sz w:val="24"/>
          <w:highlight w:val="none"/>
        </w:rPr>
        <w:t>联系地址：福州市东大路117号               联系地址：</w:t>
      </w:r>
    </w:p>
    <w:p>
      <w:pPr>
        <w:spacing w:line="360" w:lineRule="auto"/>
        <w:rPr>
          <w:color w:val="auto"/>
          <w:sz w:val="24"/>
          <w:highlight w:val="none"/>
        </w:rPr>
      </w:pPr>
      <w:r>
        <w:rPr>
          <w:rFonts w:hint="eastAsia"/>
          <w:color w:val="auto"/>
          <w:sz w:val="24"/>
          <w:highlight w:val="none"/>
        </w:rPr>
        <w:t>邮编：350001                               邮编：</w:t>
      </w:r>
    </w:p>
    <w:p>
      <w:pPr>
        <w:spacing w:line="360" w:lineRule="auto"/>
        <w:rPr>
          <w:color w:val="auto"/>
          <w:sz w:val="24"/>
          <w:highlight w:val="none"/>
        </w:rPr>
      </w:pPr>
      <w:r>
        <w:rPr>
          <w:rFonts w:hint="eastAsia"/>
          <w:color w:val="auto"/>
          <w:sz w:val="24"/>
          <w:highlight w:val="none"/>
        </w:rPr>
        <w:t>传真：0591-87556177                        传真：</w:t>
      </w:r>
    </w:p>
    <w:p>
      <w:pPr>
        <w:spacing w:line="360" w:lineRule="auto"/>
        <w:rPr>
          <w:color w:val="auto"/>
          <w:sz w:val="24"/>
          <w:highlight w:val="none"/>
        </w:rPr>
      </w:pPr>
      <w:r>
        <w:rPr>
          <w:rFonts w:hint="eastAsia"/>
          <w:color w:val="auto"/>
          <w:sz w:val="24"/>
          <w:highlight w:val="none"/>
        </w:rPr>
        <w:t>电子邮箱：                                 电子邮箱：</w:t>
      </w:r>
    </w:p>
    <w:p>
      <w:pPr>
        <w:spacing w:line="360" w:lineRule="auto"/>
        <w:rPr>
          <w:color w:val="auto"/>
          <w:sz w:val="24"/>
          <w:highlight w:val="none"/>
        </w:rPr>
      </w:pPr>
      <w:r>
        <w:rPr>
          <w:rFonts w:hint="eastAsia"/>
          <w:color w:val="auto"/>
          <w:sz w:val="24"/>
          <w:highlight w:val="none"/>
        </w:rPr>
        <w:t>委托代理人：                               委托代理人：</w:t>
      </w:r>
    </w:p>
    <w:p>
      <w:pPr>
        <w:spacing w:line="360" w:lineRule="auto"/>
        <w:rPr>
          <w:color w:val="auto"/>
          <w:sz w:val="24"/>
          <w:highlight w:val="none"/>
        </w:rPr>
      </w:pPr>
      <w:r>
        <w:rPr>
          <w:rFonts w:hint="eastAsia"/>
          <w:color w:val="auto"/>
          <w:sz w:val="24"/>
          <w:highlight w:val="none"/>
        </w:rPr>
        <w:t>法定代表人：                               法定代表人：</w:t>
      </w:r>
    </w:p>
    <w:p>
      <w:pPr>
        <w:spacing w:line="360" w:lineRule="auto"/>
        <w:rPr>
          <w:color w:val="auto"/>
          <w:sz w:val="24"/>
          <w:highlight w:val="none"/>
        </w:rPr>
      </w:pPr>
      <w:r>
        <w:rPr>
          <w:rFonts w:hint="eastAsia"/>
          <w:color w:val="auto"/>
          <w:sz w:val="24"/>
          <w:highlight w:val="none"/>
        </w:rPr>
        <w:t>电话：0591-8755</w:t>
      </w:r>
      <w:r>
        <w:rPr>
          <w:rFonts w:hint="eastAsia"/>
          <w:color w:val="auto"/>
          <w:sz w:val="24"/>
          <w:highlight w:val="none"/>
          <w:lang w:val="en-US" w:eastAsia="zh-CN"/>
        </w:rPr>
        <w:t>7696</w:t>
      </w:r>
      <w:r>
        <w:rPr>
          <w:rFonts w:hint="eastAsia"/>
          <w:color w:val="auto"/>
          <w:sz w:val="24"/>
          <w:highlight w:val="none"/>
        </w:rPr>
        <w:t xml:space="preserve">                        电话：</w:t>
      </w:r>
    </w:p>
    <w:p>
      <w:pPr>
        <w:spacing w:line="360" w:lineRule="auto"/>
        <w:rPr>
          <w:color w:val="auto"/>
          <w:sz w:val="24"/>
          <w:highlight w:val="none"/>
        </w:rPr>
      </w:pPr>
      <w:r>
        <w:rPr>
          <w:rFonts w:hint="eastAsia"/>
          <w:color w:val="auto"/>
          <w:sz w:val="24"/>
          <w:highlight w:val="none"/>
        </w:rPr>
        <w:t>开户银行：兴业银行福州晋安支行             开户银行：</w:t>
      </w:r>
    </w:p>
    <w:p>
      <w:pPr>
        <w:spacing w:line="360" w:lineRule="auto"/>
        <w:rPr>
          <w:color w:val="auto"/>
          <w:sz w:val="24"/>
          <w:highlight w:val="none"/>
        </w:rPr>
      </w:pPr>
      <w:r>
        <w:rPr>
          <w:rFonts w:hint="eastAsia"/>
          <w:color w:val="auto"/>
          <w:sz w:val="24"/>
          <w:highlight w:val="none"/>
        </w:rPr>
        <w:t>账号：117120100100035541                   账号：</w:t>
      </w:r>
    </w:p>
    <w:p>
      <w:pPr>
        <w:spacing w:line="360" w:lineRule="auto"/>
        <w:rPr>
          <w:color w:val="auto"/>
          <w:highlight w:val="none"/>
        </w:rPr>
      </w:pPr>
      <w:r>
        <w:rPr>
          <w:rFonts w:hint="eastAsia"/>
          <w:color w:val="auto"/>
          <w:sz w:val="24"/>
          <w:highlight w:val="none"/>
        </w:rPr>
        <w:t>纳税人识别号：</w:t>
      </w:r>
      <w:r>
        <w:rPr>
          <w:color w:val="auto"/>
          <w:sz w:val="24"/>
          <w:highlight w:val="none"/>
        </w:rPr>
        <w:t>9135010015443088X1</w:t>
      </w:r>
      <w:r>
        <w:rPr>
          <w:rFonts w:hint="eastAsia"/>
          <w:color w:val="auto"/>
          <w:sz w:val="24"/>
          <w:highlight w:val="none"/>
        </w:rPr>
        <w:t xml:space="preserve">          纳税人识别号：</w:t>
      </w:r>
    </w:p>
    <w:p>
      <w:pPr>
        <w:snapToGrid w:val="0"/>
        <w:spacing w:line="360" w:lineRule="auto"/>
        <w:rPr>
          <w:rFonts w:ascii="宋体"/>
          <w:color w:val="auto"/>
          <w:sz w:val="28"/>
          <w:szCs w:val="28"/>
          <w:highlight w:val="none"/>
        </w:rPr>
      </w:pPr>
    </w:p>
    <w:p>
      <w:pPr>
        <w:widowControl/>
        <w:adjustRightInd/>
        <w:spacing w:line="240" w:lineRule="auto"/>
        <w:jc w:val="left"/>
        <w:textAlignment w:val="auto"/>
        <w:rPr>
          <w:rFonts w:ascii="宋体"/>
          <w:color w:val="auto"/>
          <w:sz w:val="28"/>
          <w:szCs w:val="28"/>
          <w:highlight w:val="none"/>
        </w:rPr>
      </w:pPr>
      <w:r>
        <w:rPr>
          <w:rFonts w:ascii="宋体"/>
          <w:color w:val="auto"/>
          <w:sz w:val="28"/>
          <w:szCs w:val="28"/>
          <w:highlight w:val="none"/>
        </w:rPr>
        <w:br w:type="page"/>
      </w:r>
    </w:p>
    <w:p>
      <w:pPr>
        <w:spacing w:line="520" w:lineRule="exact"/>
        <w:rPr>
          <w:rFonts w:ascii="宋体"/>
          <w:color w:val="auto"/>
          <w:sz w:val="32"/>
          <w:szCs w:val="32"/>
          <w:highlight w:val="none"/>
        </w:rPr>
      </w:pPr>
      <w:r>
        <w:rPr>
          <w:rFonts w:hint="eastAsia" w:ascii="宋体" w:hAnsi="宋体" w:cs="宋体"/>
          <w:color w:val="auto"/>
          <w:sz w:val="32"/>
          <w:szCs w:val="32"/>
          <w:highlight w:val="none"/>
        </w:rPr>
        <w:t>附件二：</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rPr>
        <w:t>参选报价单</w:t>
      </w:r>
    </w:p>
    <w:p>
      <w:pPr>
        <w:snapToGrid w:val="0"/>
        <w:spacing w:line="360" w:lineRule="auto"/>
        <w:rPr>
          <w:rFonts w:ascii="宋体" w:hAnsi="宋体"/>
          <w:color w:val="auto"/>
          <w:sz w:val="28"/>
          <w:szCs w:val="28"/>
          <w:highlight w:val="none"/>
        </w:rPr>
      </w:pP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福建省石油化学工业设计院</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贵院2020-2021年办公计算机及配件采购项目比选文件我公司已阅知并完全同意，承诺此次报价真实、有效。同时承诺，中选后认真履行中选义务，提供优质服务。现将本公司有关报价及说明如下：</w:t>
      </w:r>
    </w:p>
    <w:tbl>
      <w:tblPr>
        <w:tblStyle w:val="21"/>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12"/>
        <w:gridCol w:w="738"/>
        <w:gridCol w:w="2796"/>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序号</w:t>
            </w:r>
          </w:p>
        </w:tc>
        <w:tc>
          <w:tcPr>
            <w:tcW w:w="1112"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名称</w:t>
            </w:r>
          </w:p>
        </w:tc>
        <w:tc>
          <w:tcPr>
            <w:tcW w:w="738"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品牌</w:t>
            </w: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规格型号</w:t>
            </w:r>
          </w:p>
        </w:tc>
        <w:tc>
          <w:tcPr>
            <w:tcW w:w="1770"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报价单价（元）</w:t>
            </w:r>
          </w:p>
        </w:tc>
        <w:tc>
          <w:tcPr>
            <w:tcW w:w="1770"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w:t>
            </w:r>
          </w:p>
        </w:tc>
        <w:tc>
          <w:tcPr>
            <w:tcW w:w="1112" w:type="dxa"/>
            <w:vAlign w:val="center"/>
          </w:tcPr>
          <w:p>
            <w:pPr>
              <w:widowControl/>
              <w:jc w:val="center"/>
              <w:textAlignment w:val="center"/>
              <w:rPr>
                <w:rFonts w:ascii="宋体" w:hAnsi="宋体" w:cs="宋体"/>
                <w:color w:val="auto"/>
                <w:sz w:val="24"/>
                <w:szCs w:val="24"/>
                <w:highlight w:val="none"/>
                <w:lang w:bidi="ar"/>
              </w:rPr>
            </w:pPr>
            <w:r>
              <w:rPr>
                <w:rFonts w:hint="eastAsia" w:hAnsi="宋体" w:cs="宋体"/>
                <w:color w:val="auto"/>
                <w:kern w:val="2"/>
                <w:sz w:val="24"/>
                <w:szCs w:val="24"/>
                <w:highlight w:val="none"/>
                <w:lang w:eastAsia="zh-CN"/>
              </w:rPr>
              <w:t>商用</w:t>
            </w:r>
            <w:r>
              <w:rPr>
                <w:rFonts w:hint="eastAsia" w:hAnsi="宋体" w:cs="宋体"/>
                <w:color w:val="auto"/>
                <w:kern w:val="2"/>
                <w:sz w:val="24"/>
                <w:szCs w:val="24"/>
                <w:highlight w:val="none"/>
              </w:rPr>
              <w:t>台式机A1</w:t>
            </w: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2</w:t>
            </w:r>
          </w:p>
        </w:tc>
        <w:tc>
          <w:tcPr>
            <w:tcW w:w="1112" w:type="dxa"/>
            <w:vAlign w:val="center"/>
          </w:tcPr>
          <w:p>
            <w:pPr>
              <w:widowControl/>
              <w:jc w:val="center"/>
              <w:textAlignment w:val="center"/>
              <w:rPr>
                <w:rFonts w:hAnsi="宋体" w:cs="宋体"/>
                <w:color w:val="auto"/>
                <w:kern w:val="2"/>
                <w:sz w:val="24"/>
                <w:szCs w:val="24"/>
                <w:highlight w:val="none"/>
              </w:rPr>
            </w:pPr>
            <w:r>
              <w:rPr>
                <w:rFonts w:hint="eastAsia" w:hAnsi="宋体" w:cs="宋体"/>
                <w:color w:val="auto"/>
                <w:kern w:val="2"/>
                <w:sz w:val="24"/>
                <w:szCs w:val="24"/>
                <w:highlight w:val="none"/>
                <w:lang w:eastAsia="zh-CN"/>
              </w:rPr>
              <w:t>商用</w:t>
            </w:r>
            <w:r>
              <w:rPr>
                <w:rFonts w:hint="eastAsia" w:hAnsi="宋体" w:cs="宋体"/>
                <w:color w:val="auto"/>
                <w:kern w:val="2"/>
                <w:sz w:val="24"/>
                <w:szCs w:val="24"/>
                <w:highlight w:val="none"/>
              </w:rPr>
              <w:t>台式机A2</w:t>
            </w: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w:t>
            </w:r>
          </w:p>
        </w:tc>
        <w:tc>
          <w:tcPr>
            <w:tcW w:w="1112" w:type="dxa"/>
            <w:vAlign w:val="center"/>
          </w:tcPr>
          <w:p>
            <w:pPr>
              <w:widowControl/>
              <w:jc w:val="center"/>
              <w:textAlignment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商用笔记本</w:t>
            </w: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p>
        </w:tc>
        <w:tc>
          <w:tcPr>
            <w:tcW w:w="1112" w:type="dxa"/>
            <w:vAlign w:val="center"/>
          </w:tcPr>
          <w:p>
            <w:pPr>
              <w:widowControl/>
              <w:jc w:val="center"/>
              <w:textAlignment w:val="center"/>
              <w:rPr>
                <w:rFonts w:hAnsi="宋体" w:cs="宋体"/>
                <w:color w:val="auto"/>
                <w:kern w:val="2"/>
                <w:sz w:val="24"/>
                <w:szCs w:val="24"/>
                <w:highlight w:val="none"/>
              </w:rPr>
            </w:pPr>
            <w:r>
              <w:rPr>
                <w:rFonts w:hint="eastAsia" w:hAnsi="宋体" w:cs="宋体"/>
                <w:color w:val="auto"/>
                <w:kern w:val="2"/>
                <w:sz w:val="24"/>
                <w:szCs w:val="24"/>
                <w:highlight w:val="none"/>
              </w:rPr>
              <w:t>显示器</w:t>
            </w: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5</w:t>
            </w:r>
          </w:p>
        </w:tc>
        <w:tc>
          <w:tcPr>
            <w:tcW w:w="1112" w:type="dxa"/>
            <w:vAlign w:val="center"/>
          </w:tcPr>
          <w:p>
            <w:pPr>
              <w:widowControl/>
              <w:jc w:val="center"/>
              <w:textAlignment w:val="center"/>
              <w:rPr>
                <w:rFonts w:hAnsi="宋体" w:cs="宋体"/>
                <w:color w:val="auto"/>
                <w:kern w:val="2"/>
                <w:sz w:val="24"/>
                <w:szCs w:val="24"/>
                <w:highlight w:val="none"/>
              </w:rPr>
            </w:pPr>
            <w:r>
              <w:rPr>
                <w:rFonts w:hint="eastAsia" w:hAnsi="宋体" w:cs="宋体"/>
                <w:color w:val="auto"/>
                <w:kern w:val="2"/>
                <w:sz w:val="24"/>
                <w:szCs w:val="24"/>
                <w:highlight w:val="none"/>
              </w:rPr>
              <w:t>配件</w:t>
            </w: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GT730 2G显存独立显卡（接口类型为VGA、DVI、HDMI，满足其中两个接口可接双屏）</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金士顿120G固态硬盘SATA接口</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金士顿240G固态硬盘SATA接口</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希捷1TB机械硬盘SATA接口</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≥USB3.0接口希捷1TB移动硬盘</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金士顿4G DDR4内存条</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金士顿8G DDR4内存条</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TPLINK网卡</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双飞燕USB</w:t>
            </w:r>
            <w:r>
              <w:rPr>
                <w:rFonts w:hint="eastAsia" w:ascii="宋体" w:hAnsi="宋体" w:cs="宋体"/>
                <w:color w:val="auto"/>
                <w:sz w:val="24"/>
                <w:szCs w:val="24"/>
                <w:highlight w:val="none"/>
                <w:lang w:eastAsia="zh-CN"/>
              </w:rPr>
              <w:t>防水</w:t>
            </w:r>
            <w:r>
              <w:rPr>
                <w:rFonts w:hint="eastAsia" w:ascii="宋体" w:hAnsi="宋体" w:cs="宋体"/>
                <w:color w:val="auto"/>
                <w:sz w:val="24"/>
                <w:szCs w:val="24"/>
                <w:highlight w:val="none"/>
              </w:rPr>
              <w:t>键盘</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双飞燕USB鼠标</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鼠标(无线)</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TPLINK 5口交换机</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网线3米（超五类线、已配好水晶头，直接可以使用）</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网线2米（超五类线、已配好水晶头，直接可以使用）</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网线1米（超五类线、已配好水晶头，直接可以使用）</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32G U盘</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网线水晶头1盒</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目前院里在用的</w:t>
            </w:r>
            <w:r>
              <w:rPr>
                <w:rFonts w:hint="eastAsia" w:ascii="宋体" w:hAnsi="宋体" w:cs="宋体"/>
                <w:color w:val="auto"/>
                <w:kern w:val="0"/>
                <w:sz w:val="24"/>
                <w:szCs w:val="24"/>
                <w:highlight w:val="none"/>
                <w:lang w:val="en-US" w:eastAsia="zh-CN"/>
              </w:rPr>
              <w:t>电脑主机电源</w:t>
            </w:r>
            <w:r>
              <w:rPr>
                <w:rFonts w:hint="eastAsia" w:ascii="宋体" w:hAnsi="宋体" w:cs="宋体"/>
                <w:color w:val="auto"/>
                <w:sz w:val="24"/>
                <w:szCs w:val="24"/>
                <w:highlight w:val="none"/>
                <w:lang w:eastAsia="zh-CN"/>
              </w:rPr>
              <w:t>更换或维修最高限价</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jc w:val="center"/>
              <w:textAlignment w:val="center"/>
              <w:rPr>
                <w:rFonts w:ascii="宋体" w:hAnsi="宋体" w:cs="宋体"/>
                <w:color w:val="auto"/>
                <w:sz w:val="24"/>
                <w:szCs w:val="24"/>
                <w:highlight w:val="none"/>
                <w:lang w:bidi="ar"/>
              </w:rPr>
            </w:pPr>
          </w:p>
        </w:tc>
        <w:tc>
          <w:tcPr>
            <w:tcW w:w="1112" w:type="dxa"/>
            <w:vAlign w:val="center"/>
          </w:tcPr>
          <w:p>
            <w:pPr>
              <w:widowControl/>
              <w:jc w:val="center"/>
              <w:textAlignment w:val="center"/>
              <w:rPr>
                <w:rFonts w:hAnsi="宋体" w:cs="宋体"/>
                <w:color w:val="auto"/>
                <w:kern w:val="2"/>
                <w:sz w:val="24"/>
                <w:szCs w:val="24"/>
                <w:highlight w:val="none"/>
              </w:rPr>
            </w:pPr>
          </w:p>
        </w:tc>
        <w:tc>
          <w:tcPr>
            <w:tcW w:w="738" w:type="dxa"/>
            <w:vAlign w:val="center"/>
          </w:tcPr>
          <w:p>
            <w:pPr>
              <w:widowControl/>
              <w:jc w:val="center"/>
              <w:textAlignment w:val="center"/>
              <w:rPr>
                <w:rFonts w:ascii="宋体" w:hAnsi="宋体" w:cs="宋体"/>
                <w:color w:val="auto"/>
                <w:sz w:val="24"/>
                <w:szCs w:val="24"/>
                <w:highlight w:val="none"/>
                <w:lang w:bidi="ar"/>
              </w:rPr>
            </w:pPr>
          </w:p>
        </w:tc>
        <w:tc>
          <w:tcPr>
            <w:tcW w:w="2796" w:type="dxa"/>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目前院里在用的台式机或笔记本电脑主板更换或维修最高限价</w:t>
            </w:r>
          </w:p>
        </w:tc>
        <w:tc>
          <w:tcPr>
            <w:tcW w:w="1770" w:type="dxa"/>
            <w:vAlign w:val="center"/>
          </w:tcPr>
          <w:p>
            <w:pPr>
              <w:widowControl/>
              <w:jc w:val="center"/>
              <w:textAlignment w:val="center"/>
              <w:rPr>
                <w:rFonts w:ascii="宋体" w:hAnsi="宋体" w:cs="宋体"/>
                <w:color w:val="auto"/>
                <w:sz w:val="24"/>
                <w:szCs w:val="24"/>
                <w:highlight w:val="none"/>
                <w:lang w:bidi="ar"/>
              </w:rPr>
            </w:pPr>
          </w:p>
        </w:tc>
        <w:tc>
          <w:tcPr>
            <w:tcW w:w="1770" w:type="dxa"/>
            <w:vAlign w:val="center"/>
          </w:tcPr>
          <w:p>
            <w:pPr>
              <w:widowControl/>
              <w:jc w:val="center"/>
              <w:textAlignment w:val="center"/>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8862" w:type="dxa"/>
            <w:gridSpan w:val="6"/>
            <w:vAlign w:val="center"/>
          </w:tcPr>
          <w:p>
            <w:pPr>
              <w:widowControl/>
              <w:jc w:val="left"/>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rPr>
              <w:t>参选总价（人民币元）：（大写）                     （</w:t>
            </w:r>
            <w:r>
              <w:rPr>
                <w:rFonts w:hint="eastAsia" w:ascii="宋体" w:hAnsi="宋体" w:cs="Calibri"/>
                <w:color w:val="auto"/>
                <w:sz w:val="24"/>
                <w:szCs w:val="24"/>
                <w:highlight w:val="none"/>
              </w:rPr>
              <w:t>小写）</w:t>
            </w:r>
            <w:r>
              <w:rPr>
                <w:rFonts w:hint="eastAsia" w:cs="Calibri"/>
                <w:color w:val="auto"/>
                <w:sz w:val="24"/>
                <w:szCs w:val="24"/>
                <w:highlight w:val="none"/>
              </w:rPr>
              <w:t>￥元</w:t>
            </w:r>
          </w:p>
        </w:tc>
      </w:tr>
    </w:tbl>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以上报价含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%增值税。我方就上述所投项目提供7×24小时现场响应，并</w:t>
      </w:r>
      <w:r>
        <w:rPr>
          <w:rFonts w:hint="eastAsia" w:ascii="宋体" w:hAnsi="宋体" w:cs="宋体"/>
          <w:color w:val="auto"/>
          <w:sz w:val="24"/>
          <w:szCs w:val="24"/>
          <w:highlight w:val="none"/>
          <w:lang w:eastAsia="zh-CN"/>
        </w:rPr>
        <w:t>按质量保证期</w:t>
      </w:r>
      <w:r>
        <w:rPr>
          <w:rFonts w:hint="eastAsia" w:ascii="宋体" w:hAnsi="宋体" w:cs="宋体"/>
          <w:color w:val="auto"/>
          <w:sz w:val="24"/>
          <w:szCs w:val="24"/>
          <w:highlight w:val="none"/>
        </w:rPr>
        <w:t>提供免费保修及售后服务。</w:t>
      </w:r>
    </w:p>
    <w:p>
      <w:pPr>
        <w:pStyle w:val="11"/>
        <w:spacing w:after="0" w:line="360" w:lineRule="auto"/>
        <w:ind w:left="980" w:hanging="840" w:hangingChars="350"/>
        <w:rPr>
          <w:rFonts w:ascii="宋体" w:hAnsi="宋体" w:cs="宋体"/>
          <w:color w:val="auto"/>
          <w:sz w:val="24"/>
          <w:szCs w:val="24"/>
          <w:highlight w:val="none"/>
        </w:rPr>
      </w:pPr>
      <w:r>
        <w:rPr>
          <w:rFonts w:hint="eastAsia" w:ascii="宋体" w:hAnsi="宋体" w:cs="宋体"/>
          <w:color w:val="auto"/>
          <w:sz w:val="24"/>
          <w:szCs w:val="24"/>
          <w:highlight w:val="none"/>
        </w:rPr>
        <w:t>注：1、此表装在一个单独小信封内密封，封口盖公章；将该信封与参选书正本一同装在大信封内，大信封封口盖公章。</w:t>
      </w:r>
    </w:p>
    <w:p>
      <w:pPr>
        <w:pStyle w:val="11"/>
        <w:numPr>
          <w:ilvl w:val="0"/>
          <w:numId w:val="7"/>
        </w:numPr>
        <w:spacing w:after="0" w:line="360" w:lineRule="auto"/>
        <w:ind w:left="672" w:hanging="258"/>
        <w:rPr>
          <w:rFonts w:ascii="宋体" w:hAnsi="宋体" w:cs="宋体"/>
          <w:color w:val="auto"/>
          <w:sz w:val="24"/>
          <w:szCs w:val="24"/>
          <w:highlight w:val="none"/>
        </w:rPr>
      </w:pPr>
      <w:r>
        <w:rPr>
          <w:rFonts w:hint="eastAsia" w:ascii="宋体" w:hAnsi="宋体" w:cs="宋体"/>
          <w:color w:val="auto"/>
          <w:sz w:val="24"/>
          <w:szCs w:val="24"/>
          <w:highlight w:val="none"/>
        </w:rPr>
        <w:t>参选人参选报价应包含一切税费；如果参选人在中选并签署合同后，在供货、开发、安装、调试、培训、售后服务等工作中出现任何遗漏，均由中选方免费提供，比选人将不再支付任何费用。</w:t>
      </w:r>
    </w:p>
    <w:p>
      <w:pPr>
        <w:pStyle w:val="11"/>
        <w:spacing w:after="0" w:line="360" w:lineRule="auto"/>
        <w:ind w:left="607"/>
        <w:rPr>
          <w:rFonts w:ascii="宋体" w:hAnsi="宋体" w:cs="宋体"/>
          <w:color w:val="auto"/>
          <w:sz w:val="24"/>
          <w:szCs w:val="24"/>
          <w:highlight w:val="none"/>
        </w:rPr>
      </w:pPr>
    </w:p>
    <w:p>
      <w:pPr>
        <w:snapToGrid w:val="0"/>
        <w:spacing w:line="360" w:lineRule="auto"/>
        <w:ind w:right="560"/>
        <w:jc w:val="center"/>
        <w:rPr>
          <w:rFonts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（签章）：</w:t>
      </w:r>
    </w:p>
    <w:p>
      <w:pPr>
        <w:snapToGrid w:val="0"/>
        <w:spacing w:line="360" w:lineRule="auto"/>
        <w:ind w:right="1120" w:firstLine="4920" w:firstLineChars="2050"/>
        <w:rPr>
          <w:rFonts w:ascii="宋体" w:hAnsi="宋体"/>
          <w:color w:val="auto"/>
          <w:sz w:val="24"/>
          <w:szCs w:val="24"/>
          <w:highlight w:val="none"/>
        </w:rPr>
      </w:pPr>
      <w:r>
        <w:rPr>
          <w:rFonts w:hint="eastAsia" w:ascii="宋体" w:hAnsi="宋体" w:cs="宋体"/>
          <w:color w:val="auto"/>
          <w:sz w:val="24"/>
          <w:szCs w:val="24"/>
          <w:highlight w:val="none"/>
        </w:rPr>
        <w:t>联系人：</w:t>
      </w:r>
    </w:p>
    <w:p>
      <w:pPr>
        <w:snapToGrid w:val="0"/>
        <w:spacing w:line="360" w:lineRule="auto"/>
        <w:ind w:right="1120" w:firstLine="4920" w:firstLineChars="2050"/>
        <w:rPr>
          <w:rFonts w:ascii="宋体" w:hAnsi="宋体"/>
          <w:color w:val="auto"/>
          <w:sz w:val="24"/>
          <w:szCs w:val="24"/>
          <w:highlight w:val="none"/>
        </w:rPr>
      </w:pPr>
      <w:r>
        <w:rPr>
          <w:rFonts w:hint="eastAsia" w:ascii="宋体" w:hAnsi="宋体" w:cs="宋体"/>
          <w:color w:val="auto"/>
          <w:sz w:val="24"/>
          <w:szCs w:val="24"/>
          <w:highlight w:val="none"/>
        </w:rPr>
        <w:t>联系电话：</w:t>
      </w:r>
    </w:p>
    <w:p>
      <w:pPr>
        <w:snapToGrid w:val="0"/>
        <w:spacing w:line="360" w:lineRule="auto"/>
        <w:ind w:right="560"/>
        <w:jc w:val="right"/>
        <w:rPr>
          <w:rFonts w:ascii="宋体" w:hAns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p>
      <w:pPr>
        <w:jc w:val="left"/>
        <w:rPr>
          <w:rFonts w:ascii="宋体" w:hAnsi="宋体" w:cs="宋体"/>
          <w:color w:val="auto"/>
          <w:sz w:val="32"/>
          <w:szCs w:val="32"/>
          <w:highlight w:val="none"/>
        </w:rPr>
      </w:pPr>
      <w:r>
        <w:rPr>
          <w:rFonts w:ascii="宋体" w:hAnsi="宋体" w:cs="宋体"/>
          <w:color w:val="auto"/>
          <w:sz w:val="28"/>
          <w:szCs w:val="28"/>
          <w:highlight w:val="none"/>
        </w:rPr>
        <w:br w:type="page"/>
      </w: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三</w:t>
      </w:r>
      <w:r>
        <w:rPr>
          <w:rFonts w:hint="eastAsia" w:ascii="宋体" w:hAnsi="宋体" w:cs="宋体"/>
          <w:color w:val="auto"/>
          <w:sz w:val="32"/>
          <w:szCs w:val="32"/>
          <w:highlight w:val="none"/>
        </w:rPr>
        <w:t>：</w:t>
      </w:r>
      <w:r>
        <w:rPr>
          <w:rFonts w:ascii="宋体" w:hAnsi="宋体" w:cs="宋体"/>
          <w:color w:val="auto"/>
          <w:sz w:val="32"/>
          <w:szCs w:val="32"/>
          <w:highlight w:val="none"/>
        </w:rPr>
        <w:t xml:space="preserve"> </w:t>
      </w:r>
    </w:p>
    <w:p>
      <w:pPr>
        <w:snapToGrid w:val="0"/>
        <w:spacing w:line="360" w:lineRule="auto"/>
        <w:jc w:val="center"/>
        <w:rPr>
          <w:rFonts w:ascii="宋体"/>
          <w:b/>
          <w:bCs/>
          <w:color w:val="auto"/>
          <w:sz w:val="32"/>
          <w:szCs w:val="32"/>
          <w:highlight w:val="none"/>
        </w:rPr>
      </w:pPr>
      <w:r>
        <w:rPr>
          <w:rFonts w:hint="eastAsia" w:ascii="宋体" w:hAnsi="宋体" w:cs="宋体"/>
          <w:b/>
          <w:bCs/>
          <w:color w:val="auto"/>
          <w:sz w:val="32"/>
          <w:szCs w:val="32"/>
          <w:highlight w:val="none"/>
        </w:rPr>
        <w:t>法定代表人授权委托书</w:t>
      </w:r>
    </w:p>
    <w:p>
      <w:pPr>
        <w:snapToGrid w:val="0"/>
        <w:spacing w:line="360" w:lineRule="auto"/>
        <w:jc w:val="center"/>
        <w:rPr>
          <w:rFonts w:ascii="宋体"/>
          <w:color w:val="auto"/>
          <w:sz w:val="24"/>
          <w:szCs w:val="24"/>
          <w:highlight w:val="none"/>
        </w:rPr>
      </w:pPr>
    </w:p>
    <w:p>
      <w:pPr>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致：</w:t>
      </w:r>
      <w:r>
        <w:rPr>
          <w:rFonts w:hint="eastAsia" w:ascii="宋体" w:hAnsi="宋体"/>
          <w:color w:val="auto"/>
          <w:sz w:val="24"/>
          <w:szCs w:val="24"/>
          <w:highlight w:val="none"/>
        </w:rPr>
        <w:t>福建省石油化学工业设计院</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ascii="宋体" w:hAnsi="宋体" w:cs="宋体"/>
          <w:color w:val="auto"/>
          <w:sz w:val="24"/>
          <w:szCs w:val="24"/>
          <w:highlight w:val="none"/>
        </w:rPr>
        <w:t>:</w:t>
      </w:r>
      <w:r>
        <w:rPr>
          <w:rFonts w:hint="eastAsia" w:ascii="宋体" w:hAnsi="宋体" w:cs="宋体"/>
          <w:color w:val="auto"/>
          <w:sz w:val="24"/>
          <w:szCs w:val="24"/>
          <w:highlight w:val="none"/>
        </w:rPr>
        <w:t>注册于</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公司住所</w:t>
      </w:r>
      <w:r>
        <w:rPr>
          <w:rFonts w:ascii="宋体" w:hAnsi="宋体" w:cs="宋体"/>
          <w:color w:val="auto"/>
          <w:sz w:val="24"/>
          <w:szCs w:val="24"/>
          <w:highlight w:val="none"/>
        </w:rPr>
        <w:t>)</w:t>
      </w:r>
      <w:r>
        <w:rPr>
          <w:rFonts w:hint="eastAsia" w:ascii="宋体" w:hAnsi="宋体" w:cs="宋体"/>
          <w:color w:val="auto"/>
          <w:sz w:val="24"/>
          <w:szCs w:val="24"/>
          <w:highlight w:val="none"/>
        </w:rPr>
        <w:t>的</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（公司名称</w:t>
      </w:r>
      <w:r>
        <w:rPr>
          <w:rFonts w:ascii="宋体" w:hAnsi="宋体" w:cs="宋体"/>
          <w:color w:val="auto"/>
          <w:sz w:val="24"/>
          <w:szCs w:val="24"/>
          <w:highlight w:val="none"/>
        </w:rPr>
        <w:t>)</w:t>
      </w:r>
      <w:r>
        <w:rPr>
          <w:rFonts w:hint="eastAsia" w:ascii="宋体" w:hAnsi="宋体" w:cs="宋体"/>
          <w:color w:val="auto"/>
          <w:sz w:val="24"/>
          <w:szCs w:val="24"/>
          <w:highlight w:val="none"/>
        </w:rPr>
        <w:t>的法定代表人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法定代表人姓名</w:t>
      </w:r>
      <w:r>
        <w:rPr>
          <w:rFonts w:ascii="宋体" w:hAnsi="宋体" w:cs="宋体"/>
          <w:color w:val="auto"/>
          <w:sz w:val="24"/>
          <w:szCs w:val="24"/>
          <w:highlight w:val="none"/>
        </w:rPr>
        <w:t>)</w:t>
      </w:r>
      <w:r>
        <w:rPr>
          <w:rFonts w:hint="eastAsia" w:ascii="宋体" w:hAnsi="宋体" w:cs="宋体"/>
          <w:color w:val="auto"/>
          <w:sz w:val="24"/>
          <w:szCs w:val="24"/>
          <w:highlight w:val="none"/>
        </w:rPr>
        <w:t>代表本公司授权</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代理人的姓名）为公司的合法代理人，就福建省石油化学工业设计院2020-2021年办公计算机及配件采购项目的参选人申请登记、比选、竞价、签订合同，以本公司名义处理一切与之有关的事务，其法律后果由我方承担。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委托期限：_______________。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代理人无转委托权。 </w:t>
      </w:r>
    </w:p>
    <w:p>
      <w:pPr>
        <w:snapToGrid w:val="0"/>
        <w:spacing w:line="360" w:lineRule="auto"/>
        <w:ind w:firstLine="480" w:firstLineChars="200"/>
        <w:rPr>
          <w:rFonts w:ascii="宋体" w:hAnsi="宋体"/>
          <w:color w:val="auto"/>
          <w:sz w:val="24"/>
          <w:szCs w:val="24"/>
          <w:highlight w:val="none"/>
        </w:rPr>
      </w:pP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本授权书于    年    月    日签字生效，特此声明。</w:t>
      </w:r>
    </w:p>
    <w:p>
      <w:pPr>
        <w:snapToGrid w:val="0"/>
        <w:spacing w:line="360" w:lineRule="auto"/>
        <w:rPr>
          <w:rFonts w:ascii="宋体"/>
          <w:color w:val="auto"/>
          <w:sz w:val="24"/>
          <w:szCs w:val="24"/>
          <w:highlight w:val="none"/>
        </w:rPr>
      </w:pP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参选人（盖章）：</w:t>
      </w:r>
      <w:r>
        <w:rPr>
          <w:rFonts w:ascii="宋体" w:hAnsi="宋体" w:cs="宋体"/>
          <w:color w:val="auto"/>
          <w:sz w:val="24"/>
          <w:szCs w:val="24"/>
          <w:highlight w:val="none"/>
        </w:rPr>
        <w:t xml:space="preserve">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r>
        <w:rPr>
          <w:rFonts w:ascii="宋体" w:hAnsi="宋体" w:cs="宋体"/>
          <w:color w:val="auto"/>
          <w:sz w:val="24"/>
          <w:szCs w:val="24"/>
          <w:highlight w:val="none"/>
        </w:rPr>
        <w:t xml:space="preserve">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法定代表人身份证号码：</w:t>
      </w:r>
      <w:r>
        <w:rPr>
          <w:rFonts w:ascii="宋体" w:hAnsi="宋体" w:cs="宋体"/>
          <w:color w:val="auto"/>
          <w:sz w:val="24"/>
          <w:szCs w:val="24"/>
          <w:highlight w:val="none"/>
        </w:rPr>
        <w:t xml:space="preserve">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授权代理人（签字）：        性别：    年龄：    职务：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授权代理人身份证号码：</w:t>
      </w:r>
      <w:r>
        <w:rPr>
          <w:rFonts w:ascii="宋体" w:hAnsi="宋体" w:cs="宋体"/>
          <w:color w:val="auto"/>
          <w:sz w:val="24"/>
          <w:szCs w:val="24"/>
          <w:highlight w:val="none"/>
        </w:rPr>
        <w:t xml:space="preserve">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联系方式：</w:t>
      </w:r>
      <w:r>
        <w:rPr>
          <w:rFonts w:ascii="宋体" w:hAnsi="宋体" w:cs="宋体"/>
          <w:color w:val="auto"/>
          <w:sz w:val="24"/>
          <w:szCs w:val="24"/>
          <w:highlight w:val="none"/>
        </w:rPr>
        <w:t xml:space="preserve">  </w:t>
      </w:r>
    </w:p>
    <w:p>
      <w:pPr>
        <w:snapToGrid w:val="0"/>
        <w:spacing w:line="360" w:lineRule="auto"/>
        <w:rPr>
          <w:rFonts w:ascii="宋体" w:hAnsi="宋体" w:cs="宋体"/>
          <w:color w:val="auto"/>
          <w:sz w:val="24"/>
          <w:szCs w:val="24"/>
          <w:highlight w:val="none"/>
        </w:rPr>
      </w:pPr>
    </w:p>
    <w:p>
      <w:pPr>
        <w:widowControl/>
        <w:adjustRightInd/>
        <w:spacing w:line="240" w:lineRule="auto"/>
        <w:jc w:val="left"/>
        <w:textAlignment w:val="auto"/>
        <w:rPr>
          <w:rFonts w:ascii="宋体" w:hAnsi="宋体" w:cs="宋体"/>
          <w:color w:val="auto"/>
          <w:sz w:val="28"/>
          <w:szCs w:val="28"/>
          <w:highlight w:val="none"/>
        </w:rPr>
      </w:pPr>
      <w:r>
        <w:rPr>
          <w:rFonts w:ascii="宋体" w:hAnsi="宋体" w:cs="宋体"/>
          <w:color w:val="auto"/>
          <w:sz w:val="28"/>
          <w:szCs w:val="28"/>
          <w:highlight w:val="none"/>
        </w:rPr>
        <w:br w:type="page"/>
      </w:r>
    </w:p>
    <w:p>
      <w:pPr>
        <w:spacing w:line="360" w:lineRule="auto"/>
        <w:jc w:val="left"/>
        <w:rPr>
          <w:rFonts w:hint="eastAsia" w:ascii="宋体" w:hAnsi="宋体" w:cs="宋体"/>
          <w:b/>
          <w:color w:val="auto"/>
          <w:sz w:val="36"/>
          <w:szCs w:val="36"/>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四</w:t>
      </w:r>
      <w:r>
        <w:rPr>
          <w:rFonts w:hint="eastAsia" w:ascii="宋体" w:hAnsi="宋体" w:cs="宋体"/>
          <w:color w:val="auto"/>
          <w:sz w:val="32"/>
          <w:szCs w:val="32"/>
          <w:highlight w:val="none"/>
        </w:rPr>
        <w:t>：</w:t>
      </w:r>
    </w:p>
    <w:p>
      <w:pPr>
        <w:spacing w:line="360" w:lineRule="auto"/>
        <w:ind w:firstLine="48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技术规格偏离表</w:t>
      </w:r>
    </w:p>
    <w:p>
      <w:pPr>
        <w:spacing w:line="360" w:lineRule="auto"/>
        <w:jc w:val="center"/>
        <w:rPr>
          <w:rFonts w:hint="eastAsia" w:ascii="宋体" w:hAnsi="宋体" w:cs="宋体"/>
          <w:b/>
          <w:color w:val="auto"/>
          <w:sz w:val="24"/>
          <w:szCs w:val="24"/>
          <w:highlight w:val="none"/>
        </w:rPr>
      </w:pPr>
    </w:p>
    <w:p>
      <w:pPr>
        <w:spacing w:before="120" w:after="120"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参选项目：2020-2021年办公计算机及配件采购项目</w:t>
      </w:r>
    </w:p>
    <w:tbl>
      <w:tblPr>
        <w:tblStyle w:val="20"/>
        <w:tblW w:w="9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15"/>
        <w:gridCol w:w="1415"/>
        <w:gridCol w:w="1356"/>
        <w:gridCol w:w="1331"/>
        <w:gridCol w:w="1105"/>
        <w:gridCol w:w="91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24"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15"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1415"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自主比选文件条目号</w:t>
            </w:r>
          </w:p>
        </w:tc>
        <w:tc>
          <w:tcPr>
            <w:tcW w:w="1356"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自主比选规格</w:t>
            </w:r>
          </w:p>
        </w:tc>
        <w:tc>
          <w:tcPr>
            <w:tcW w:w="1331"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参选规格</w:t>
            </w:r>
          </w:p>
        </w:tc>
        <w:tc>
          <w:tcPr>
            <w:tcW w:w="1105"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描述</w:t>
            </w:r>
          </w:p>
        </w:tc>
        <w:tc>
          <w:tcPr>
            <w:tcW w:w="918"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响应/偏离</w:t>
            </w:r>
          </w:p>
        </w:tc>
        <w:tc>
          <w:tcPr>
            <w:tcW w:w="1019" w:type="dxa"/>
            <w:vAlign w:val="center"/>
          </w:tcPr>
          <w:p>
            <w:pPr>
              <w:spacing w:before="60" w:after="6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vAlign w:val="top"/>
          </w:tcPr>
          <w:p>
            <w:pPr>
              <w:spacing w:before="120" w:after="120" w:line="360" w:lineRule="auto"/>
              <w:rPr>
                <w:rFonts w:hint="eastAsia" w:ascii="宋体" w:hAnsi="宋体" w:cs="宋体"/>
                <w:color w:val="auto"/>
                <w:sz w:val="24"/>
                <w:szCs w:val="24"/>
                <w:highlight w:val="none"/>
              </w:rPr>
            </w:pPr>
          </w:p>
        </w:tc>
        <w:tc>
          <w:tcPr>
            <w:tcW w:w="1415" w:type="dxa"/>
            <w:vAlign w:val="top"/>
          </w:tcPr>
          <w:p>
            <w:pPr>
              <w:spacing w:before="120" w:after="120" w:line="360" w:lineRule="auto"/>
              <w:rPr>
                <w:rFonts w:hint="eastAsia" w:ascii="宋体" w:hAnsi="宋体" w:cs="宋体"/>
                <w:color w:val="auto"/>
                <w:sz w:val="24"/>
                <w:szCs w:val="24"/>
                <w:highlight w:val="none"/>
              </w:rPr>
            </w:pPr>
          </w:p>
        </w:tc>
        <w:tc>
          <w:tcPr>
            <w:tcW w:w="1415" w:type="dxa"/>
            <w:vAlign w:val="top"/>
          </w:tcPr>
          <w:p>
            <w:pPr>
              <w:spacing w:before="120" w:after="120" w:line="360" w:lineRule="auto"/>
              <w:rPr>
                <w:rFonts w:hint="eastAsia" w:ascii="宋体" w:hAnsi="宋体" w:cs="宋体"/>
                <w:color w:val="auto"/>
                <w:sz w:val="24"/>
                <w:szCs w:val="24"/>
                <w:highlight w:val="none"/>
              </w:rPr>
            </w:pPr>
          </w:p>
        </w:tc>
        <w:tc>
          <w:tcPr>
            <w:tcW w:w="1356" w:type="dxa"/>
            <w:vAlign w:val="top"/>
          </w:tcPr>
          <w:p>
            <w:pPr>
              <w:spacing w:before="120" w:after="120" w:line="360" w:lineRule="auto"/>
              <w:rPr>
                <w:rFonts w:hint="eastAsia" w:ascii="宋体" w:hAnsi="宋体" w:cs="宋体"/>
                <w:color w:val="auto"/>
                <w:sz w:val="24"/>
                <w:szCs w:val="24"/>
                <w:highlight w:val="none"/>
              </w:rPr>
            </w:pPr>
          </w:p>
        </w:tc>
        <w:tc>
          <w:tcPr>
            <w:tcW w:w="1331" w:type="dxa"/>
            <w:vAlign w:val="top"/>
          </w:tcPr>
          <w:p>
            <w:pPr>
              <w:spacing w:before="120" w:after="120" w:line="360" w:lineRule="auto"/>
              <w:rPr>
                <w:rFonts w:hint="eastAsia" w:ascii="宋体" w:hAnsi="宋体" w:cs="宋体"/>
                <w:color w:val="auto"/>
                <w:sz w:val="24"/>
                <w:szCs w:val="24"/>
                <w:highlight w:val="none"/>
              </w:rPr>
            </w:pPr>
          </w:p>
        </w:tc>
        <w:tc>
          <w:tcPr>
            <w:tcW w:w="1105" w:type="dxa"/>
            <w:vAlign w:val="top"/>
          </w:tcPr>
          <w:p>
            <w:pPr>
              <w:spacing w:before="120" w:after="120" w:line="360" w:lineRule="auto"/>
              <w:rPr>
                <w:rFonts w:hint="eastAsia" w:ascii="宋体" w:hAnsi="宋体" w:cs="宋体"/>
                <w:color w:val="auto"/>
                <w:sz w:val="24"/>
                <w:szCs w:val="24"/>
                <w:highlight w:val="none"/>
              </w:rPr>
            </w:pPr>
          </w:p>
        </w:tc>
        <w:tc>
          <w:tcPr>
            <w:tcW w:w="918" w:type="dxa"/>
            <w:vAlign w:val="top"/>
          </w:tcPr>
          <w:p>
            <w:pPr>
              <w:spacing w:before="120" w:after="120" w:line="360" w:lineRule="auto"/>
              <w:rPr>
                <w:rFonts w:hint="eastAsia" w:ascii="宋体" w:hAnsi="宋体" w:cs="宋体"/>
                <w:color w:val="auto"/>
                <w:sz w:val="24"/>
                <w:szCs w:val="24"/>
                <w:highlight w:val="none"/>
              </w:rPr>
            </w:pPr>
          </w:p>
        </w:tc>
        <w:tc>
          <w:tcPr>
            <w:tcW w:w="1019" w:type="dxa"/>
            <w:vAlign w:val="top"/>
          </w:tcPr>
          <w:p>
            <w:pPr>
              <w:spacing w:before="120" w:after="120"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vAlign w:val="top"/>
          </w:tcPr>
          <w:p>
            <w:pPr>
              <w:spacing w:before="120" w:after="120" w:line="360" w:lineRule="auto"/>
              <w:rPr>
                <w:rFonts w:hint="eastAsia" w:ascii="宋体" w:hAnsi="宋体" w:cs="宋体"/>
                <w:color w:val="auto"/>
                <w:sz w:val="24"/>
                <w:szCs w:val="24"/>
                <w:highlight w:val="none"/>
              </w:rPr>
            </w:pPr>
          </w:p>
        </w:tc>
        <w:tc>
          <w:tcPr>
            <w:tcW w:w="1415" w:type="dxa"/>
            <w:vAlign w:val="top"/>
          </w:tcPr>
          <w:p>
            <w:pPr>
              <w:spacing w:before="120" w:after="120" w:line="360" w:lineRule="auto"/>
              <w:rPr>
                <w:rFonts w:hint="eastAsia" w:ascii="宋体" w:hAnsi="宋体" w:cs="宋体"/>
                <w:color w:val="auto"/>
                <w:sz w:val="24"/>
                <w:szCs w:val="24"/>
                <w:highlight w:val="none"/>
              </w:rPr>
            </w:pPr>
          </w:p>
        </w:tc>
        <w:tc>
          <w:tcPr>
            <w:tcW w:w="1415" w:type="dxa"/>
            <w:vAlign w:val="top"/>
          </w:tcPr>
          <w:p>
            <w:pPr>
              <w:spacing w:before="120" w:after="120" w:line="360" w:lineRule="auto"/>
              <w:rPr>
                <w:rFonts w:hint="eastAsia" w:ascii="宋体" w:hAnsi="宋体" w:cs="宋体"/>
                <w:color w:val="auto"/>
                <w:sz w:val="24"/>
                <w:szCs w:val="24"/>
                <w:highlight w:val="none"/>
              </w:rPr>
            </w:pPr>
          </w:p>
        </w:tc>
        <w:tc>
          <w:tcPr>
            <w:tcW w:w="1356" w:type="dxa"/>
            <w:vAlign w:val="top"/>
          </w:tcPr>
          <w:p>
            <w:pPr>
              <w:spacing w:before="120" w:after="120" w:line="360" w:lineRule="auto"/>
              <w:rPr>
                <w:rFonts w:hint="eastAsia" w:ascii="宋体" w:hAnsi="宋体" w:cs="宋体"/>
                <w:color w:val="auto"/>
                <w:sz w:val="24"/>
                <w:szCs w:val="24"/>
                <w:highlight w:val="none"/>
              </w:rPr>
            </w:pPr>
          </w:p>
        </w:tc>
        <w:tc>
          <w:tcPr>
            <w:tcW w:w="1331" w:type="dxa"/>
            <w:vAlign w:val="top"/>
          </w:tcPr>
          <w:p>
            <w:pPr>
              <w:spacing w:before="120" w:after="120" w:line="360" w:lineRule="auto"/>
              <w:rPr>
                <w:rFonts w:hint="eastAsia" w:ascii="宋体" w:hAnsi="宋体" w:cs="宋体"/>
                <w:color w:val="auto"/>
                <w:sz w:val="24"/>
                <w:szCs w:val="24"/>
                <w:highlight w:val="none"/>
              </w:rPr>
            </w:pPr>
          </w:p>
        </w:tc>
        <w:tc>
          <w:tcPr>
            <w:tcW w:w="1105" w:type="dxa"/>
            <w:vAlign w:val="top"/>
          </w:tcPr>
          <w:p>
            <w:pPr>
              <w:spacing w:before="120" w:after="120" w:line="360" w:lineRule="auto"/>
              <w:rPr>
                <w:rFonts w:hint="eastAsia" w:ascii="宋体" w:hAnsi="宋体" w:cs="宋体"/>
                <w:color w:val="auto"/>
                <w:sz w:val="24"/>
                <w:szCs w:val="24"/>
                <w:highlight w:val="none"/>
              </w:rPr>
            </w:pPr>
          </w:p>
        </w:tc>
        <w:tc>
          <w:tcPr>
            <w:tcW w:w="918" w:type="dxa"/>
            <w:vAlign w:val="top"/>
          </w:tcPr>
          <w:p>
            <w:pPr>
              <w:spacing w:before="120" w:after="120" w:line="360" w:lineRule="auto"/>
              <w:rPr>
                <w:rFonts w:hint="eastAsia" w:ascii="宋体" w:hAnsi="宋体" w:cs="宋体"/>
                <w:color w:val="auto"/>
                <w:sz w:val="24"/>
                <w:szCs w:val="24"/>
                <w:highlight w:val="none"/>
              </w:rPr>
            </w:pPr>
          </w:p>
        </w:tc>
        <w:tc>
          <w:tcPr>
            <w:tcW w:w="1019" w:type="dxa"/>
            <w:vAlign w:val="top"/>
          </w:tcPr>
          <w:p>
            <w:pPr>
              <w:spacing w:before="120" w:after="120"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vAlign w:val="top"/>
          </w:tcPr>
          <w:p>
            <w:pPr>
              <w:spacing w:before="120" w:after="120" w:line="360" w:lineRule="auto"/>
              <w:rPr>
                <w:rFonts w:hint="eastAsia" w:ascii="宋体" w:hAnsi="宋体" w:cs="宋体"/>
                <w:color w:val="auto"/>
                <w:sz w:val="24"/>
                <w:szCs w:val="24"/>
                <w:highlight w:val="none"/>
              </w:rPr>
            </w:pPr>
          </w:p>
        </w:tc>
        <w:tc>
          <w:tcPr>
            <w:tcW w:w="1415" w:type="dxa"/>
            <w:vAlign w:val="top"/>
          </w:tcPr>
          <w:p>
            <w:pPr>
              <w:spacing w:before="120" w:after="120" w:line="360" w:lineRule="auto"/>
              <w:rPr>
                <w:rFonts w:hint="eastAsia" w:ascii="宋体" w:hAnsi="宋体" w:cs="宋体"/>
                <w:color w:val="auto"/>
                <w:sz w:val="24"/>
                <w:szCs w:val="24"/>
                <w:highlight w:val="none"/>
              </w:rPr>
            </w:pPr>
          </w:p>
        </w:tc>
        <w:tc>
          <w:tcPr>
            <w:tcW w:w="1415" w:type="dxa"/>
            <w:vAlign w:val="top"/>
          </w:tcPr>
          <w:p>
            <w:pPr>
              <w:spacing w:before="120" w:after="120" w:line="360" w:lineRule="auto"/>
              <w:rPr>
                <w:rFonts w:hint="eastAsia" w:ascii="宋体" w:hAnsi="宋体" w:cs="宋体"/>
                <w:color w:val="auto"/>
                <w:sz w:val="24"/>
                <w:szCs w:val="24"/>
                <w:highlight w:val="none"/>
              </w:rPr>
            </w:pPr>
          </w:p>
        </w:tc>
        <w:tc>
          <w:tcPr>
            <w:tcW w:w="1356" w:type="dxa"/>
            <w:vAlign w:val="top"/>
          </w:tcPr>
          <w:p>
            <w:pPr>
              <w:spacing w:before="120" w:after="120" w:line="360" w:lineRule="auto"/>
              <w:rPr>
                <w:rFonts w:hint="eastAsia" w:ascii="宋体" w:hAnsi="宋体" w:cs="宋体"/>
                <w:color w:val="auto"/>
                <w:sz w:val="24"/>
                <w:szCs w:val="24"/>
                <w:highlight w:val="none"/>
              </w:rPr>
            </w:pPr>
          </w:p>
        </w:tc>
        <w:tc>
          <w:tcPr>
            <w:tcW w:w="1331" w:type="dxa"/>
            <w:vAlign w:val="top"/>
          </w:tcPr>
          <w:p>
            <w:pPr>
              <w:spacing w:before="120" w:after="120" w:line="360" w:lineRule="auto"/>
              <w:rPr>
                <w:rFonts w:hint="eastAsia" w:ascii="宋体" w:hAnsi="宋体" w:cs="宋体"/>
                <w:color w:val="auto"/>
                <w:sz w:val="24"/>
                <w:szCs w:val="24"/>
                <w:highlight w:val="none"/>
              </w:rPr>
            </w:pPr>
          </w:p>
        </w:tc>
        <w:tc>
          <w:tcPr>
            <w:tcW w:w="1105" w:type="dxa"/>
            <w:vAlign w:val="top"/>
          </w:tcPr>
          <w:p>
            <w:pPr>
              <w:spacing w:before="120" w:after="120" w:line="360" w:lineRule="auto"/>
              <w:rPr>
                <w:rFonts w:hint="eastAsia" w:ascii="宋体" w:hAnsi="宋体" w:cs="宋体"/>
                <w:color w:val="auto"/>
                <w:sz w:val="24"/>
                <w:szCs w:val="24"/>
                <w:highlight w:val="none"/>
              </w:rPr>
            </w:pPr>
          </w:p>
        </w:tc>
        <w:tc>
          <w:tcPr>
            <w:tcW w:w="918" w:type="dxa"/>
            <w:vAlign w:val="top"/>
          </w:tcPr>
          <w:p>
            <w:pPr>
              <w:spacing w:before="120" w:after="120" w:line="360" w:lineRule="auto"/>
              <w:rPr>
                <w:rFonts w:hint="eastAsia" w:ascii="宋体" w:hAnsi="宋体" w:cs="宋体"/>
                <w:color w:val="auto"/>
                <w:sz w:val="24"/>
                <w:szCs w:val="24"/>
                <w:highlight w:val="none"/>
              </w:rPr>
            </w:pPr>
          </w:p>
        </w:tc>
        <w:tc>
          <w:tcPr>
            <w:tcW w:w="1019" w:type="dxa"/>
            <w:vAlign w:val="top"/>
          </w:tcPr>
          <w:p>
            <w:pPr>
              <w:spacing w:before="120" w:after="120" w:line="360" w:lineRule="auto"/>
              <w:rPr>
                <w:rFonts w:hint="eastAsia" w:ascii="宋体" w:hAnsi="宋体" w:cs="宋体"/>
                <w:color w:val="auto"/>
                <w:sz w:val="24"/>
                <w:szCs w:val="24"/>
                <w:highlight w:val="none"/>
              </w:rPr>
            </w:pPr>
          </w:p>
        </w:tc>
      </w:tr>
    </w:tbl>
    <w:p>
      <w:pPr>
        <w:pStyle w:val="68"/>
        <w:spacing w:before="0" w:after="0" w:afterLines="0"/>
        <w:rPr>
          <w:rFonts w:hint="eastAsia" w:cs="宋体"/>
          <w:color w:val="auto"/>
          <w:kern w:val="2"/>
          <w:szCs w:val="24"/>
          <w:highlight w:val="none"/>
        </w:rPr>
      </w:pPr>
      <w:r>
        <w:rPr>
          <w:rFonts w:hint="eastAsia" w:cs="宋体"/>
          <w:color w:val="auto"/>
          <w:sz w:val="18"/>
          <w:szCs w:val="18"/>
          <w:highlight w:val="none"/>
        </w:rPr>
        <w:t>注：参选人应对照自主比选文件技术规格，逐条说明所提供产品对自主比选文件的技术规格做出了实质性的响应，并申明与技术规格条文的偏差和例外。特别对有具体参数要求的指选，参选人必须提供所投产品的具体参数值。</w:t>
      </w:r>
    </w:p>
    <w:p>
      <w:pPr>
        <w:pStyle w:val="68"/>
        <w:spacing w:before="0" w:after="0" w:afterLines="0"/>
        <w:rPr>
          <w:rFonts w:hint="eastAsia" w:cs="宋体"/>
          <w:color w:val="auto"/>
          <w:kern w:val="2"/>
          <w:szCs w:val="24"/>
          <w:highlight w:val="none"/>
        </w:rPr>
      </w:pPr>
    </w:p>
    <w:p>
      <w:pPr>
        <w:pStyle w:val="68"/>
        <w:spacing w:before="0" w:after="0" w:afterLines="0"/>
        <w:rPr>
          <w:rFonts w:hint="eastAsia" w:cs="宋体"/>
          <w:color w:val="auto"/>
          <w:kern w:val="2"/>
          <w:szCs w:val="24"/>
          <w:highlight w:val="none"/>
        </w:rPr>
      </w:pPr>
    </w:p>
    <w:p>
      <w:pPr>
        <w:pStyle w:val="68"/>
        <w:spacing w:before="0" w:after="0" w:afterLines="0"/>
        <w:rPr>
          <w:rFonts w:hint="eastAsia" w:cs="宋体"/>
          <w:color w:val="auto"/>
          <w:kern w:val="2"/>
          <w:szCs w:val="24"/>
          <w:highlight w:val="none"/>
        </w:rPr>
      </w:pPr>
      <w:r>
        <w:rPr>
          <w:rFonts w:hint="eastAsia" w:cs="宋体"/>
          <w:color w:val="auto"/>
          <w:kern w:val="2"/>
          <w:highlight w:val="none"/>
        </w:rPr>
        <w:t>参选人全称（盖公章）：</w:t>
      </w:r>
    </w:p>
    <w:p>
      <w:pPr>
        <w:spacing w:before="120" w:after="120"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参选人代表签字：</w:t>
      </w:r>
      <w:r>
        <w:rPr>
          <w:rFonts w:hint="eastAsia" w:ascii="宋体" w:hAnsi="宋体" w:cs="宋体"/>
          <w:color w:val="auto"/>
          <w:sz w:val="24"/>
          <w:szCs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pPr>
        <w:spacing w:before="120" w:after="120" w:line="360" w:lineRule="auto"/>
        <w:rPr>
          <w:rFonts w:hint="eastAsia" w:ascii="宋体" w:hAnsi="宋体" w:cs="宋体"/>
          <w:color w:val="auto"/>
          <w:sz w:val="24"/>
          <w:szCs w:val="24"/>
          <w:highlight w:val="none"/>
          <w:u w:val="single"/>
        </w:rPr>
      </w:pPr>
    </w:p>
    <w:p>
      <w:pPr>
        <w:spacing w:line="360" w:lineRule="auto"/>
        <w:jc w:val="left"/>
        <w:rPr>
          <w:rFonts w:hint="eastAsia" w:ascii="宋体" w:hAnsi="宋体" w:cs="宋体"/>
          <w:b/>
          <w:color w:val="auto"/>
          <w:sz w:val="18"/>
          <w:szCs w:val="18"/>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五</w:t>
      </w:r>
      <w:r>
        <w:rPr>
          <w:rFonts w:hint="eastAsia" w:ascii="宋体" w:hAnsi="宋体" w:cs="宋体"/>
          <w:color w:val="auto"/>
          <w:sz w:val="32"/>
          <w:szCs w:val="32"/>
          <w:highlight w:val="none"/>
        </w:rPr>
        <w:t>：</w:t>
      </w: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商务条款偏离表</w:t>
      </w:r>
    </w:p>
    <w:p>
      <w:pPr>
        <w:spacing w:line="360" w:lineRule="auto"/>
        <w:jc w:val="center"/>
        <w:rPr>
          <w:rFonts w:hint="eastAsia" w:ascii="宋体" w:hAnsi="宋体" w:cs="宋体"/>
          <w:color w:val="auto"/>
          <w:sz w:val="24"/>
          <w:szCs w:val="24"/>
          <w:highlight w:val="none"/>
        </w:rPr>
      </w:pPr>
    </w:p>
    <w:p>
      <w:pPr>
        <w:spacing w:before="120" w:after="120"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参选项目：2020-2021年办公计算机及配件采购项目 </w:t>
      </w:r>
    </w:p>
    <w:tbl>
      <w:tblPr>
        <w:tblStyle w:val="20"/>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56"/>
        <w:gridCol w:w="2413"/>
        <w:gridCol w:w="23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195"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956"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自主比选文件条目号</w:t>
            </w:r>
          </w:p>
        </w:tc>
        <w:tc>
          <w:tcPr>
            <w:tcW w:w="2413" w:type="dxa"/>
            <w:vAlign w:val="center"/>
          </w:tcPr>
          <w:p>
            <w:pPr>
              <w:spacing w:line="360" w:lineRule="auto"/>
              <w:ind w:firstLine="98" w:firstLineChars="41"/>
              <w:rPr>
                <w:rFonts w:hint="eastAsia" w:ascii="宋体" w:hAnsi="宋体" w:cs="宋体"/>
                <w:color w:val="auto"/>
                <w:sz w:val="24"/>
                <w:szCs w:val="24"/>
                <w:highlight w:val="none"/>
              </w:rPr>
            </w:pPr>
            <w:r>
              <w:rPr>
                <w:rFonts w:hint="eastAsia" w:ascii="宋体" w:hAnsi="宋体" w:cs="宋体"/>
                <w:color w:val="auto"/>
                <w:sz w:val="24"/>
                <w:szCs w:val="24"/>
                <w:highlight w:val="none"/>
              </w:rPr>
              <w:t>自主比选文件商务条款</w:t>
            </w:r>
          </w:p>
        </w:tc>
        <w:tc>
          <w:tcPr>
            <w:tcW w:w="2310"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参选文件商务条款</w:t>
            </w:r>
          </w:p>
        </w:tc>
        <w:tc>
          <w:tcPr>
            <w:tcW w:w="1302" w:type="dxa"/>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color w:val="auto"/>
                <w:sz w:val="24"/>
                <w:szCs w:val="24"/>
                <w:highlight w:val="none"/>
              </w:rPr>
            </w:pPr>
          </w:p>
        </w:tc>
        <w:tc>
          <w:tcPr>
            <w:tcW w:w="1956" w:type="dxa"/>
            <w:vAlign w:val="center"/>
          </w:tcPr>
          <w:p>
            <w:pPr>
              <w:spacing w:line="360" w:lineRule="auto"/>
              <w:rPr>
                <w:rFonts w:hint="eastAsia" w:ascii="宋体" w:hAnsi="宋体" w:cs="宋体"/>
                <w:color w:val="auto"/>
                <w:sz w:val="24"/>
                <w:szCs w:val="24"/>
                <w:highlight w:val="none"/>
              </w:rPr>
            </w:pPr>
          </w:p>
        </w:tc>
        <w:tc>
          <w:tcPr>
            <w:tcW w:w="2413" w:type="dxa"/>
            <w:vAlign w:val="center"/>
          </w:tcPr>
          <w:p>
            <w:pPr>
              <w:spacing w:line="360" w:lineRule="auto"/>
              <w:rPr>
                <w:rFonts w:hint="eastAsia" w:ascii="宋体" w:hAnsi="宋体" w:cs="宋体"/>
                <w:color w:val="auto"/>
                <w:sz w:val="24"/>
                <w:szCs w:val="24"/>
                <w:highlight w:val="none"/>
              </w:rPr>
            </w:pPr>
          </w:p>
        </w:tc>
        <w:tc>
          <w:tcPr>
            <w:tcW w:w="2310" w:type="dxa"/>
            <w:vAlign w:val="center"/>
          </w:tcPr>
          <w:p>
            <w:pPr>
              <w:spacing w:line="360" w:lineRule="auto"/>
              <w:rPr>
                <w:rFonts w:hint="eastAsia" w:ascii="宋体" w:hAnsi="宋体" w:cs="宋体"/>
                <w:color w:val="auto"/>
                <w:sz w:val="24"/>
                <w:szCs w:val="24"/>
                <w:highlight w:val="none"/>
              </w:rPr>
            </w:pPr>
          </w:p>
        </w:tc>
        <w:tc>
          <w:tcPr>
            <w:tcW w:w="1302" w:type="dxa"/>
            <w:vAlign w:val="center"/>
          </w:tcPr>
          <w:p>
            <w:pPr>
              <w:spacing w:line="360" w:lineRule="auto"/>
              <w:rPr>
                <w:rFonts w:hint="eastAsia" w:ascii="宋体" w:hAnsi="宋体" w:cs="宋体"/>
                <w:color w:val="auto"/>
                <w:sz w:val="24"/>
                <w:szCs w:val="24"/>
                <w:highlight w:val="none"/>
              </w:rPr>
            </w:pPr>
          </w:p>
        </w:tc>
      </w:tr>
    </w:tbl>
    <w:p>
      <w:pPr>
        <w:pStyle w:val="68"/>
        <w:spacing w:before="0" w:after="0" w:afterLines="0"/>
        <w:ind w:left="400" w:leftChars="200"/>
        <w:rPr>
          <w:rFonts w:hint="eastAsia" w:cs="宋体"/>
          <w:color w:val="auto"/>
          <w:kern w:val="2"/>
          <w:szCs w:val="24"/>
          <w:highlight w:val="none"/>
        </w:rPr>
      </w:pPr>
      <w:r>
        <w:rPr>
          <w:rFonts w:hint="eastAsia" w:cs="宋体"/>
          <w:color w:val="auto"/>
          <w:kern w:val="2"/>
          <w:highlight w:val="none"/>
        </w:rPr>
        <w:t>参选人全称（盖公章）：</w:t>
      </w:r>
    </w:p>
    <w:p>
      <w:pPr>
        <w:spacing w:before="120" w:after="120" w:line="360" w:lineRule="auto"/>
        <w:ind w:left="400" w:left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参选人代表签字：</w:t>
      </w:r>
      <w:r>
        <w:rPr>
          <w:rFonts w:hint="eastAsia" w:ascii="宋体" w:hAnsi="宋体" w:cs="宋体"/>
          <w:color w:val="auto"/>
          <w:sz w:val="24"/>
          <w:szCs w:val="24"/>
          <w:highlight w:val="none"/>
          <w:u w:val="single"/>
        </w:rPr>
        <w:t xml:space="preserve">                           </w:t>
      </w:r>
    </w:p>
    <w:p>
      <w:pPr>
        <w:spacing w:line="360" w:lineRule="auto"/>
        <w:ind w:left="400" w:leftChars="200"/>
        <w:rPr>
          <w:rFonts w:hint="eastAsia" w:ascii="宋体" w:hAnsi="宋体" w:cs="宋体"/>
          <w:color w:val="auto"/>
          <w:sz w:val="24"/>
          <w:highlight w:val="none"/>
        </w:rPr>
      </w:pPr>
      <w:r>
        <w:rPr>
          <w:rFonts w:hint="eastAsia" w:ascii="宋体" w:hAnsi="宋体" w:cs="宋体"/>
          <w:color w:val="auto"/>
          <w:sz w:val="24"/>
          <w:highlight w:val="none"/>
        </w:rPr>
        <w:t>职    务：</w:t>
      </w:r>
    </w:p>
    <w:p>
      <w:pPr>
        <w:spacing w:line="360" w:lineRule="auto"/>
        <w:ind w:left="400" w:leftChars="200"/>
        <w:rPr>
          <w:rFonts w:hint="eastAsia" w:ascii="宋体" w:hAnsi="宋体" w:cs="宋体"/>
          <w:color w:val="auto"/>
          <w:sz w:val="24"/>
          <w:highlight w:val="none"/>
        </w:rPr>
      </w:pPr>
      <w:r>
        <w:rPr>
          <w:rFonts w:hint="eastAsia" w:ascii="宋体" w:hAnsi="宋体" w:cs="宋体"/>
          <w:color w:val="auto"/>
          <w:sz w:val="24"/>
          <w:highlight w:val="none"/>
        </w:rPr>
        <w:t>日    期：     年   月   日</w:t>
      </w:r>
    </w:p>
    <w:p>
      <w:pPr>
        <w:widowControl/>
        <w:adjustRightInd/>
        <w:spacing w:line="240" w:lineRule="auto"/>
        <w:jc w:val="left"/>
        <w:textAlignment w:val="auto"/>
        <w:rPr>
          <w:rFonts w:ascii="宋体" w:hAnsi="宋体" w:cs="宋体"/>
          <w:color w:val="auto"/>
          <w:sz w:val="28"/>
          <w:szCs w:val="28"/>
          <w:highlight w:val="none"/>
        </w:rPr>
      </w:pPr>
    </w:p>
    <w:p>
      <w:pPr>
        <w:snapToGrid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六</w:t>
      </w:r>
      <w:r>
        <w:rPr>
          <w:rFonts w:hint="eastAsia" w:ascii="宋体" w:hAnsi="宋体" w:cs="宋体"/>
          <w:color w:val="auto"/>
          <w:sz w:val="32"/>
          <w:szCs w:val="32"/>
          <w:highlight w:val="none"/>
        </w:rPr>
        <w:t>：</w:t>
      </w:r>
    </w:p>
    <w:p>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承诺函</w:t>
      </w: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致：福建省石油化学工业设计院</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我方为对福建省石油化学工业设计院2020-2021年办公计算机及配件采购项目自主比选文件表示完全响应，遵照公告的要求，特此确认并承诺：</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1、我方确认，我方已仔细阅读并研究了贵方的公告及其附件，我方完全熟悉其中的要求、条款和条件，并充分了解比选情况。</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2、我方确认，我方完全同意比选文件制定的交易规则，接受比选文件中所制定的各项标准。</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3、我方承诺，我方为比选所提供的材料均为真实、合法、完整。</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4、我方承诺：接受中选后福建省石油化学工业设计院对我方合同授予前的资格审查工作。</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保证：我方确认，我方完全接受2020-2021年办公计算机及配件采购项目比选文件、附件合同的全部条款。自收到该项目中选通知次日起10个工作日内，我方将与福建省石油化学工业设计院签订《2020-2021年办公计算机及配件采购框架协议》。否则，视为本单位自动弃权，</w:t>
      </w:r>
      <w:r>
        <w:rPr>
          <w:rFonts w:ascii="宋体" w:hAnsi="宋体"/>
          <w:color w:val="auto"/>
          <w:sz w:val="24"/>
          <w:szCs w:val="24"/>
          <w:highlight w:val="none"/>
        </w:rPr>
        <w:t>并承担相应的法律责任</w:t>
      </w:r>
      <w:r>
        <w:rPr>
          <w:rFonts w:hint="eastAsia" w:ascii="宋体" w:hAnsi="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参选人（盖章）：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法定代表人（签字）：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联系人：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pPr>
        <w:snapToGrid w:val="0"/>
        <w:spacing w:line="360" w:lineRule="auto"/>
        <w:ind w:firstLine="5040" w:firstLineChars="2100"/>
        <w:rPr>
          <w:rFonts w:ascii="宋体" w:hAnsi="宋体"/>
          <w:color w:val="auto"/>
          <w:sz w:val="24"/>
          <w:szCs w:val="24"/>
          <w:highlight w:val="none"/>
        </w:rPr>
      </w:pPr>
      <w:r>
        <w:rPr>
          <w:rFonts w:hint="eastAsia" w:ascii="宋体" w:hAnsi="宋体"/>
          <w:color w:val="auto"/>
          <w:sz w:val="24"/>
          <w:szCs w:val="24"/>
          <w:highlight w:val="none"/>
        </w:rPr>
        <w:t xml:space="preserve">  年    月    日</w:t>
      </w:r>
    </w:p>
    <w:p>
      <w:pPr>
        <w:widowControl/>
        <w:adjustRightInd/>
        <w:spacing w:line="240" w:lineRule="auto"/>
        <w:jc w:val="left"/>
        <w:textAlignment w:val="auto"/>
        <w:rPr>
          <w:rFonts w:ascii="宋体" w:hAnsi="宋体" w:cs="宋体"/>
          <w:color w:val="auto"/>
          <w:sz w:val="32"/>
          <w:szCs w:val="32"/>
          <w:highlight w:val="none"/>
        </w:rPr>
      </w:pPr>
      <w:r>
        <w:rPr>
          <w:rFonts w:ascii="宋体" w:hAnsi="宋体" w:cs="宋体"/>
          <w:color w:val="auto"/>
          <w:sz w:val="32"/>
          <w:szCs w:val="32"/>
          <w:highlight w:val="none"/>
        </w:rPr>
        <w:br w:type="page"/>
      </w: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七</w:t>
      </w:r>
      <w:r>
        <w:rPr>
          <w:rFonts w:hint="eastAsia" w:ascii="宋体" w:hAnsi="宋体" w:cs="宋体"/>
          <w:color w:val="auto"/>
          <w:sz w:val="32"/>
          <w:szCs w:val="32"/>
          <w:highlight w:val="none"/>
        </w:rPr>
        <w:t>：</w:t>
      </w:r>
    </w:p>
    <w:p>
      <w:pPr>
        <w:spacing w:line="360" w:lineRule="auto"/>
        <w:jc w:val="center"/>
        <w:rPr>
          <w:b/>
          <w:color w:val="auto"/>
          <w:sz w:val="36"/>
          <w:szCs w:val="36"/>
          <w:highlight w:val="none"/>
        </w:rPr>
      </w:pPr>
      <w:r>
        <w:rPr>
          <w:rFonts w:hint="eastAsia"/>
          <w:b/>
          <w:color w:val="auto"/>
          <w:sz w:val="32"/>
          <w:szCs w:val="32"/>
          <w:highlight w:val="none"/>
        </w:rPr>
        <w:t>质量保证及售后服务承诺书</w:t>
      </w:r>
    </w:p>
    <w:p>
      <w:pPr>
        <w:autoSpaceDE w:val="0"/>
        <w:autoSpaceDN w:val="0"/>
        <w:snapToGrid w:val="0"/>
        <w:spacing w:before="312" w:beforeLines="100" w:line="360" w:lineRule="auto"/>
        <w:ind w:firstLine="600" w:firstLineChars="250"/>
        <w:rPr>
          <w:color w:val="auto"/>
          <w:sz w:val="24"/>
          <w:szCs w:val="24"/>
          <w:highlight w:val="none"/>
        </w:rPr>
      </w:pPr>
      <w:r>
        <w:rPr>
          <w:rFonts w:hint="eastAsia"/>
          <w:color w:val="auto"/>
          <w:sz w:val="24"/>
          <w:szCs w:val="24"/>
          <w:highlight w:val="none"/>
        </w:rPr>
        <w:t>（参选人自行书写）</w:t>
      </w:r>
    </w:p>
    <w:p>
      <w:pPr>
        <w:keepNext w:val="0"/>
        <w:keepLines w:val="0"/>
        <w:pageBreakBefore w:val="0"/>
        <w:widowControl w:val="0"/>
        <w:kinsoku/>
        <w:wordWrap/>
        <w:overflowPunct/>
        <w:topLinePunct w:val="0"/>
        <w:autoSpaceDE w:val="0"/>
        <w:autoSpaceDN w:val="0"/>
        <w:bidi w:val="0"/>
        <w:adjustRightInd w:val="0"/>
        <w:snapToGrid w:val="0"/>
        <w:spacing w:before="312" w:beforeLines="100" w:line="360" w:lineRule="auto"/>
        <w:ind w:firstLine="600" w:firstLineChars="250"/>
        <w:textAlignment w:val="baseline"/>
        <w:outlineLvl w:val="9"/>
        <w:rPr>
          <w:rFonts w:hint="eastAsia"/>
          <w:color w:val="auto"/>
          <w:sz w:val="24"/>
          <w:szCs w:val="24"/>
          <w:highlight w:val="none"/>
          <w:lang w:eastAsia="zh-CN"/>
        </w:rPr>
      </w:pPr>
      <w:r>
        <w:rPr>
          <w:rFonts w:hint="eastAsia"/>
          <w:color w:val="auto"/>
          <w:sz w:val="24"/>
          <w:szCs w:val="24"/>
          <w:highlight w:val="none"/>
          <w:lang w:eastAsia="zh-CN"/>
        </w:rPr>
        <w:t>包括参选人承诺提供的产品符合国家质量要求标准；</w:t>
      </w:r>
      <w:r>
        <w:rPr>
          <w:rFonts w:hint="eastAsia"/>
          <w:color w:val="auto"/>
          <w:sz w:val="24"/>
          <w:szCs w:val="24"/>
          <w:highlight w:val="none"/>
          <w:lang w:val="zh-CN"/>
        </w:rPr>
        <w:t>质保期内承诺提供免费保修；</w:t>
      </w:r>
      <w:r>
        <w:rPr>
          <w:rFonts w:hint="eastAsia"/>
          <w:color w:val="auto"/>
          <w:sz w:val="24"/>
          <w:szCs w:val="24"/>
          <w:highlight w:val="none"/>
        </w:rPr>
        <w:t>台式电脑及笔记本电脑原厂800/400电话7*24小时服务</w:t>
      </w:r>
      <w:r>
        <w:rPr>
          <w:rFonts w:hint="eastAsia"/>
          <w:color w:val="auto"/>
          <w:sz w:val="24"/>
          <w:szCs w:val="24"/>
          <w:highlight w:val="none"/>
          <w:lang w:eastAsia="zh-CN"/>
        </w:rPr>
        <w:t>内容、期限承诺；</w:t>
      </w:r>
      <w:r>
        <w:rPr>
          <w:rFonts w:hint="eastAsia"/>
          <w:color w:val="auto"/>
          <w:sz w:val="24"/>
          <w:szCs w:val="24"/>
          <w:highlight w:val="none"/>
        </w:rPr>
        <w:t>参选人针对项目出现紧急状况时提供应急预案</w:t>
      </w:r>
      <w:r>
        <w:rPr>
          <w:rFonts w:hint="eastAsia"/>
          <w:color w:val="auto"/>
          <w:sz w:val="24"/>
          <w:szCs w:val="24"/>
          <w:highlight w:val="none"/>
          <w:lang w:eastAsia="zh-CN"/>
        </w:rPr>
        <w:t>、</w:t>
      </w:r>
      <w:r>
        <w:rPr>
          <w:rFonts w:hint="eastAsia"/>
          <w:color w:val="auto"/>
          <w:sz w:val="24"/>
          <w:szCs w:val="24"/>
          <w:highlight w:val="none"/>
        </w:rPr>
        <w:t>参选人接到报修通知后</w:t>
      </w:r>
      <w:r>
        <w:rPr>
          <w:rFonts w:hint="eastAsia"/>
          <w:color w:val="auto"/>
          <w:sz w:val="24"/>
          <w:szCs w:val="24"/>
          <w:highlight w:val="none"/>
          <w:lang w:eastAsia="zh-CN"/>
        </w:rPr>
        <w:t>及</w:t>
      </w:r>
      <w:r>
        <w:rPr>
          <w:rFonts w:hint="eastAsia"/>
          <w:color w:val="auto"/>
          <w:sz w:val="24"/>
          <w:szCs w:val="24"/>
          <w:highlight w:val="none"/>
        </w:rPr>
        <w:t>到达故障现场</w:t>
      </w:r>
      <w:r>
        <w:rPr>
          <w:rFonts w:hint="eastAsia"/>
          <w:color w:val="auto"/>
          <w:sz w:val="24"/>
          <w:szCs w:val="24"/>
          <w:highlight w:val="none"/>
          <w:lang w:eastAsia="zh-CN"/>
        </w:rPr>
        <w:t>、</w:t>
      </w:r>
      <w:r>
        <w:rPr>
          <w:rFonts w:hint="eastAsia"/>
          <w:color w:val="auto"/>
          <w:sz w:val="24"/>
          <w:szCs w:val="24"/>
          <w:highlight w:val="none"/>
        </w:rPr>
        <w:t>台式电脑及笔记本电脑原厂工程师远程技术支</w:t>
      </w:r>
      <w:r>
        <w:rPr>
          <w:rFonts w:hint="eastAsia"/>
          <w:color w:val="auto"/>
          <w:sz w:val="24"/>
          <w:szCs w:val="24"/>
          <w:highlight w:val="none"/>
          <w:lang w:eastAsia="zh-CN"/>
        </w:rPr>
        <w:t>持等服务方案；其它由参选人自行书写。</w:t>
      </w: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hint="eastAsia" w:ascii="宋体" w:hAnsi="宋体" w:eastAsia="宋体" w:cs="宋体"/>
          <w:color w:val="auto"/>
          <w:sz w:val="32"/>
          <w:szCs w:val="32"/>
          <w:highlight w:val="none"/>
          <w:lang w:eastAsia="zh-CN"/>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snapToGrid w:val="0"/>
        <w:spacing w:line="360" w:lineRule="auto"/>
        <w:jc w:val="left"/>
        <w:rPr>
          <w:rFonts w:ascii="宋体" w:hAnsi="宋体" w:cs="宋体"/>
          <w:color w:val="auto"/>
          <w:sz w:val="32"/>
          <w:szCs w:val="32"/>
          <w:highlight w:val="none"/>
        </w:rPr>
      </w:pPr>
    </w:p>
    <w:p>
      <w:pPr>
        <w:widowControl/>
        <w:adjustRightInd/>
        <w:spacing w:line="240" w:lineRule="auto"/>
        <w:jc w:val="left"/>
        <w:textAlignment w:val="auto"/>
        <w:rPr>
          <w:rFonts w:ascii="宋体" w:hAnsi="宋体" w:cs="宋体"/>
          <w:color w:val="auto"/>
          <w:sz w:val="32"/>
          <w:szCs w:val="32"/>
          <w:highlight w:val="none"/>
        </w:rPr>
      </w:pPr>
      <w:r>
        <w:rPr>
          <w:rFonts w:ascii="宋体" w:hAnsi="宋体" w:cs="宋体"/>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ascii="宋体" w:hAnsi="宋体" w:cs="宋体"/>
          <w:color w:val="auto"/>
          <w:sz w:val="28"/>
          <w:szCs w:val="28"/>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八</w:t>
      </w:r>
      <w:r>
        <w:rPr>
          <w:rFonts w:hint="eastAsia" w:ascii="宋体" w:hAnsi="宋体" w:cs="宋体"/>
          <w:color w:val="auto"/>
          <w:sz w:val="32"/>
          <w:szCs w:val="32"/>
          <w:highlight w:val="none"/>
        </w:rPr>
        <w:t>：</w:t>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ascii="宋体" w:hAnsi="宋体" w:cs="宋体"/>
          <w:color w:val="auto"/>
          <w:sz w:val="24"/>
          <w:szCs w:val="24"/>
          <w:highlight w:val="none"/>
        </w:rPr>
      </w:pPr>
      <w:r>
        <w:rPr>
          <w:rFonts w:hint="eastAsia" w:ascii="黑体" w:hAnsi="黑体" w:eastAsia="黑体"/>
          <w:b/>
          <w:color w:val="auto"/>
          <w:sz w:val="32"/>
          <w:szCs w:val="32"/>
          <w:highlight w:val="none"/>
        </w:rPr>
        <w:t>评分表</w:t>
      </w:r>
    </w:p>
    <w:tbl>
      <w:tblPr>
        <w:tblStyle w:val="20"/>
        <w:tblpPr w:leftFromText="180" w:rightFromText="180" w:vertAnchor="text" w:horzAnchor="page" w:tblpXSpec="center" w:tblpY="579"/>
        <w:tblOverlap w:val="never"/>
        <w:tblW w:w="9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471"/>
        <w:gridCol w:w="5663"/>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203"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471"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评审因素</w:t>
            </w:r>
          </w:p>
        </w:tc>
        <w:tc>
          <w:tcPr>
            <w:tcW w:w="5663" w:type="dxa"/>
            <w:tcBorders>
              <w:top w:val="single" w:color="auto" w:sz="4" w:space="0"/>
              <w:left w:val="single" w:color="auto" w:sz="4" w:space="0"/>
              <w:right w:val="single" w:color="auto" w:sz="4" w:space="0"/>
            </w:tcBorders>
            <w:vAlign w:val="center"/>
          </w:tcPr>
          <w:p>
            <w:pPr>
              <w:pStyle w:val="66"/>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评审标准</w:t>
            </w:r>
          </w:p>
        </w:tc>
        <w:tc>
          <w:tcPr>
            <w:tcW w:w="1073" w:type="dxa"/>
            <w:tcBorders>
              <w:top w:val="single" w:color="auto" w:sz="4" w:space="0"/>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3"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技术部分（35分）</w:t>
            </w:r>
          </w:p>
        </w:tc>
        <w:tc>
          <w:tcPr>
            <w:tcW w:w="1471"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产品响应得分（30分）</w:t>
            </w:r>
          </w:p>
        </w:tc>
        <w:tc>
          <w:tcPr>
            <w:tcW w:w="5663" w:type="dxa"/>
            <w:tcBorders>
              <w:top w:val="single" w:color="auto" w:sz="4" w:space="0"/>
              <w:left w:val="single" w:color="auto" w:sz="4" w:space="0"/>
              <w:right w:val="single" w:color="auto" w:sz="4" w:space="0"/>
            </w:tcBorders>
            <w:vAlign w:val="center"/>
          </w:tcPr>
          <w:p>
            <w:pPr>
              <w:numPr>
                <w:numId w:val="0"/>
              </w:numPr>
              <w:spacing w:line="240" w:lineRule="auto"/>
              <w:ind w:firstLine="420" w:firstLineChars="200"/>
              <w:rPr>
                <w:rFonts w:ascii="宋体"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由评委根据参选产品的技术性能进行评分，参选人全部满足自主比选文件技术要求的得28分，设备★为关键技术参数要求，不满足按作废文件处理，</w:t>
            </w:r>
            <w:r>
              <w:rPr>
                <w:rFonts w:hint="eastAsia" w:ascii="宋体" w:hAnsi="宋体" w:cs="宋体"/>
                <w:color w:val="auto"/>
                <w:sz w:val="21"/>
                <w:szCs w:val="21"/>
                <w:highlight w:val="none"/>
              </w:rPr>
              <w:t>带▲项条款不满足扣3分，</w:t>
            </w:r>
            <w:r>
              <w:rPr>
                <w:rFonts w:hint="eastAsia" w:hAnsi="宋体" w:cs="宋体"/>
                <w:color w:val="auto"/>
                <w:sz w:val="21"/>
                <w:szCs w:val="21"/>
                <w:highlight w:val="none"/>
              </w:rPr>
              <w:t>其它条款不满足扣1分，扣完为止。</w:t>
            </w:r>
          </w:p>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（2）本项累计扣分超过14分（含14分）则该项得分为0分。</w:t>
            </w:r>
          </w:p>
        </w:tc>
        <w:tc>
          <w:tcPr>
            <w:tcW w:w="1073" w:type="dxa"/>
            <w:vMerge w:val="restart"/>
            <w:tcBorders>
              <w:top w:val="single" w:color="auto" w:sz="4" w:space="0"/>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所提供技术、售后服务方案的响应程度，以及方案的合理性、可靠性由评委进行综合评议。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p>
        </w:tc>
        <w:tc>
          <w:tcPr>
            <w:tcW w:w="5663" w:type="dxa"/>
            <w:tcBorders>
              <w:top w:val="single" w:color="auto" w:sz="4" w:space="0"/>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（3）优于以上产品的技术性能，提供清单说明，由评委综合评分。（满分2分）</w:t>
            </w:r>
          </w:p>
        </w:tc>
        <w:tc>
          <w:tcPr>
            <w:tcW w:w="1073" w:type="dxa"/>
            <w:vMerge w:val="continue"/>
            <w:tcBorders>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质量保证及售后（5分）</w:t>
            </w:r>
          </w:p>
        </w:tc>
        <w:tc>
          <w:tcPr>
            <w:tcW w:w="5663" w:type="dxa"/>
            <w:tcBorders>
              <w:top w:val="single" w:color="auto" w:sz="4" w:space="0"/>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根据各参选人制定的质量保证及售后服务承诺由评委综合评分</w:t>
            </w:r>
            <w:r>
              <w:rPr>
                <w:rFonts w:hint="eastAsia" w:hAnsi="宋体" w:cs="宋体"/>
                <w:color w:val="auto"/>
                <w:sz w:val="21"/>
                <w:szCs w:val="21"/>
                <w:highlight w:val="none"/>
              </w:rPr>
              <w:t>。</w:t>
            </w:r>
          </w:p>
        </w:tc>
        <w:tc>
          <w:tcPr>
            <w:tcW w:w="1073" w:type="dxa"/>
            <w:vMerge w:val="continue"/>
            <w:tcBorders>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hint="eastAsia" w:ascii="宋体" w:hAnsi="宋体" w:cs="宋体"/>
                <w:color w:val="auto"/>
                <w:sz w:val="21"/>
                <w:szCs w:val="21"/>
                <w:highlight w:val="none"/>
              </w:rPr>
            </w:pPr>
          </w:p>
        </w:tc>
        <w:tc>
          <w:tcPr>
            <w:tcW w:w="5663" w:type="dxa"/>
            <w:tcBorders>
              <w:top w:val="single" w:color="auto" w:sz="4" w:space="0"/>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参选人针对项目出现紧急状况时提供应急预案（例如提供备用机等）；（满分</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tc>
        <w:tc>
          <w:tcPr>
            <w:tcW w:w="1073" w:type="dxa"/>
            <w:vMerge w:val="continue"/>
            <w:tcBorders>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hint="eastAsia" w:ascii="宋体" w:hAnsi="宋体" w:cs="宋体"/>
                <w:color w:val="auto"/>
                <w:sz w:val="21"/>
                <w:szCs w:val="21"/>
                <w:highlight w:val="none"/>
              </w:rPr>
            </w:pPr>
          </w:p>
        </w:tc>
        <w:tc>
          <w:tcPr>
            <w:tcW w:w="5663" w:type="dxa"/>
            <w:tcBorders>
              <w:top w:val="single" w:color="auto" w:sz="4" w:space="0"/>
              <w:left w:val="single" w:color="auto" w:sz="4" w:space="0"/>
              <w:right w:val="single" w:color="auto" w:sz="4" w:space="0"/>
            </w:tcBorders>
            <w:vAlign w:val="center"/>
          </w:tcPr>
          <w:p>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参选人接到报修通知后2小时内响应，4小时内到达故障现场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tc>
        <w:tc>
          <w:tcPr>
            <w:tcW w:w="1073" w:type="dxa"/>
            <w:vMerge w:val="continue"/>
            <w:tcBorders>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hint="eastAsia" w:ascii="宋体" w:hAnsi="宋体" w:cs="宋体"/>
                <w:color w:val="auto"/>
                <w:sz w:val="21"/>
                <w:szCs w:val="21"/>
                <w:highlight w:val="none"/>
              </w:rPr>
            </w:pPr>
          </w:p>
        </w:tc>
        <w:tc>
          <w:tcPr>
            <w:tcW w:w="5663" w:type="dxa"/>
            <w:tcBorders>
              <w:top w:val="single" w:color="auto" w:sz="4" w:space="0"/>
              <w:left w:val="single" w:color="auto" w:sz="4" w:space="0"/>
              <w:right w:val="single" w:color="auto" w:sz="4" w:space="0"/>
            </w:tcBorders>
            <w:vAlign w:val="center"/>
          </w:tcPr>
          <w:p>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4小时内台式电脑及笔记本电脑原厂工程师远程技术支持（满分</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tc>
        <w:tc>
          <w:tcPr>
            <w:tcW w:w="1073" w:type="dxa"/>
            <w:vMerge w:val="continue"/>
            <w:tcBorders>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p>
        </w:tc>
        <w:tc>
          <w:tcPr>
            <w:tcW w:w="5663" w:type="dxa"/>
            <w:tcBorders>
              <w:top w:val="single" w:color="auto" w:sz="4" w:space="0"/>
              <w:left w:val="single" w:color="auto" w:sz="4" w:space="0"/>
              <w:right w:val="single" w:color="auto" w:sz="4" w:space="0"/>
            </w:tcBorders>
            <w:vAlign w:val="center"/>
          </w:tcPr>
          <w:p>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参选人提供的其它承诺的科学合理性，由评委进行评分。（满分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tc>
        <w:tc>
          <w:tcPr>
            <w:tcW w:w="1073" w:type="dxa"/>
            <w:vMerge w:val="continue"/>
            <w:tcBorders>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203" w:type="dxa"/>
            <w:vMerge w:val="restart"/>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商务部分（10分）</w:t>
            </w:r>
          </w:p>
        </w:tc>
        <w:tc>
          <w:tcPr>
            <w:tcW w:w="1471"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商务响应得分（10分）</w:t>
            </w:r>
          </w:p>
        </w:tc>
        <w:tc>
          <w:tcPr>
            <w:tcW w:w="5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注：以下文件评分中，参选人需提供证明文件（</w:t>
            </w:r>
            <w:r>
              <w:rPr>
                <w:rFonts w:hint="eastAsia" w:ascii="宋体" w:hAnsi="宋体"/>
                <w:color w:val="auto"/>
                <w:sz w:val="21"/>
                <w:szCs w:val="21"/>
                <w:highlight w:val="none"/>
              </w:rPr>
              <w:t>包括但不限于</w:t>
            </w:r>
            <w:r>
              <w:rPr>
                <w:rFonts w:hint="eastAsia" w:ascii="宋体" w:hAnsi="宋体" w:cs="宋体"/>
                <w:color w:val="auto"/>
                <w:sz w:val="21"/>
                <w:szCs w:val="21"/>
                <w:highlight w:val="none"/>
              </w:rPr>
              <w:t>中标公告、合同文本复印件等材料）且在有效期内，否则不得分。</w:t>
            </w:r>
          </w:p>
        </w:tc>
        <w:tc>
          <w:tcPr>
            <w:tcW w:w="1073" w:type="dxa"/>
            <w:vMerge w:val="restart"/>
            <w:tcBorders>
              <w:top w:val="single" w:color="auto" w:sz="4" w:space="0"/>
              <w:left w:val="single" w:color="auto" w:sz="4" w:space="0"/>
              <w:right w:val="single" w:color="auto" w:sz="4" w:space="0"/>
            </w:tcBorders>
            <w:vAlign w:val="center"/>
          </w:tcPr>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提供的证明文件必须在有效期内，</w:t>
            </w:r>
            <w:r>
              <w:rPr>
                <w:rFonts w:hint="eastAsia" w:ascii="宋体" w:hAnsi="宋体" w:cs="宋体"/>
                <w:b/>
                <w:bCs/>
                <w:color w:val="auto"/>
                <w:sz w:val="21"/>
                <w:szCs w:val="21"/>
                <w:highlight w:val="none"/>
              </w:rPr>
              <w:t>原件备查</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5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Calibri" w:hAnsi="宋体" w:cs="宋体"/>
                <w:color w:val="auto"/>
                <w:sz w:val="21"/>
                <w:szCs w:val="21"/>
                <w:highlight w:val="none"/>
              </w:rPr>
              <w:t>最近三年拟提供产品（台式机或笔记本电脑）在国内主要用户不少于3个项目合同销售的业绩（单个项目业绩合同价格</w:t>
            </w:r>
            <w:r>
              <w:rPr>
                <w:rFonts w:hint="eastAsia" w:ascii="宋体" w:hAnsi="宋体" w:cs="宋体"/>
                <w:color w:val="auto"/>
                <w:sz w:val="21"/>
                <w:szCs w:val="21"/>
                <w:highlight w:val="none"/>
              </w:rPr>
              <w:t>≥3</w:t>
            </w:r>
            <w:r>
              <w:rPr>
                <w:rFonts w:hint="eastAsia" w:ascii="Calibri" w:hAnsi="宋体" w:cs="宋体"/>
                <w:color w:val="auto"/>
                <w:sz w:val="21"/>
                <w:szCs w:val="21"/>
                <w:highlight w:val="none"/>
              </w:rPr>
              <w:t>万元人民币），少于三个用户不得分。（满分3分</w:t>
            </w:r>
            <w:r>
              <w:rPr>
                <w:rFonts w:hint="eastAsia" w:hAnsi="宋体" w:cs="宋体"/>
                <w:color w:val="auto"/>
                <w:sz w:val="21"/>
                <w:szCs w:val="21"/>
                <w:highlight w:val="none"/>
              </w:rPr>
              <w:t>）</w:t>
            </w:r>
          </w:p>
        </w:tc>
        <w:tc>
          <w:tcPr>
            <w:tcW w:w="107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20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c>
          <w:tcPr>
            <w:tcW w:w="5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）最近三年承接的电脑维护等项目业绩情况，每提供一项(同一家公司为一项)有效业绩证明得1分。（满分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107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203"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p>
        </w:tc>
        <w:tc>
          <w:tcPr>
            <w:tcW w:w="5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）参选人</w:t>
            </w:r>
            <w:r>
              <w:rPr>
                <w:rFonts w:hint="eastAsia" w:hAnsi="宋体" w:cs="宋体"/>
                <w:color w:val="auto"/>
                <w:sz w:val="21"/>
                <w:szCs w:val="21"/>
                <w:highlight w:val="none"/>
              </w:rPr>
              <w:t>具备本地化服务能力，参选人营业执照注册地在比选人当地得2分，</w:t>
            </w:r>
            <w:r>
              <w:rPr>
                <w:rFonts w:hint="eastAsia" w:ascii="宋体" w:hAnsi="宋体" w:cs="宋体"/>
                <w:color w:val="auto"/>
                <w:sz w:val="21"/>
                <w:szCs w:val="21"/>
                <w:highlight w:val="none"/>
              </w:rPr>
              <w:t>没有不得分（需提供营业执照或在国家有关部门的注册登记材料）。（满分2分）</w:t>
            </w:r>
          </w:p>
        </w:tc>
        <w:tc>
          <w:tcPr>
            <w:tcW w:w="107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203"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p>
        </w:tc>
        <w:tc>
          <w:tcPr>
            <w:tcW w:w="1471"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auto"/>
                <w:sz w:val="21"/>
                <w:szCs w:val="21"/>
                <w:highlight w:val="none"/>
              </w:rPr>
            </w:pPr>
          </w:p>
        </w:tc>
        <w:tc>
          <w:tcPr>
            <w:tcW w:w="5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）参选人在福州市内设有售后服务机构的，且服务机构具有品牌售后认证证书的得0.5分</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其它</w:t>
            </w:r>
            <w:r>
              <w:rPr>
                <w:rFonts w:hint="eastAsia" w:ascii="宋体" w:hAnsi="宋体" w:cs="宋体"/>
                <w:color w:val="auto"/>
                <w:sz w:val="21"/>
                <w:szCs w:val="21"/>
                <w:highlight w:val="none"/>
                <w:lang w:eastAsia="zh-CN"/>
              </w:rPr>
              <w:t>资质</w:t>
            </w:r>
            <w:r>
              <w:rPr>
                <w:rFonts w:hint="eastAsia" w:ascii="宋体" w:hAnsi="宋体" w:cs="宋体"/>
                <w:color w:val="auto"/>
                <w:sz w:val="21"/>
                <w:szCs w:val="21"/>
                <w:highlight w:val="none"/>
              </w:rPr>
              <w:t>证书，由评委</w:t>
            </w:r>
            <w:r>
              <w:rPr>
                <w:rFonts w:hint="eastAsia" w:ascii="宋体" w:hAnsi="宋体" w:cs="宋体"/>
                <w:color w:val="auto"/>
                <w:sz w:val="21"/>
                <w:szCs w:val="21"/>
                <w:highlight w:val="none"/>
                <w:lang w:eastAsia="zh-CN"/>
              </w:rPr>
              <w:t>综合</w:t>
            </w:r>
            <w:r>
              <w:rPr>
                <w:rFonts w:hint="eastAsia" w:ascii="宋体" w:hAnsi="宋体" w:cs="宋体"/>
                <w:color w:val="auto"/>
                <w:sz w:val="21"/>
                <w:szCs w:val="21"/>
                <w:highlight w:val="none"/>
              </w:rPr>
              <w:t>评分。（提供证书复印件并加盖供应商公章，原件备查）（满分2分）</w:t>
            </w:r>
            <w:bookmarkStart w:id="0" w:name="_GoBack"/>
            <w:bookmarkEnd w:id="0"/>
          </w:p>
        </w:tc>
        <w:tc>
          <w:tcPr>
            <w:tcW w:w="1073" w:type="dxa"/>
            <w:vMerge w:val="continue"/>
            <w:tcBorders>
              <w:left w:val="single" w:color="auto" w:sz="4" w:space="0"/>
              <w:right w:val="single" w:color="auto" w:sz="4" w:space="0"/>
            </w:tcBorders>
            <w:vAlign w:val="center"/>
          </w:tcPr>
          <w:p>
            <w:pPr>
              <w:spacing w:line="240" w:lineRule="auto"/>
              <w:jc w:val="center"/>
              <w:rPr>
                <w:rFonts w:ascii="宋体" w:hAnsi="宋体" w:cs="宋体"/>
                <w:color w:val="auto"/>
                <w:sz w:val="21"/>
                <w:szCs w:val="21"/>
                <w:highlight w:val="none"/>
              </w:rPr>
            </w:pPr>
          </w:p>
        </w:tc>
      </w:tr>
    </w:tbl>
    <w:p>
      <w:pPr>
        <w:jc w:val="left"/>
        <w:rPr>
          <w:rFonts w:hint="eastAsia" w:ascii="宋体" w:eastAsia="宋体"/>
          <w:color w:val="auto"/>
          <w:sz w:val="32"/>
          <w:szCs w:val="32"/>
          <w:highlight w:val="none"/>
          <w:lang w:eastAsia="zh-CN"/>
        </w:rPr>
      </w:pPr>
    </w:p>
    <w:sectPr>
      <w:footerReference r:id="rId3" w:type="default"/>
      <w:pgSz w:w="11850" w:h="16783"/>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5E785"/>
    <w:multiLevelType w:val="singleLevel"/>
    <w:tmpl w:val="93E5E785"/>
    <w:lvl w:ilvl="0" w:tentative="0">
      <w:start w:val="1"/>
      <w:numFmt w:val="decimal"/>
      <w:lvlText w:val="%1."/>
      <w:lvlJc w:val="left"/>
      <w:pPr>
        <w:tabs>
          <w:tab w:val="left" w:pos="420"/>
        </w:tabs>
        <w:ind w:left="425" w:leftChars="0" w:hanging="425" w:firstLineChars="0"/>
      </w:pPr>
      <w:rPr>
        <w:rFonts w:hint="default"/>
      </w:rPr>
    </w:lvl>
  </w:abstractNum>
  <w:abstractNum w:abstractNumId="1">
    <w:nsid w:val="97758E60"/>
    <w:multiLevelType w:val="singleLevel"/>
    <w:tmpl w:val="97758E60"/>
    <w:lvl w:ilvl="0" w:tentative="0">
      <w:start w:val="1"/>
      <w:numFmt w:val="decimal"/>
      <w:lvlText w:val="%1."/>
      <w:lvlJc w:val="left"/>
      <w:pPr>
        <w:tabs>
          <w:tab w:val="left" w:pos="420"/>
        </w:tabs>
        <w:ind w:left="425" w:leftChars="0" w:hanging="425" w:firstLineChars="0"/>
      </w:pPr>
      <w:rPr>
        <w:rFonts w:hint="default"/>
      </w:rPr>
    </w:lvl>
  </w:abstractNum>
  <w:abstractNum w:abstractNumId="2">
    <w:nsid w:val="07E5EAB2"/>
    <w:multiLevelType w:val="singleLevel"/>
    <w:tmpl w:val="07E5EAB2"/>
    <w:lvl w:ilvl="0" w:tentative="0">
      <w:start w:val="1"/>
      <w:numFmt w:val="decimal"/>
      <w:lvlText w:val="%1."/>
      <w:lvlJc w:val="left"/>
      <w:pPr>
        <w:tabs>
          <w:tab w:val="left" w:pos="420"/>
        </w:tabs>
        <w:ind w:left="425" w:leftChars="0" w:hanging="425" w:firstLineChars="0"/>
      </w:pPr>
      <w:rPr>
        <w:rFonts w:hint="default"/>
      </w:rPr>
    </w:lvl>
  </w:abstractNum>
  <w:abstractNum w:abstractNumId="3">
    <w:nsid w:val="14F0780A"/>
    <w:multiLevelType w:val="multilevel"/>
    <w:tmpl w:val="14F0780A"/>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26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4847659"/>
    <w:multiLevelType w:val="singleLevel"/>
    <w:tmpl w:val="54847659"/>
    <w:lvl w:ilvl="0" w:tentative="0">
      <w:start w:val="2"/>
      <w:numFmt w:val="decimal"/>
      <w:suff w:val="nothing"/>
      <w:lvlText w:val="（%1）"/>
      <w:lvlJc w:val="left"/>
    </w:lvl>
  </w:abstractNum>
  <w:abstractNum w:abstractNumId="5">
    <w:nsid w:val="596648CE"/>
    <w:multiLevelType w:val="singleLevel"/>
    <w:tmpl w:val="596648CE"/>
    <w:lvl w:ilvl="0" w:tentative="0">
      <w:start w:val="1"/>
      <w:numFmt w:val="decimal"/>
      <w:lvlText w:val="%1."/>
      <w:lvlJc w:val="left"/>
      <w:pPr>
        <w:tabs>
          <w:tab w:val="left" w:pos="420"/>
        </w:tabs>
        <w:ind w:left="425" w:leftChars="0" w:hanging="425" w:firstLineChars="0"/>
      </w:pPr>
      <w:rPr>
        <w:rFonts w:hint="default"/>
      </w:rPr>
    </w:lvl>
  </w:abstractNum>
  <w:abstractNum w:abstractNumId="6">
    <w:nsid w:val="59FBB13B"/>
    <w:multiLevelType w:val="singleLevel"/>
    <w:tmpl w:val="59FBB13B"/>
    <w:lvl w:ilvl="0" w:tentative="0">
      <w:start w:val="1"/>
      <w:numFmt w:val="decimal"/>
      <w:suff w:val="nothing"/>
      <w:lvlText w:val="%1、"/>
      <w:lvlJc w:val="left"/>
    </w:lvl>
  </w:abstractNum>
  <w:abstractNum w:abstractNumId="7">
    <w:nsid w:val="6E4A6BEC"/>
    <w:multiLevelType w:val="multilevel"/>
    <w:tmpl w:val="6E4A6BEC"/>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620" w:hanging="72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4461535"/>
    <w:multiLevelType w:val="singleLevel"/>
    <w:tmpl w:val="74461535"/>
    <w:lvl w:ilvl="0" w:tentative="0">
      <w:start w:val="1"/>
      <w:numFmt w:val="decimal"/>
      <w:suff w:val="nothing"/>
      <w:lvlText w:val="%1、"/>
      <w:lvlJc w:val="left"/>
    </w:lvl>
  </w:abstractNum>
  <w:num w:numId="1">
    <w:abstractNumId w:val="8"/>
  </w:num>
  <w:num w:numId="2">
    <w:abstractNumId w:val="2"/>
  </w:num>
  <w:num w:numId="3">
    <w:abstractNumId w:val="5"/>
  </w:num>
  <w:num w:numId="4">
    <w:abstractNumId w:val="1"/>
  </w:num>
  <w:num w:numId="5">
    <w:abstractNumId w:val="0"/>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5C4D"/>
    <w:rsid w:val="000D65B4"/>
    <w:rsid w:val="000F0563"/>
    <w:rsid w:val="00103F75"/>
    <w:rsid w:val="00104C0E"/>
    <w:rsid w:val="00110E18"/>
    <w:rsid w:val="001121EC"/>
    <w:rsid w:val="00115322"/>
    <w:rsid w:val="00116416"/>
    <w:rsid w:val="00126196"/>
    <w:rsid w:val="001430DD"/>
    <w:rsid w:val="001605E3"/>
    <w:rsid w:val="00162567"/>
    <w:rsid w:val="00163134"/>
    <w:rsid w:val="00172092"/>
    <w:rsid w:val="00172A27"/>
    <w:rsid w:val="001A2E53"/>
    <w:rsid w:val="001D015D"/>
    <w:rsid w:val="001D1CD6"/>
    <w:rsid w:val="001F5986"/>
    <w:rsid w:val="00200AC4"/>
    <w:rsid w:val="0020211B"/>
    <w:rsid w:val="002072C4"/>
    <w:rsid w:val="002132B9"/>
    <w:rsid w:val="00213C81"/>
    <w:rsid w:val="00221C10"/>
    <w:rsid w:val="00234098"/>
    <w:rsid w:val="00236A19"/>
    <w:rsid w:val="00246713"/>
    <w:rsid w:val="00264424"/>
    <w:rsid w:val="00270C94"/>
    <w:rsid w:val="002717BE"/>
    <w:rsid w:val="002726BF"/>
    <w:rsid w:val="00285D6C"/>
    <w:rsid w:val="0029782A"/>
    <w:rsid w:val="002A3877"/>
    <w:rsid w:val="002B4205"/>
    <w:rsid w:val="002D0B46"/>
    <w:rsid w:val="002F27A8"/>
    <w:rsid w:val="002F3C24"/>
    <w:rsid w:val="003100AA"/>
    <w:rsid w:val="0031455F"/>
    <w:rsid w:val="0033071B"/>
    <w:rsid w:val="00346042"/>
    <w:rsid w:val="003470E5"/>
    <w:rsid w:val="0035739D"/>
    <w:rsid w:val="003644D1"/>
    <w:rsid w:val="00366431"/>
    <w:rsid w:val="00390078"/>
    <w:rsid w:val="00390D8C"/>
    <w:rsid w:val="003A174E"/>
    <w:rsid w:val="003A4DB9"/>
    <w:rsid w:val="003B367F"/>
    <w:rsid w:val="003B6CA2"/>
    <w:rsid w:val="003D57C8"/>
    <w:rsid w:val="003E1F18"/>
    <w:rsid w:val="003F01FF"/>
    <w:rsid w:val="003F2A8C"/>
    <w:rsid w:val="003F2E21"/>
    <w:rsid w:val="003F4E83"/>
    <w:rsid w:val="003F7A2A"/>
    <w:rsid w:val="00400A4C"/>
    <w:rsid w:val="004368D1"/>
    <w:rsid w:val="00436A53"/>
    <w:rsid w:val="00452B2E"/>
    <w:rsid w:val="00454E06"/>
    <w:rsid w:val="00467CBC"/>
    <w:rsid w:val="00475F21"/>
    <w:rsid w:val="00484BD7"/>
    <w:rsid w:val="004C2087"/>
    <w:rsid w:val="004D3DDD"/>
    <w:rsid w:val="004D7F2F"/>
    <w:rsid w:val="004E366E"/>
    <w:rsid w:val="004E4D84"/>
    <w:rsid w:val="004F0468"/>
    <w:rsid w:val="004F22EE"/>
    <w:rsid w:val="004F768B"/>
    <w:rsid w:val="005001DB"/>
    <w:rsid w:val="00503348"/>
    <w:rsid w:val="00524F1E"/>
    <w:rsid w:val="00527FA6"/>
    <w:rsid w:val="00535A76"/>
    <w:rsid w:val="00535EA5"/>
    <w:rsid w:val="00545A46"/>
    <w:rsid w:val="00552C82"/>
    <w:rsid w:val="00566BB5"/>
    <w:rsid w:val="00570E8A"/>
    <w:rsid w:val="00571351"/>
    <w:rsid w:val="005726E5"/>
    <w:rsid w:val="005B0D7F"/>
    <w:rsid w:val="005C2E97"/>
    <w:rsid w:val="005E4949"/>
    <w:rsid w:val="005F6201"/>
    <w:rsid w:val="006000D3"/>
    <w:rsid w:val="00621A35"/>
    <w:rsid w:val="006370F2"/>
    <w:rsid w:val="00643AD9"/>
    <w:rsid w:val="00645CDE"/>
    <w:rsid w:val="00670095"/>
    <w:rsid w:val="0068329C"/>
    <w:rsid w:val="0069793E"/>
    <w:rsid w:val="006A18A5"/>
    <w:rsid w:val="006A78A1"/>
    <w:rsid w:val="006B2790"/>
    <w:rsid w:val="006B765B"/>
    <w:rsid w:val="006C0E86"/>
    <w:rsid w:val="006E30A1"/>
    <w:rsid w:val="006F2CF2"/>
    <w:rsid w:val="00705034"/>
    <w:rsid w:val="007074A9"/>
    <w:rsid w:val="007146DA"/>
    <w:rsid w:val="007206A7"/>
    <w:rsid w:val="007223FE"/>
    <w:rsid w:val="0073113A"/>
    <w:rsid w:val="00731391"/>
    <w:rsid w:val="007361B7"/>
    <w:rsid w:val="007403F8"/>
    <w:rsid w:val="00740542"/>
    <w:rsid w:val="0075628A"/>
    <w:rsid w:val="00766F6E"/>
    <w:rsid w:val="00770580"/>
    <w:rsid w:val="0077363A"/>
    <w:rsid w:val="0078049E"/>
    <w:rsid w:val="0078260E"/>
    <w:rsid w:val="007900A4"/>
    <w:rsid w:val="00791EEF"/>
    <w:rsid w:val="007947DD"/>
    <w:rsid w:val="007960FB"/>
    <w:rsid w:val="007A3174"/>
    <w:rsid w:val="007E654C"/>
    <w:rsid w:val="007F5900"/>
    <w:rsid w:val="00812671"/>
    <w:rsid w:val="00813096"/>
    <w:rsid w:val="00857C6A"/>
    <w:rsid w:val="00860D2E"/>
    <w:rsid w:val="00870981"/>
    <w:rsid w:val="00884ADA"/>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B238C"/>
    <w:rsid w:val="009C0985"/>
    <w:rsid w:val="009C3FE9"/>
    <w:rsid w:val="009D04DA"/>
    <w:rsid w:val="009E5019"/>
    <w:rsid w:val="009F07D1"/>
    <w:rsid w:val="009F158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0193"/>
    <w:rsid w:val="00AD0D59"/>
    <w:rsid w:val="00AD6372"/>
    <w:rsid w:val="00AE014E"/>
    <w:rsid w:val="00AE3CC2"/>
    <w:rsid w:val="00AE5F5D"/>
    <w:rsid w:val="00AF1426"/>
    <w:rsid w:val="00B1321D"/>
    <w:rsid w:val="00B41734"/>
    <w:rsid w:val="00B463B5"/>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323BF"/>
    <w:rsid w:val="00C55C46"/>
    <w:rsid w:val="00C900FE"/>
    <w:rsid w:val="00C91653"/>
    <w:rsid w:val="00CB52D2"/>
    <w:rsid w:val="00CC1FF2"/>
    <w:rsid w:val="00CC213F"/>
    <w:rsid w:val="00CC443B"/>
    <w:rsid w:val="00CD3E38"/>
    <w:rsid w:val="00CD5597"/>
    <w:rsid w:val="00CE3A3B"/>
    <w:rsid w:val="00CE44C7"/>
    <w:rsid w:val="00D03D43"/>
    <w:rsid w:val="00D05711"/>
    <w:rsid w:val="00D1450B"/>
    <w:rsid w:val="00D147EE"/>
    <w:rsid w:val="00D21A19"/>
    <w:rsid w:val="00D24F60"/>
    <w:rsid w:val="00D27CAA"/>
    <w:rsid w:val="00D30186"/>
    <w:rsid w:val="00D36C98"/>
    <w:rsid w:val="00D47B08"/>
    <w:rsid w:val="00D53119"/>
    <w:rsid w:val="00D75EAD"/>
    <w:rsid w:val="00D76096"/>
    <w:rsid w:val="00D8335B"/>
    <w:rsid w:val="00D92C80"/>
    <w:rsid w:val="00DA6CE6"/>
    <w:rsid w:val="00DD63B7"/>
    <w:rsid w:val="00DE6055"/>
    <w:rsid w:val="00E1359E"/>
    <w:rsid w:val="00E14356"/>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93F7E"/>
    <w:rsid w:val="00EA2904"/>
    <w:rsid w:val="00EC6E5C"/>
    <w:rsid w:val="00ED469B"/>
    <w:rsid w:val="00ED500D"/>
    <w:rsid w:val="00EE07CA"/>
    <w:rsid w:val="00EF38C0"/>
    <w:rsid w:val="00F0548E"/>
    <w:rsid w:val="00F42ECA"/>
    <w:rsid w:val="00F46334"/>
    <w:rsid w:val="00F540B3"/>
    <w:rsid w:val="00F57017"/>
    <w:rsid w:val="00F57F55"/>
    <w:rsid w:val="00F66B5F"/>
    <w:rsid w:val="00F67168"/>
    <w:rsid w:val="00F91F2D"/>
    <w:rsid w:val="00FC2E66"/>
    <w:rsid w:val="00FD1435"/>
    <w:rsid w:val="01236420"/>
    <w:rsid w:val="01903DC3"/>
    <w:rsid w:val="019203CE"/>
    <w:rsid w:val="01C6679B"/>
    <w:rsid w:val="01DB73FB"/>
    <w:rsid w:val="021E790D"/>
    <w:rsid w:val="023F212C"/>
    <w:rsid w:val="025369C7"/>
    <w:rsid w:val="02CF0ECC"/>
    <w:rsid w:val="02F057DD"/>
    <w:rsid w:val="033C213F"/>
    <w:rsid w:val="03484CAE"/>
    <w:rsid w:val="03892241"/>
    <w:rsid w:val="038F5F2D"/>
    <w:rsid w:val="041632D2"/>
    <w:rsid w:val="04B7795B"/>
    <w:rsid w:val="04E20D80"/>
    <w:rsid w:val="055C41D2"/>
    <w:rsid w:val="05990C54"/>
    <w:rsid w:val="064027E2"/>
    <w:rsid w:val="064E5D09"/>
    <w:rsid w:val="07163E02"/>
    <w:rsid w:val="0778344C"/>
    <w:rsid w:val="07914CE8"/>
    <w:rsid w:val="07C40799"/>
    <w:rsid w:val="07EF114D"/>
    <w:rsid w:val="07F8299A"/>
    <w:rsid w:val="07FC3C28"/>
    <w:rsid w:val="08FE4B5D"/>
    <w:rsid w:val="091B02FE"/>
    <w:rsid w:val="095516E9"/>
    <w:rsid w:val="09A12008"/>
    <w:rsid w:val="09A87D97"/>
    <w:rsid w:val="09F116C0"/>
    <w:rsid w:val="09F842C7"/>
    <w:rsid w:val="0A9C1EA6"/>
    <w:rsid w:val="0AC5563C"/>
    <w:rsid w:val="0B156B15"/>
    <w:rsid w:val="0B2842B5"/>
    <w:rsid w:val="0B2D510A"/>
    <w:rsid w:val="0B7A3509"/>
    <w:rsid w:val="0B877E6D"/>
    <w:rsid w:val="0B8A3A1C"/>
    <w:rsid w:val="0B8E067F"/>
    <w:rsid w:val="0B9D1E24"/>
    <w:rsid w:val="0BC161C5"/>
    <w:rsid w:val="0C221B53"/>
    <w:rsid w:val="0C350BEC"/>
    <w:rsid w:val="0C3E74F4"/>
    <w:rsid w:val="0C581FFA"/>
    <w:rsid w:val="0CA801DE"/>
    <w:rsid w:val="0CAA6F62"/>
    <w:rsid w:val="0CC076DE"/>
    <w:rsid w:val="0CC47E27"/>
    <w:rsid w:val="0DAA3C30"/>
    <w:rsid w:val="0DAA6D53"/>
    <w:rsid w:val="0DFD03F0"/>
    <w:rsid w:val="0E055DB2"/>
    <w:rsid w:val="0ECD534C"/>
    <w:rsid w:val="0F07346D"/>
    <w:rsid w:val="0F476FE5"/>
    <w:rsid w:val="0F5B1EFC"/>
    <w:rsid w:val="0F745448"/>
    <w:rsid w:val="0FA75F85"/>
    <w:rsid w:val="100F04EB"/>
    <w:rsid w:val="105F6D77"/>
    <w:rsid w:val="10AB5A42"/>
    <w:rsid w:val="10B1715D"/>
    <w:rsid w:val="11244E46"/>
    <w:rsid w:val="11773ECB"/>
    <w:rsid w:val="117D545E"/>
    <w:rsid w:val="11884803"/>
    <w:rsid w:val="11991191"/>
    <w:rsid w:val="11A021FD"/>
    <w:rsid w:val="11B80BE3"/>
    <w:rsid w:val="11C63780"/>
    <w:rsid w:val="12AF7C9F"/>
    <w:rsid w:val="137A0852"/>
    <w:rsid w:val="13805A51"/>
    <w:rsid w:val="13D7487F"/>
    <w:rsid w:val="145937F7"/>
    <w:rsid w:val="148D506D"/>
    <w:rsid w:val="14A20F05"/>
    <w:rsid w:val="15081D13"/>
    <w:rsid w:val="151C6326"/>
    <w:rsid w:val="156C607B"/>
    <w:rsid w:val="15777005"/>
    <w:rsid w:val="158409BD"/>
    <w:rsid w:val="15C10279"/>
    <w:rsid w:val="15CA3134"/>
    <w:rsid w:val="15D53E50"/>
    <w:rsid w:val="16130001"/>
    <w:rsid w:val="161B33E4"/>
    <w:rsid w:val="1637695A"/>
    <w:rsid w:val="16392A64"/>
    <w:rsid w:val="1657368F"/>
    <w:rsid w:val="16960498"/>
    <w:rsid w:val="16A60CA8"/>
    <w:rsid w:val="16EC2558"/>
    <w:rsid w:val="172420B6"/>
    <w:rsid w:val="17337F11"/>
    <w:rsid w:val="17376C46"/>
    <w:rsid w:val="178126F4"/>
    <w:rsid w:val="178C4289"/>
    <w:rsid w:val="17BB119C"/>
    <w:rsid w:val="17F82E79"/>
    <w:rsid w:val="181F64D3"/>
    <w:rsid w:val="18361B45"/>
    <w:rsid w:val="189B659A"/>
    <w:rsid w:val="18B040C5"/>
    <w:rsid w:val="18C31890"/>
    <w:rsid w:val="18DC4851"/>
    <w:rsid w:val="18E95843"/>
    <w:rsid w:val="19392BEE"/>
    <w:rsid w:val="19467D5B"/>
    <w:rsid w:val="19920CC2"/>
    <w:rsid w:val="19E37076"/>
    <w:rsid w:val="19EB3231"/>
    <w:rsid w:val="19F57BEB"/>
    <w:rsid w:val="1A1079AA"/>
    <w:rsid w:val="1A250FDC"/>
    <w:rsid w:val="1A322596"/>
    <w:rsid w:val="1A3D7EFE"/>
    <w:rsid w:val="1A5A2682"/>
    <w:rsid w:val="1A745344"/>
    <w:rsid w:val="1ACC0E5F"/>
    <w:rsid w:val="1AE02338"/>
    <w:rsid w:val="1AFE3A1B"/>
    <w:rsid w:val="1B29785E"/>
    <w:rsid w:val="1B832CFE"/>
    <w:rsid w:val="1C104484"/>
    <w:rsid w:val="1C283BD7"/>
    <w:rsid w:val="1C40732C"/>
    <w:rsid w:val="1C8D19F2"/>
    <w:rsid w:val="1C901007"/>
    <w:rsid w:val="1CB65224"/>
    <w:rsid w:val="1CBB16AC"/>
    <w:rsid w:val="1D331EBE"/>
    <w:rsid w:val="1DA35412"/>
    <w:rsid w:val="1DF44BE6"/>
    <w:rsid w:val="1E001ECE"/>
    <w:rsid w:val="1E0D71B7"/>
    <w:rsid w:val="1E764FA5"/>
    <w:rsid w:val="1E8A2B88"/>
    <w:rsid w:val="1EA6101D"/>
    <w:rsid w:val="1ED83145"/>
    <w:rsid w:val="1F772F6B"/>
    <w:rsid w:val="1F795FB9"/>
    <w:rsid w:val="1F9259C0"/>
    <w:rsid w:val="1FA33276"/>
    <w:rsid w:val="1FAD4D0E"/>
    <w:rsid w:val="1FCC6808"/>
    <w:rsid w:val="1FF53154"/>
    <w:rsid w:val="2059120B"/>
    <w:rsid w:val="206C5C82"/>
    <w:rsid w:val="2099612E"/>
    <w:rsid w:val="21B012C6"/>
    <w:rsid w:val="21D14E52"/>
    <w:rsid w:val="21E6512D"/>
    <w:rsid w:val="22274DFC"/>
    <w:rsid w:val="223B2194"/>
    <w:rsid w:val="223C7685"/>
    <w:rsid w:val="223E6DB2"/>
    <w:rsid w:val="22C50D09"/>
    <w:rsid w:val="22DC6B13"/>
    <w:rsid w:val="23297552"/>
    <w:rsid w:val="233C442C"/>
    <w:rsid w:val="24092FE5"/>
    <w:rsid w:val="24654F0F"/>
    <w:rsid w:val="24945FFC"/>
    <w:rsid w:val="24B15446"/>
    <w:rsid w:val="24F13799"/>
    <w:rsid w:val="24F37099"/>
    <w:rsid w:val="2556678D"/>
    <w:rsid w:val="256A5288"/>
    <w:rsid w:val="25B5122E"/>
    <w:rsid w:val="2683725F"/>
    <w:rsid w:val="26C67120"/>
    <w:rsid w:val="271460D0"/>
    <w:rsid w:val="27191995"/>
    <w:rsid w:val="277121D0"/>
    <w:rsid w:val="280C0F54"/>
    <w:rsid w:val="28300A47"/>
    <w:rsid w:val="283C270B"/>
    <w:rsid w:val="284B592E"/>
    <w:rsid w:val="285A75BA"/>
    <w:rsid w:val="285C7470"/>
    <w:rsid w:val="28600DAC"/>
    <w:rsid w:val="28720579"/>
    <w:rsid w:val="296B3381"/>
    <w:rsid w:val="298B396B"/>
    <w:rsid w:val="29AD2C11"/>
    <w:rsid w:val="29E71BA9"/>
    <w:rsid w:val="2A1921BF"/>
    <w:rsid w:val="2A6E6DE5"/>
    <w:rsid w:val="2AAD5FEC"/>
    <w:rsid w:val="2AB62B6A"/>
    <w:rsid w:val="2AD011B7"/>
    <w:rsid w:val="2AE53309"/>
    <w:rsid w:val="2AED4D38"/>
    <w:rsid w:val="2B0A0B83"/>
    <w:rsid w:val="2B180211"/>
    <w:rsid w:val="2B604707"/>
    <w:rsid w:val="2B6614E8"/>
    <w:rsid w:val="2B70535E"/>
    <w:rsid w:val="2B754DA5"/>
    <w:rsid w:val="2C0E4B3D"/>
    <w:rsid w:val="2CE001B5"/>
    <w:rsid w:val="2CEE1EE6"/>
    <w:rsid w:val="2D6441CE"/>
    <w:rsid w:val="2D6766F2"/>
    <w:rsid w:val="2D803C83"/>
    <w:rsid w:val="2DA42DC9"/>
    <w:rsid w:val="2DB4405A"/>
    <w:rsid w:val="2DDD025A"/>
    <w:rsid w:val="2E20462C"/>
    <w:rsid w:val="2E4C137E"/>
    <w:rsid w:val="2E5570AA"/>
    <w:rsid w:val="2E7108EA"/>
    <w:rsid w:val="2EE026F5"/>
    <w:rsid w:val="2EF51E3A"/>
    <w:rsid w:val="2F097543"/>
    <w:rsid w:val="2F4F747E"/>
    <w:rsid w:val="2F697BD8"/>
    <w:rsid w:val="2F844206"/>
    <w:rsid w:val="2FB22BC3"/>
    <w:rsid w:val="2FC3524A"/>
    <w:rsid w:val="2FF0763E"/>
    <w:rsid w:val="2FFA78FD"/>
    <w:rsid w:val="307F7039"/>
    <w:rsid w:val="30E03D78"/>
    <w:rsid w:val="31173F07"/>
    <w:rsid w:val="31360377"/>
    <w:rsid w:val="314D1760"/>
    <w:rsid w:val="31C033D3"/>
    <w:rsid w:val="31C73C32"/>
    <w:rsid w:val="32396EEE"/>
    <w:rsid w:val="329057D7"/>
    <w:rsid w:val="3298044F"/>
    <w:rsid w:val="331A0489"/>
    <w:rsid w:val="332C0A1A"/>
    <w:rsid w:val="33624E97"/>
    <w:rsid w:val="33B555F0"/>
    <w:rsid w:val="34064324"/>
    <w:rsid w:val="348A7250"/>
    <w:rsid w:val="34997493"/>
    <w:rsid w:val="34B1780B"/>
    <w:rsid w:val="34BB53D7"/>
    <w:rsid w:val="34C11F9D"/>
    <w:rsid w:val="35737F7B"/>
    <w:rsid w:val="35C41550"/>
    <w:rsid w:val="35D62220"/>
    <w:rsid w:val="3676727F"/>
    <w:rsid w:val="371E009F"/>
    <w:rsid w:val="381B0A8D"/>
    <w:rsid w:val="383C6481"/>
    <w:rsid w:val="385279BF"/>
    <w:rsid w:val="38A26C93"/>
    <w:rsid w:val="38A60EAA"/>
    <w:rsid w:val="391B5F64"/>
    <w:rsid w:val="39286C80"/>
    <w:rsid w:val="39BA3ACF"/>
    <w:rsid w:val="39D22F68"/>
    <w:rsid w:val="39E40E0D"/>
    <w:rsid w:val="39EB1333"/>
    <w:rsid w:val="39F21C58"/>
    <w:rsid w:val="39F52506"/>
    <w:rsid w:val="3AE51288"/>
    <w:rsid w:val="3B3A5E24"/>
    <w:rsid w:val="3B49733E"/>
    <w:rsid w:val="3B8528DA"/>
    <w:rsid w:val="3C33175C"/>
    <w:rsid w:val="3C3916A0"/>
    <w:rsid w:val="3C7A3DA9"/>
    <w:rsid w:val="3D74121F"/>
    <w:rsid w:val="3D79670D"/>
    <w:rsid w:val="3D8F0E88"/>
    <w:rsid w:val="3D8F1CBA"/>
    <w:rsid w:val="3DCA196E"/>
    <w:rsid w:val="3DFE2AF6"/>
    <w:rsid w:val="3E4D384A"/>
    <w:rsid w:val="3E811524"/>
    <w:rsid w:val="3E9124AD"/>
    <w:rsid w:val="3EF12551"/>
    <w:rsid w:val="3F541FB4"/>
    <w:rsid w:val="3FC24387"/>
    <w:rsid w:val="3FED0E99"/>
    <w:rsid w:val="40274D0C"/>
    <w:rsid w:val="41060B44"/>
    <w:rsid w:val="413B0291"/>
    <w:rsid w:val="41C95BAE"/>
    <w:rsid w:val="41D84BDE"/>
    <w:rsid w:val="42F92008"/>
    <w:rsid w:val="43437213"/>
    <w:rsid w:val="43C53CD2"/>
    <w:rsid w:val="44403054"/>
    <w:rsid w:val="4460106B"/>
    <w:rsid w:val="4466339D"/>
    <w:rsid w:val="44815354"/>
    <w:rsid w:val="449A09C3"/>
    <w:rsid w:val="44DF1809"/>
    <w:rsid w:val="44EA2A15"/>
    <w:rsid w:val="44FE32DC"/>
    <w:rsid w:val="45205409"/>
    <w:rsid w:val="453C5A41"/>
    <w:rsid w:val="454C5E53"/>
    <w:rsid w:val="45A74158"/>
    <w:rsid w:val="45A82FCF"/>
    <w:rsid w:val="45C95C32"/>
    <w:rsid w:val="45F005D9"/>
    <w:rsid w:val="46544778"/>
    <w:rsid w:val="46C53BA1"/>
    <w:rsid w:val="46C62E28"/>
    <w:rsid w:val="4728097B"/>
    <w:rsid w:val="47300CB1"/>
    <w:rsid w:val="47567FD1"/>
    <w:rsid w:val="478D1474"/>
    <w:rsid w:val="47A21DC0"/>
    <w:rsid w:val="47C51244"/>
    <w:rsid w:val="47EA35DE"/>
    <w:rsid w:val="480B1EE2"/>
    <w:rsid w:val="483B17F7"/>
    <w:rsid w:val="4853638F"/>
    <w:rsid w:val="485E04B9"/>
    <w:rsid w:val="488C514F"/>
    <w:rsid w:val="48DE5A5B"/>
    <w:rsid w:val="48EE65C6"/>
    <w:rsid w:val="491122F0"/>
    <w:rsid w:val="497C1A2C"/>
    <w:rsid w:val="49892A4B"/>
    <w:rsid w:val="498D38E4"/>
    <w:rsid w:val="49B85962"/>
    <w:rsid w:val="49BB34A5"/>
    <w:rsid w:val="49FD038D"/>
    <w:rsid w:val="4A332A15"/>
    <w:rsid w:val="4A45702E"/>
    <w:rsid w:val="4A60455F"/>
    <w:rsid w:val="4AB20A9E"/>
    <w:rsid w:val="4BA057E8"/>
    <w:rsid w:val="4BAF7139"/>
    <w:rsid w:val="4BD677D1"/>
    <w:rsid w:val="4BE2641C"/>
    <w:rsid w:val="4BF2154F"/>
    <w:rsid w:val="4C172A22"/>
    <w:rsid w:val="4C2E5501"/>
    <w:rsid w:val="4C3F1C3E"/>
    <w:rsid w:val="4C4333E8"/>
    <w:rsid w:val="4C45635C"/>
    <w:rsid w:val="4C8B796E"/>
    <w:rsid w:val="4CBB3654"/>
    <w:rsid w:val="4D015351"/>
    <w:rsid w:val="4D3D31C8"/>
    <w:rsid w:val="4D5704D0"/>
    <w:rsid w:val="4D9F50A9"/>
    <w:rsid w:val="4DB6624E"/>
    <w:rsid w:val="4DEB6C0B"/>
    <w:rsid w:val="4DEE7B26"/>
    <w:rsid w:val="4DF03890"/>
    <w:rsid w:val="4E4B50FE"/>
    <w:rsid w:val="4E4D4E5A"/>
    <w:rsid w:val="4E5D4E2A"/>
    <w:rsid w:val="4E6973FD"/>
    <w:rsid w:val="4E7C5A69"/>
    <w:rsid w:val="4EB242BA"/>
    <w:rsid w:val="4EC11725"/>
    <w:rsid w:val="4ED50452"/>
    <w:rsid w:val="4EE0198A"/>
    <w:rsid w:val="4F5C5A65"/>
    <w:rsid w:val="4F881260"/>
    <w:rsid w:val="502164CA"/>
    <w:rsid w:val="504D05A3"/>
    <w:rsid w:val="5085504D"/>
    <w:rsid w:val="50E86F95"/>
    <w:rsid w:val="51366088"/>
    <w:rsid w:val="515144F9"/>
    <w:rsid w:val="515177BD"/>
    <w:rsid w:val="51664136"/>
    <w:rsid w:val="51764E69"/>
    <w:rsid w:val="51B72D81"/>
    <w:rsid w:val="51F8290B"/>
    <w:rsid w:val="5214636D"/>
    <w:rsid w:val="522172F3"/>
    <w:rsid w:val="52921DDC"/>
    <w:rsid w:val="52CE2ABD"/>
    <w:rsid w:val="53364871"/>
    <w:rsid w:val="544D4103"/>
    <w:rsid w:val="54DC5494"/>
    <w:rsid w:val="54E45981"/>
    <w:rsid w:val="54E60578"/>
    <w:rsid w:val="55562A6B"/>
    <w:rsid w:val="559D1BB4"/>
    <w:rsid w:val="55AB7632"/>
    <w:rsid w:val="56120676"/>
    <w:rsid w:val="561F064A"/>
    <w:rsid w:val="56213529"/>
    <w:rsid w:val="56AE4ED0"/>
    <w:rsid w:val="56B84C0C"/>
    <w:rsid w:val="572C4ABC"/>
    <w:rsid w:val="575F253F"/>
    <w:rsid w:val="57697249"/>
    <w:rsid w:val="57CB2433"/>
    <w:rsid w:val="57EE10E6"/>
    <w:rsid w:val="57FC57B2"/>
    <w:rsid w:val="580F46BB"/>
    <w:rsid w:val="584077A8"/>
    <w:rsid w:val="58471C12"/>
    <w:rsid w:val="587F14E5"/>
    <w:rsid w:val="58941CF0"/>
    <w:rsid w:val="589578B7"/>
    <w:rsid w:val="58BD4ABA"/>
    <w:rsid w:val="58D94DEA"/>
    <w:rsid w:val="58FD1243"/>
    <w:rsid w:val="59190A2B"/>
    <w:rsid w:val="59EC6830"/>
    <w:rsid w:val="5A2A55AD"/>
    <w:rsid w:val="5A8C03A0"/>
    <w:rsid w:val="5A99115D"/>
    <w:rsid w:val="5AC52B01"/>
    <w:rsid w:val="5B174B56"/>
    <w:rsid w:val="5B7F4073"/>
    <w:rsid w:val="5B8E0A5F"/>
    <w:rsid w:val="5BD67304"/>
    <w:rsid w:val="5C0B1B56"/>
    <w:rsid w:val="5C9E26AE"/>
    <w:rsid w:val="5CAD7CB1"/>
    <w:rsid w:val="5CCE22BB"/>
    <w:rsid w:val="5CE91740"/>
    <w:rsid w:val="5D7F03C9"/>
    <w:rsid w:val="5E1D32BD"/>
    <w:rsid w:val="5EDD6836"/>
    <w:rsid w:val="5F1732C8"/>
    <w:rsid w:val="5F1A514A"/>
    <w:rsid w:val="5F4C56AF"/>
    <w:rsid w:val="5F8D0E74"/>
    <w:rsid w:val="5FB26E1F"/>
    <w:rsid w:val="5FC00E9A"/>
    <w:rsid w:val="5FCC418B"/>
    <w:rsid w:val="5FF048CE"/>
    <w:rsid w:val="60032A35"/>
    <w:rsid w:val="602D2356"/>
    <w:rsid w:val="60337C67"/>
    <w:rsid w:val="6038235B"/>
    <w:rsid w:val="60B71E10"/>
    <w:rsid w:val="60D27D63"/>
    <w:rsid w:val="60F73606"/>
    <w:rsid w:val="610B6028"/>
    <w:rsid w:val="61B11FD2"/>
    <w:rsid w:val="62173F93"/>
    <w:rsid w:val="622E2A99"/>
    <w:rsid w:val="629A4622"/>
    <w:rsid w:val="63171609"/>
    <w:rsid w:val="635E5A33"/>
    <w:rsid w:val="63A80B42"/>
    <w:rsid w:val="63B003E7"/>
    <w:rsid w:val="63F565C7"/>
    <w:rsid w:val="64015E84"/>
    <w:rsid w:val="643365C4"/>
    <w:rsid w:val="644B76F5"/>
    <w:rsid w:val="64AA6EA6"/>
    <w:rsid w:val="64CE0599"/>
    <w:rsid w:val="64E67E09"/>
    <w:rsid w:val="65041F2C"/>
    <w:rsid w:val="6512563A"/>
    <w:rsid w:val="656B0350"/>
    <w:rsid w:val="657D66C6"/>
    <w:rsid w:val="657E3C5C"/>
    <w:rsid w:val="658B73D8"/>
    <w:rsid w:val="65980B09"/>
    <w:rsid w:val="65AF4D83"/>
    <w:rsid w:val="65C1085E"/>
    <w:rsid w:val="65CB28F5"/>
    <w:rsid w:val="65EB4E9F"/>
    <w:rsid w:val="660F3B4C"/>
    <w:rsid w:val="66B54E52"/>
    <w:rsid w:val="67C96F26"/>
    <w:rsid w:val="689F53FF"/>
    <w:rsid w:val="68FB5685"/>
    <w:rsid w:val="6918632C"/>
    <w:rsid w:val="69964533"/>
    <w:rsid w:val="69C8191E"/>
    <w:rsid w:val="69E24A71"/>
    <w:rsid w:val="6A1228AA"/>
    <w:rsid w:val="6A5D3C5A"/>
    <w:rsid w:val="6ACA5E3B"/>
    <w:rsid w:val="6B0E3D19"/>
    <w:rsid w:val="6B240123"/>
    <w:rsid w:val="6B85390A"/>
    <w:rsid w:val="6BE9756F"/>
    <w:rsid w:val="6C267237"/>
    <w:rsid w:val="6C330E25"/>
    <w:rsid w:val="6CAF6177"/>
    <w:rsid w:val="6CBD2C26"/>
    <w:rsid w:val="6D122732"/>
    <w:rsid w:val="6D902A6C"/>
    <w:rsid w:val="6DA45659"/>
    <w:rsid w:val="6DAD2580"/>
    <w:rsid w:val="6E005A3D"/>
    <w:rsid w:val="6E1A1398"/>
    <w:rsid w:val="6E6E1F83"/>
    <w:rsid w:val="6E8379EB"/>
    <w:rsid w:val="6F27699D"/>
    <w:rsid w:val="6F3401A4"/>
    <w:rsid w:val="6F3477B7"/>
    <w:rsid w:val="6FEF3E1A"/>
    <w:rsid w:val="6FF109FC"/>
    <w:rsid w:val="70512BFC"/>
    <w:rsid w:val="709D12AF"/>
    <w:rsid w:val="70E32AA6"/>
    <w:rsid w:val="711A73E2"/>
    <w:rsid w:val="71201DCC"/>
    <w:rsid w:val="71274947"/>
    <w:rsid w:val="71387CBC"/>
    <w:rsid w:val="717A05AB"/>
    <w:rsid w:val="71AC1F2B"/>
    <w:rsid w:val="71AD7259"/>
    <w:rsid w:val="71FD3123"/>
    <w:rsid w:val="724469F6"/>
    <w:rsid w:val="727B48D1"/>
    <w:rsid w:val="72AF39F3"/>
    <w:rsid w:val="73090125"/>
    <w:rsid w:val="731C53D1"/>
    <w:rsid w:val="731E0600"/>
    <w:rsid w:val="73563160"/>
    <w:rsid w:val="73B83851"/>
    <w:rsid w:val="73FF5058"/>
    <w:rsid w:val="741A7186"/>
    <w:rsid w:val="74335B34"/>
    <w:rsid w:val="749A7188"/>
    <w:rsid w:val="74E14AE9"/>
    <w:rsid w:val="752B452D"/>
    <w:rsid w:val="75AA304B"/>
    <w:rsid w:val="760911B5"/>
    <w:rsid w:val="76141174"/>
    <w:rsid w:val="76656E5D"/>
    <w:rsid w:val="768D2953"/>
    <w:rsid w:val="76C36187"/>
    <w:rsid w:val="77513D23"/>
    <w:rsid w:val="77BD2E56"/>
    <w:rsid w:val="77F70D0E"/>
    <w:rsid w:val="786E78AA"/>
    <w:rsid w:val="78EA1FC6"/>
    <w:rsid w:val="79570610"/>
    <w:rsid w:val="796E3507"/>
    <w:rsid w:val="797406C6"/>
    <w:rsid w:val="797D2014"/>
    <w:rsid w:val="79A007B1"/>
    <w:rsid w:val="79AA4783"/>
    <w:rsid w:val="79B96183"/>
    <w:rsid w:val="7A28744A"/>
    <w:rsid w:val="7AC77E2E"/>
    <w:rsid w:val="7AC952A9"/>
    <w:rsid w:val="7AF138ED"/>
    <w:rsid w:val="7B0012E8"/>
    <w:rsid w:val="7B961781"/>
    <w:rsid w:val="7C420360"/>
    <w:rsid w:val="7C50054F"/>
    <w:rsid w:val="7CA703C1"/>
    <w:rsid w:val="7CC810C7"/>
    <w:rsid w:val="7D3340A8"/>
    <w:rsid w:val="7D3503DF"/>
    <w:rsid w:val="7D41254F"/>
    <w:rsid w:val="7D976A2D"/>
    <w:rsid w:val="7DBE49A1"/>
    <w:rsid w:val="7DFA0361"/>
    <w:rsid w:val="7E054B6F"/>
    <w:rsid w:val="7E156AF7"/>
    <w:rsid w:val="7E1D27C2"/>
    <w:rsid w:val="7E7D43DC"/>
    <w:rsid w:val="7E8649F5"/>
    <w:rsid w:val="7F3F525F"/>
    <w:rsid w:val="7F9C64E9"/>
    <w:rsid w:val="7FEE69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22"/>
    <w:qFormat/>
    <w:uiPriority w:val="99"/>
    <w:pPr>
      <w:keepNext/>
      <w:keepLines/>
      <w:adjustRightInd/>
      <w:spacing w:before="340" w:after="330" w:line="578" w:lineRule="auto"/>
      <w:textAlignment w:val="auto"/>
      <w:outlineLvl w:val="0"/>
    </w:pPr>
    <w:rPr>
      <w:b/>
      <w:bCs/>
      <w:kern w:val="44"/>
      <w:sz w:val="44"/>
      <w:szCs w:val="44"/>
    </w:rPr>
  </w:style>
  <w:style w:type="character" w:default="1" w:styleId="13">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1"/>
    </w:rPr>
  </w:style>
  <w:style w:type="paragraph" w:styleId="4">
    <w:name w:val="annotation text"/>
    <w:basedOn w:val="1"/>
    <w:semiHidden/>
    <w:unhideWhenUsed/>
    <w:qFormat/>
    <w:uiPriority w:val="99"/>
    <w:pPr>
      <w:jc w:val="left"/>
    </w:pPr>
  </w:style>
  <w:style w:type="paragraph" w:styleId="5">
    <w:name w:val="Body Text"/>
    <w:basedOn w:val="1"/>
    <w:qFormat/>
    <w:uiPriority w:val="0"/>
    <w:pPr>
      <w:tabs>
        <w:tab w:val="left" w:pos="567"/>
      </w:tabs>
      <w:spacing w:before="120" w:line="22" w:lineRule="atLeast"/>
    </w:pPr>
    <w:rPr>
      <w:rFonts w:hint="eastAsia" w:ascii="宋体" w:hAnsi="宋体"/>
      <w:sz w:val="24"/>
    </w:rPr>
  </w:style>
  <w:style w:type="paragraph" w:styleId="6">
    <w:name w:val="List 2"/>
    <w:basedOn w:val="1"/>
    <w:qFormat/>
    <w:uiPriority w:val="0"/>
    <w:pPr>
      <w:widowControl/>
      <w:overflowPunct w:val="0"/>
      <w:autoSpaceDE w:val="0"/>
      <w:autoSpaceDN w:val="0"/>
      <w:ind w:left="720" w:hanging="360"/>
      <w:jc w:val="left"/>
    </w:pPr>
    <w:rPr>
      <w:szCs w:val="24"/>
      <w:lang w:val="en-GB"/>
    </w:rPr>
  </w:style>
  <w:style w:type="paragraph" w:styleId="7">
    <w:name w:val="Plain Text"/>
    <w:basedOn w:val="1"/>
    <w:link w:val="24"/>
    <w:qFormat/>
    <w:uiPriority w:val="99"/>
    <w:rPr>
      <w:rFonts w:ascii="宋体" w:hAnsi="Courier New" w:cs="宋体"/>
      <w:kern w:val="2"/>
      <w:sz w:val="21"/>
      <w:szCs w:val="21"/>
    </w:rPr>
  </w:style>
  <w:style w:type="paragraph" w:styleId="8">
    <w:name w:val="Balloon Text"/>
    <w:basedOn w:val="1"/>
    <w:link w:val="27"/>
    <w:semiHidden/>
    <w:qFormat/>
    <w:uiPriority w:val="99"/>
    <w:pPr>
      <w:spacing w:line="240" w:lineRule="auto"/>
    </w:pPr>
    <w:rPr>
      <w:sz w:val="18"/>
      <w:szCs w:val="18"/>
    </w:rPr>
  </w:style>
  <w:style w:type="paragraph" w:styleId="9">
    <w:name w:val="footer"/>
    <w:basedOn w:val="1"/>
    <w:link w:val="26"/>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Body Text 2"/>
    <w:basedOn w:val="1"/>
    <w:qFormat/>
    <w:uiPriority w:val="0"/>
    <w:pPr>
      <w:spacing w:after="120" w:line="480" w:lineRule="auto"/>
    </w:pPr>
    <w:rPr>
      <w:szCs w:val="24"/>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FollowedHyperlink"/>
    <w:basedOn w:val="13"/>
    <w:unhideWhenUsed/>
    <w:qFormat/>
    <w:uiPriority w:val="99"/>
    <w:rPr>
      <w:color w:val="296FBE"/>
      <w:u w:val="none"/>
    </w:rPr>
  </w:style>
  <w:style w:type="character" w:styleId="15">
    <w:name w:val="HTML Definition"/>
    <w:basedOn w:val="13"/>
    <w:unhideWhenUsed/>
    <w:qFormat/>
    <w:uiPriority w:val="99"/>
  </w:style>
  <w:style w:type="character" w:styleId="16">
    <w:name w:val="HTML Variable"/>
    <w:basedOn w:val="13"/>
    <w:unhideWhenUsed/>
    <w:qFormat/>
    <w:uiPriority w:val="99"/>
  </w:style>
  <w:style w:type="character" w:styleId="17">
    <w:name w:val="Hyperlink"/>
    <w:basedOn w:val="13"/>
    <w:unhideWhenUsed/>
    <w:qFormat/>
    <w:uiPriority w:val="99"/>
    <w:rPr>
      <w:color w:val="296FBE"/>
      <w:u w:val="none"/>
    </w:rPr>
  </w:style>
  <w:style w:type="character" w:styleId="18">
    <w:name w:val="HTML Code"/>
    <w:basedOn w:val="13"/>
    <w:unhideWhenUsed/>
    <w:qFormat/>
    <w:uiPriority w:val="99"/>
    <w:rPr>
      <w:rFonts w:ascii="微软雅黑" w:hAnsi="微软雅黑" w:eastAsia="微软雅黑" w:cs="微软雅黑"/>
      <w:sz w:val="20"/>
    </w:rPr>
  </w:style>
  <w:style w:type="character" w:styleId="19">
    <w:name w:val="HTML Cite"/>
    <w:basedOn w:val="13"/>
    <w:unhideWhenUsed/>
    <w:qFormat/>
    <w:uiPriority w:val="99"/>
  </w:style>
  <w:style w:type="table" w:styleId="21">
    <w:name w:val="Table Grid"/>
    <w:basedOn w:val="2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basedOn w:val="13"/>
    <w:link w:val="2"/>
    <w:qFormat/>
    <w:locked/>
    <w:uiPriority w:val="99"/>
    <w:rPr>
      <w:rFonts w:ascii="Times New Roman" w:hAnsi="Times New Roman" w:eastAsia="宋体" w:cs="Times New Roman"/>
      <w:b/>
      <w:bCs/>
      <w:kern w:val="44"/>
      <w:sz w:val="44"/>
      <w:szCs w:val="44"/>
    </w:rPr>
  </w:style>
  <w:style w:type="paragraph" w:customStyle="1" w:styleId="23">
    <w:name w:val="正文文本缩进1"/>
    <w:basedOn w:val="1"/>
    <w:qFormat/>
    <w:uiPriority w:val="99"/>
    <w:pPr>
      <w:ind w:firstLine="630"/>
    </w:pPr>
    <w:rPr>
      <w:rFonts w:eastAsia="仿宋_GB2312"/>
      <w:sz w:val="24"/>
      <w:szCs w:val="24"/>
    </w:rPr>
  </w:style>
  <w:style w:type="character" w:customStyle="1" w:styleId="24">
    <w:name w:val="纯文本 Char"/>
    <w:basedOn w:val="13"/>
    <w:link w:val="7"/>
    <w:qFormat/>
    <w:locked/>
    <w:uiPriority w:val="99"/>
    <w:rPr>
      <w:rFonts w:ascii="宋体" w:hAnsi="Courier New" w:eastAsia="宋体" w:cs="宋体"/>
      <w:sz w:val="20"/>
      <w:szCs w:val="20"/>
    </w:rPr>
  </w:style>
  <w:style w:type="character" w:customStyle="1" w:styleId="25">
    <w:name w:val="页眉 Char"/>
    <w:basedOn w:val="13"/>
    <w:link w:val="10"/>
    <w:qFormat/>
    <w:locked/>
    <w:uiPriority w:val="99"/>
    <w:rPr>
      <w:rFonts w:ascii="Times New Roman" w:hAnsi="Times New Roman" w:eastAsia="宋体" w:cs="Times New Roman"/>
      <w:kern w:val="0"/>
      <w:sz w:val="18"/>
      <w:szCs w:val="18"/>
    </w:rPr>
  </w:style>
  <w:style w:type="character" w:customStyle="1" w:styleId="26">
    <w:name w:val="页脚 Char"/>
    <w:basedOn w:val="13"/>
    <w:link w:val="9"/>
    <w:qFormat/>
    <w:locked/>
    <w:uiPriority w:val="99"/>
    <w:rPr>
      <w:rFonts w:ascii="Times New Roman" w:hAnsi="Times New Roman" w:eastAsia="宋体" w:cs="Times New Roman"/>
      <w:kern w:val="0"/>
      <w:sz w:val="18"/>
      <w:szCs w:val="18"/>
    </w:rPr>
  </w:style>
  <w:style w:type="character" w:customStyle="1" w:styleId="27">
    <w:name w:val="批注框文本 Char"/>
    <w:basedOn w:val="13"/>
    <w:link w:val="8"/>
    <w:semiHidden/>
    <w:qFormat/>
    <w:locked/>
    <w:uiPriority w:val="99"/>
    <w:rPr>
      <w:rFonts w:ascii="Times New Roman" w:hAnsi="Times New Roman" w:eastAsia="宋体" w:cs="Times New Roman"/>
      <w:kern w:val="0"/>
      <w:sz w:val="18"/>
      <w:szCs w:val="18"/>
    </w:rPr>
  </w:style>
  <w:style w:type="character" w:customStyle="1" w:styleId="28">
    <w:name w:val="cy"/>
    <w:basedOn w:val="13"/>
    <w:qFormat/>
    <w:uiPriority w:val="0"/>
  </w:style>
  <w:style w:type="character" w:customStyle="1" w:styleId="29">
    <w:name w:val="xdrichtextbox"/>
    <w:basedOn w:val="13"/>
    <w:qFormat/>
    <w:uiPriority w:val="0"/>
    <w:rPr>
      <w:color w:val="auto"/>
      <w:sz w:val="18"/>
      <w:szCs w:val="18"/>
      <w:u w:val="none"/>
      <w:bdr w:val="single" w:color="DCDCDC" w:sz="8" w:space="0"/>
      <w:shd w:val="clear" w:color="auto" w:fill="auto"/>
    </w:rPr>
  </w:style>
  <w:style w:type="character" w:customStyle="1" w:styleId="30">
    <w:name w:val="drapbtn"/>
    <w:basedOn w:val="13"/>
    <w:qFormat/>
    <w:uiPriority w:val="0"/>
  </w:style>
  <w:style w:type="character" w:customStyle="1" w:styleId="31">
    <w:name w:val="w32"/>
    <w:basedOn w:val="13"/>
    <w:qFormat/>
    <w:uiPriority w:val="0"/>
  </w:style>
  <w:style w:type="character" w:customStyle="1" w:styleId="32">
    <w:name w:val="design_class"/>
    <w:basedOn w:val="13"/>
    <w:qFormat/>
    <w:uiPriority w:val="0"/>
  </w:style>
  <w:style w:type="character" w:customStyle="1" w:styleId="33">
    <w:name w:val="cdropright"/>
    <w:basedOn w:val="13"/>
    <w:qFormat/>
    <w:uiPriority w:val="0"/>
  </w:style>
  <w:style w:type="character" w:customStyle="1" w:styleId="34">
    <w:name w:val="browse_class&gt;input"/>
    <w:basedOn w:val="13"/>
    <w:qFormat/>
    <w:uiPriority w:val="0"/>
    <w:rPr>
      <w:shd w:val="clear" w:color="auto" w:fill="F8F8F8"/>
    </w:rPr>
  </w:style>
  <w:style w:type="character" w:customStyle="1" w:styleId="35">
    <w:name w:val="biggerthanmax"/>
    <w:basedOn w:val="13"/>
    <w:qFormat/>
    <w:uiPriority w:val="0"/>
    <w:rPr>
      <w:shd w:val="clear" w:color="auto" w:fill="FFFF00"/>
    </w:rPr>
  </w:style>
  <w:style w:type="character" w:customStyle="1" w:styleId="36">
    <w:name w:val="browse_class&gt;span"/>
    <w:basedOn w:val="13"/>
    <w:qFormat/>
    <w:uiPriority w:val="0"/>
    <w:rPr>
      <w:shd w:val="clear" w:color="auto" w:fill="F8F8F8"/>
    </w:rPr>
  </w:style>
  <w:style w:type="character" w:customStyle="1" w:styleId="37">
    <w:name w:val="hilite6"/>
    <w:basedOn w:val="13"/>
    <w:qFormat/>
    <w:uiPriority w:val="0"/>
    <w:rPr>
      <w:color w:val="FFFFFF"/>
      <w:shd w:val="clear" w:color="auto" w:fill="666677"/>
    </w:rPr>
  </w:style>
  <w:style w:type="character" w:customStyle="1" w:styleId="38">
    <w:name w:val="cdropleft"/>
    <w:basedOn w:val="13"/>
    <w:qFormat/>
    <w:uiPriority w:val="0"/>
  </w:style>
  <w:style w:type="character" w:customStyle="1" w:styleId="39">
    <w:name w:val="active6"/>
    <w:basedOn w:val="13"/>
    <w:qFormat/>
    <w:uiPriority w:val="0"/>
    <w:rPr>
      <w:color w:val="00FF00"/>
      <w:shd w:val="clear" w:color="auto" w:fill="111111"/>
    </w:rPr>
  </w:style>
  <w:style w:type="character" w:customStyle="1" w:styleId="40">
    <w:name w:val="button"/>
    <w:basedOn w:val="13"/>
    <w:qFormat/>
    <w:uiPriority w:val="0"/>
  </w:style>
  <w:style w:type="character" w:customStyle="1" w:styleId="41">
    <w:name w:val="tmpztreemove_arrow"/>
    <w:basedOn w:val="13"/>
    <w:qFormat/>
    <w:uiPriority w:val="0"/>
  </w:style>
  <w:style w:type="character" w:customStyle="1" w:styleId="42">
    <w:name w:val="browse_class&gt;label"/>
    <w:basedOn w:val="13"/>
    <w:qFormat/>
    <w:uiPriority w:val="0"/>
    <w:rPr>
      <w:shd w:val="clear" w:color="auto" w:fill="F8F8F8"/>
    </w:rPr>
  </w:style>
  <w:style w:type="character" w:customStyle="1" w:styleId="43">
    <w:name w:val="pagechatarealistclose_box"/>
    <w:basedOn w:val="13"/>
    <w:qFormat/>
    <w:uiPriority w:val="0"/>
  </w:style>
  <w:style w:type="character" w:customStyle="1" w:styleId="44">
    <w:name w:val="pagechatarealistclose_box1"/>
    <w:basedOn w:val="13"/>
    <w:qFormat/>
    <w:uiPriority w:val="0"/>
  </w:style>
  <w:style w:type="character" w:customStyle="1" w:styleId="45">
    <w:name w:val="ico1652"/>
    <w:basedOn w:val="13"/>
    <w:qFormat/>
    <w:uiPriority w:val="0"/>
  </w:style>
  <w:style w:type="character" w:customStyle="1" w:styleId="46">
    <w:name w:val="ico1653"/>
    <w:basedOn w:val="13"/>
    <w:qFormat/>
    <w:uiPriority w:val="0"/>
  </w:style>
  <w:style w:type="character" w:customStyle="1" w:styleId="47">
    <w:name w:val="token-input-delete-token"/>
    <w:basedOn w:val="13"/>
    <w:qFormat/>
    <w:uiPriority w:val="0"/>
    <w:rPr>
      <w:color w:val="FFFFFF"/>
    </w:rPr>
  </w:style>
  <w:style w:type="character" w:customStyle="1" w:styleId="48">
    <w:name w:val="edit_class"/>
    <w:basedOn w:val="13"/>
    <w:qFormat/>
    <w:uiPriority w:val="0"/>
  </w:style>
  <w:style w:type="character" w:customStyle="1" w:styleId="49">
    <w:name w:val="ico1654"/>
    <w:basedOn w:val="13"/>
    <w:qFormat/>
    <w:uiPriority w:val="0"/>
  </w:style>
  <w:style w:type="character" w:customStyle="1" w:styleId="50">
    <w:name w:val="button2"/>
    <w:basedOn w:val="13"/>
    <w:qFormat/>
    <w:uiPriority w:val="0"/>
  </w:style>
  <w:style w:type="character" w:customStyle="1" w:styleId="51">
    <w:name w:val="active10"/>
    <w:basedOn w:val="13"/>
    <w:qFormat/>
    <w:uiPriority w:val="0"/>
    <w:rPr>
      <w:color w:val="00FF00"/>
      <w:shd w:val="clear" w:color="auto" w:fill="111111"/>
    </w:rPr>
  </w:style>
  <w:style w:type="character" w:customStyle="1" w:styleId="52">
    <w:name w:val="xdrichtextbox2"/>
    <w:basedOn w:val="13"/>
    <w:qFormat/>
    <w:uiPriority w:val="0"/>
  </w:style>
  <w:style w:type="character" w:customStyle="1" w:styleId="53">
    <w:name w:val="active"/>
    <w:basedOn w:val="13"/>
    <w:qFormat/>
    <w:uiPriority w:val="0"/>
    <w:rPr>
      <w:color w:val="00FF00"/>
      <w:shd w:val="clear" w:color="auto" w:fill="111111"/>
    </w:rPr>
  </w:style>
  <w:style w:type="character" w:customStyle="1" w:styleId="54">
    <w:name w:val="ico1655"/>
    <w:basedOn w:val="13"/>
    <w:qFormat/>
    <w:uiPriority w:val="0"/>
  </w:style>
  <w:style w:type="character" w:customStyle="1" w:styleId="55">
    <w:name w:val="hilite"/>
    <w:basedOn w:val="13"/>
    <w:qFormat/>
    <w:uiPriority w:val="0"/>
    <w:rPr>
      <w:color w:val="FFFFFF"/>
      <w:shd w:val="clear" w:color="auto" w:fill="666677"/>
    </w:rPr>
  </w:style>
  <w:style w:type="character" w:customStyle="1" w:styleId="56">
    <w:name w:val="active12"/>
    <w:basedOn w:val="13"/>
    <w:qFormat/>
    <w:uiPriority w:val="0"/>
    <w:rPr>
      <w:color w:val="00FF00"/>
      <w:shd w:val="clear" w:color="auto" w:fill="111111"/>
    </w:rPr>
  </w:style>
  <w:style w:type="character" w:customStyle="1" w:styleId="57">
    <w:name w:val="hilite5"/>
    <w:basedOn w:val="13"/>
    <w:qFormat/>
    <w:uiPriority w:val="0"/>
    <w:rPr>
      <w:color w:val="FFFFFF"/>
      <w:shd w:val="clear" w:color="auto" w:fill="666677"/>
    </w:rPr>
  </w:style>
  <w:style w:type="character" w:customStyle="1" w:styleId="58">
    <w:name w:val="hilite4"/>
    <w:basedOn w:val="13"/>
    <w:qFormat/>
    <w:uiPriority w:val="0"/>
    <w:rPr>
      <w:color w:val="FFFFFF"/>
      <w:shd w:val="clear" w:color="auto" w:fill="666677"/>
    </w:rPr>
  </w:style>
  <w:style w:type="character" w:customStyle="1" w:styleId="59">
    <w:name w:val="ico16"/>
    <w:basedOn w:val="13"/>
    <w:qFormat/>
    <w:uiPriority w:val="0"/>
  </w:style>
  <w:style w:type="character" w:customStyle="1" w:styleId="60">
    <w:name w:val="ico161"/>
    <w:basedOn w:val="13"/>
    <w:qFormat/>
    <w:uiPriority w:val="0"/>
  </w:style>
  <w:style w:type="character" w:customStyle="1" w:styleId="61">
    <w:name w:val="active8"/>
    <w:basedOn w:val="13"/>
    <w:qFormat/>
    <w:uiPriority w:val="0"/>
    <w:rPr>
      <w:color w:val="00FF00"/>
      <w:shd w:val="clear" w:color="auto" w:fill="111111"/>
    </w:rPr>
  </w:style>
  <w:style w:type="character" w:customStyle="1" w:styleId="62">
    <w:name w:val="font11"/>
    <w:basedOn w:val="13"/>
    <w:qFormat/>
    <w:uiPriority w:val="0"/>
    <w:rPr>
      <w:rFonts w:hint="eastAsia" w:ascii="宋体" w:hAnsi="宋体" w:eastAsia="宋体" w:cs="宋体"/>
      <w:color w:val="000000"/>
      <w:sz w:val="22"/>
      <w:szCs w:val="22"/>
      <w:u w:val="none"/>
    </w:rPr>
  </w:style>
  <w:style w:type="paragraph" w:customStyle="1" w:styleId="63">
    <w:name w:val="_Style 6"/>
    <w:basedOn w:val="1"/>
    <w:qFormat/>
    <w:uiPriority w:val="34"/>
    <w:pPr>
      <w:ind w:firstLine="420" w:firstLineChars="200"/>
    </w:pPr>
    <w:rPr>
      <w:szCs w:val="21"/>
    </w:rPr>
  </w:style>
  <w:style w:type="paragraph" w:styleId="64">
    <w:name w:val="List Paragraph"/>
    <w:basedOn w:val="1"/>
    <w:qFormat/>
    <w:uiPriority w:val="34"/>
    <w:pPr>
      <w:ind w:firstLine="420" w:firstLineChars="200"/>
    </w:pPr>
    <w:rPr>
      <w:rFonts w:ascii="Calibri" w:hAnsi="Calibri"/>
      <w:szCs w:val="22"/>
    </w:rPr>
  </w:style>
  <w:style w:type="paragraph" w:customStyle="1" w:styleId="65">
    <w:name w:val="普通(网站)1"/>
    <w:basedOn w:val="1"/>
    <w:qFormat/>
    <w:uiPriority w:val="0"/>
    <w:pPr>
      <w:widowControl/>
      <w:spacing w:before="100" w:beforeAutospacing="1" w:after="100" w:afterAutospacing="1"/>
      <w:jc w:val="left"/>
    </w:pPr>
    <w:rPr>
      <w:rFonts w:ascii="宋体" w:hAnsi="宋体"/>
      <w:sz w:val="24"/>
    </w:rPr>
  </w:style>
  <w:style w:type="paragraph" w:customStyle="1" w:styleId="66">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67">
    <w:name w:val="Fließtext"/>
    <w:basedOn w:val="1"/>
    <w:qFormat/>
    <w:uiPriority w:val="0"/>
    <w:pPr>
      <w:overflowPunct w:val="0"/>
      <w:autoSpaceDE w:val="0"/>
      <w:autoSpaceDN w:val="0"/>
      <w:adjustRightInd w:val="0"/>
      <w:textAlignment w:val="baseline"/>
    </w:pPr>
    <w:rPr>
      <w:kern w:val="28"/>
      <w:szCs w:val="20"/>
    </w:rPr>
  </w:style>
  <w:style w:type="paragraph" w:customStyle="1" w:styleId="68">
    <w:name w:val="样式 小四 段前: 5 磅 段后: 5 磅 首行缩进:  2 字符"/>
    <w:basedOn w:val="1"/>
    <w:qFormat/>
    <w:uiPriority w:val="0"/>
    <w:pPr>
      <w:spacing w:before="100" w:after="156" w:afterLines="50" w:line="360" w:lineRule="auto"/>
    </w:pPr>
    <w:rPr>
      <w:rFonts w:ascii="宋体" w:hAnsi="宋体"/>
      <w:kern w:val="0"/>
      <w:sz w:val="24"/>
      <w:szCs w:val="21"/>
    </w:rPr>
  </w:style>
  <w:style w:type="paragraph" w:customStyle="1" w:styleId="6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13578</Words>
  <Characters>14631</Characters>
  <Lines>106</Lines>
  <Paragraphs>30</Paragraphs>
  <TotalTime>8</TotalTime>
  <ScaleCrop>false</ScaleCrop>
  <LinksUpToDate>false</LinksUpToDate>
  <CharactersWithSpaces>15825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2020-03-12T00:34:00Z</dcterms:created>
  <dc:creator>SysAdmin</dc:creator>
  <cp:lastModifiedBy>SysAdmin</cp:lastModifiedBy>
  <cp:lastPrinted>2019-08-05T03:35:00Z</cp:lastPrinted>
  <dcterms:modified xsi:type="dcterms:W3CDTF">2020-05-13T07:46:05Z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