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790475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790475">
        <w:rPr>
          <w:rFonts w:hint="eastAsia"/>
          <w:b/>
          <w:sz w:val="32"/>
          <w:szCs w:val="32"/>
        </w:rPr>
        <w:t>热电厂</w:t>
      </w:r>
      <w:r w:rsidR="00B27361" w:rsidRPr="00B27361">
        <w:rPr>
          <w:rFonts w:asciiTheme="majorEastAsia" w:eastAsiaTheme="majorEastAsia" w:hAnsiTheme="majorEastAsia" w:hint="eastAsia"/>
          <w:b/>
          <w:sz w:val="32"/>
          <w:szCs w:val="32"/>
        </w:rPr>
        <w:t>3#机400V开关柜改造</w:t>
      </w:r>
      <w:r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  <w:r w:rsidR="00490CF7">
        <w:rPr>
          <w:rFonts w:ascii="宋体" w:hAnsi="宋体" w:cs="宋体" w:hint="eastAsia"/>
          <w:b/>
          <w:bCs/>
          <w:sz w:val="36"/>
        </w:rPr>
        <w:t>（第二次）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9C4A44" w:rsidRPr="009C4A44">
        <w:rPr>
          <w:rFonts w:asciiTheme="minorEastAsia" w:hAnsiTheme="minorEastAsia" w:hint="eastAsia"/>
          <w:sz w:val="24"/>
          <w:szCs w:val="24"/>
          <w:u w:val="single"/>
        </w:rPr>
        <w:t>FHC-PTCG20190929001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D2B7D" w:rsidRPr="005D2B7D">
        <w:rPr>
          <w:rFonts w:hint="eastAsia"/>
          <w:sz w:val="24"/>
          <w:szCs w:val="24"/>
          <w:u w:val="single"/>
        </w:rPr>
        <w:t>热电厂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  <w:u w:val="single"/>
        </w:rPr>
        <w:t>3#机400V开关柜改造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9C4A44" w:rsidRPr="009C4A44">
        <w:rPr>
          <w:rFonts w:hint="eastAsia"/>
          <w:sz w:val="24"/>
          <w:szCs w:val="24"/>
        </w:rPr>
        <w:t>热电厂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</w:rPr>
        <w:t>3#机400V开关柜改造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9C4A44">
        <w:rPr>
          <w:rFonts w:asciiTheme="majorEastAsia" w:eastAsiaTheme="majorEastAsia" w:hAnsiTheme="majorEastAsia" w:cs="宋体" w:hint="eastAsia"/>
          <w:bCs/>
          <w:sz w:val="24"/>
          <w:szCs w:val="24"/>
        </w:rPr>
        <w:t>6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9C4A44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490CF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490CF7">
        <w:rPr>
          <w:rFonts w:ascii="宋体" w:hAnsi="宋体" w:cs="宋体" w:hint="eastAsia"/>
          <w:color w:val="333333"/>
          <w:shd w:val="clear" w:color="auto" w:fill="FFFFFF"/>
        </w:rPr>
        <w:t>06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490CF7">
        <w:rPr>
          <w:rFonts w:ascii="宋体" w:hAnsi="宋体" w:cs="宋体" w:hint="eastAsia"/>
          <w:color w:val="333333"/>
          <w:shd w:val="clear" w:color="auto" w:fill="FFFFFF"/>
        </w:rPr>
        <w:t>15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4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490CF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490CF7">
        <w:rPr>
          <w:rFonts w:ascii="宋体" w:hAnsi="宋体" w:cs="宋体" w:hint="eastAsia"/>
          <w:color w:val="333333"/>
          <w:shd w:val="clear" w:color="auto" w:fill="FFFFFF"/>
        </w:rPr>
        <w:t>05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442" w:rsidRDefault="00A40442" w:rsidP="00281331">
      <w:r>
        <w:separator/>
      </w:r>
    </w:p>
  </w:endnote>
  <w:endnote w:type="continuationSeparator" w:id="0">
    <w:p w:rsidR="00A40442" w:rsidRDefault="00A40442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442" w:rsidRDefault="00A40442" w:rsidP="00281331">
      <w:r>
        <w:separator/>
      </w:r>
    </w:p>
  </w:footnote>
  <w:footnote w:type="continuationSeparator" w:id="0">
    <w:p w:rsidR="00A40442" w:rsidRDefault="00A40442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4002EB"/>
    <w:rsid w:val="0042468D"/>
    <w:rsid w:val="00443B8E"/>
    <w:rsid w:val="00490CF7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C7823"/>
    <w:rsid w:val="005D2B7D"/>
    <w:rsid w:val="005E11B4"/>
    <w:rsid w:val="006950BE"/>
    <w:rsid w:val="006C1419"/>
    <w:rsid w:val="006E61F5"/>
    <w:rsid w:val="00722EF3"/>
    <w:rsid w:val="00743FEA"/>
    <w:rsid w:val="00785A63"/>
    <w:rsid w:val="00790475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C4A44"/>
    <w:rsid w:val="009D4410"/>
    <w:rsid w:val="00A40442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2019-11-05T03:10:00Z</dcterms:created>
  <dcterms:modified xsi:type="dcterms:W3CDTF">2019-11-05T03:10:00Z</dcterms:modified>
</cp:coreProperties>
</file>