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p>
    <w:p>
      <w:pPr>
        <w:jc w:val="center"/>
        <w:rPr>
          <w:rFonts w:hint="eastAsia" w:cs="黑体" w:asciiTheme="minorEastAsia" w:hAnsiTheme="minorEastAsia" w:eastAsiaTheme="minorEastAsia"/>
          <w:b/>
          <w:bCs/>
          <w:sz w:val="52"/>
          <w:szCs w:val="52"/>
        </w:rPr>
      </w:pPr>
      <w:r>
        <w:rPr>
          <w:rFonts w:hint="eastAsia" w:cs="黑体" w:asciiTheme="minorEastAsia" w:hAnsiTheme="minorEastAsia" w:eastAsiaTheme="minorEastAsia"/>
          <w:b/>
          <w:bCs/>
          <w:sz w:val="52"/>
          <w:szCs w:val="52"/>
          <w:lang w:val="en-US" w:eastAsia="zh-CN"/>
        </w:rPr>
        <w:t>福建省石油化学工业设计院会议室线路改造及音频扩声仪器采购项目</w:t>
      </w:r>
    </w:p>
    <w:p>
      <w:pP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r>
        <w:rPr>
          <w:rFonts w:hint="eastAsia" w:cs="黑体" w:asciiTheme="minorEastAsia" w:hAnsiTheme="minorEastAsia" w:eastAsiaTheme="minorEastAsia"/>
          <w:b/>
          <w:bCs/>
          <w:sz w:val="52"/>
          <w:szCs w:val="52"/>
        </w:rPr>
        <w:t>自主比选文件</w:t>
      </w:r>
    </w:p>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p>
    <w:p>
      <w:pPr>
        <w:jc w:val="center"/>
        <w:rPr>
          <w:rFonts w:hint="eastAsia" w:asciiTheme="minorEastAsia" w:hAnsiTheme="minorEastAsia" w:cstheme="minorEastAsia"/>
          <w:b w:val="0"/>
          <w:i w:val="0"/>
          <w:caps w:val="0"/>
          <w:color w:val="1A1A1A"/>
          <w:spacing w:val="0"/>
          <w:sz w:val="32"/>
          <w:szCs w:val="32"/>
          <w:lang w:eastAsia="zh-CN"/>
        </w:rPr>
      </w:pPr>
      <w:r>
        <w:rPr>
          <w:rFonts w:hint="eastAsia" w:cs="黑体" w:asciiTheme="minorEastAsia" w:hAnsiTheme="minorEastAsia" w:eastAsiaTheme="minorEastAsia"/>
          <w:b/>
          <w:bCs/>
          <w:sz w:val="32"/>
          <w:szCs w:val="32"/>
        </w:rPr>
        <w:t>比选人：</w:t>
      </w:r>
      <w:r>
        <w:rPr>
          <w:rFonts w:hint="eastAsia" w:cs="黑体" w:asciiTheme="minorEastAsia" w:hAnsiTheme="minorEastAsia" w:eastAsiaTheme="minorEastAsia"/>
          <w:b/>
          <w:bCs/>
          <w:sz w:val="32"/>
          <w:szCs w:val="32"/>
          <w:lang w:eastAsia="zh-CN"/>
        </w:rPr>
        <w:t>福建省石油化学工业设计院</w:t>
      </w:r>
    </w:p>
    <w:p>
      <w:pPr>
        <w:jc w:val="center"/>
        <w:rPr>
          <w:rFonts w:cs="黑体" w:asciiTheme="minorEastAsia" w:hAnsiTheme="minorEastAsia" w:eastAsiaTheme="minorEastAsia"/>
          <w:b/>
          <w:bCs/>
          <w:sz w:val="32"/>
          <w:szCs w:val="32"/>
        </w:rPr>
      </w:pPr>
      <w:r>
        <w:rPr>
          <w:rFonts w:hint="eastAsia" w:cs="黑体" w:asciiTheme="minorEastAsia" w:hAnsiTheme="minorEastAsia" w:eastAsiaTheme="minorEastAsia"/>
          <w:b/>
          <w:bCs/>
          <w:sz w:val="32"/>
          <w:szCs w:val="32"/>
        </w:rPr>
        <w:t>二〇一</w:t>
      </w:r>
      <w:r>
        <w:rPr>
          <w:rFonts w:hint="eastAsia" w:cs="黑体" w:asciiTheme="minorEastAsia" w:hAnsiTheme="minorEastAsia" w:eastAsiaTheme="minorEastAsia"/>
          <w:b/>
          <w:bCs/>
          <w:sz w:val="32"/>
          <w:szCs w:val="32"/>
          <w:lang w:eastAsia="zh-CN"/>
        </w:rPr>
        <w:t>九</w:t>
      </w:r>
      <w:r>
        <w:rPr>
          <w:rFonts w:hint="eastAsia" w:cs="黑体" w:asciiTheme="minorEastAsia" w:hAnsiTheme="minorEastAsia" w:eastAsiaTheme="minorEastAsia"/>
          <w:b/>
          <w:bCs/>
          <w:sz w:val="32"/>
          <w:szCs w:val="32"/>
        </w:rPr>
        <w:t>年</w:t>
      </w:r>
      <w:r>
        <w:rPr>
          <w:rFonts w:hint="eastAsia" w:cs="黑体" w:asciiTheme="minorEastAsia" w:hAnsiTheme="minorEastAsia" w:eastAsiaTheme="minorEastAsia"/>
          <w:b/>
          <w:bCs/>
          <w:sz w:val="32"/>
          <w:szCs w:val="32"/>
          <w:lang w:val="en-US" w:eastAsia="zh-CN"/>
        </w:rPr>
        <w:t>十</w:t>
      </w:r>
      <w:r>
        <w:rPr>
          <w:rFonts w:hint="eastAsia" w:cs="黑体" w:asciiTheme="minorEastAsia" w:hAnsiTheme="minorEastAsia" w:eastAsiaTheme="minorEastAsia"/>
          <w:b/>
          <w:bCs/>
          <w:sz w:val="32"/>
          <w:szCs w:val="32"/>
        </w:rPr>
        <w:t>月</w:t>
      </w: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jc w:val="center"/>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目         录</w:t>
      </w:r>
    </w:p>
    <w:p>
      <w:pPr>
        <w:jc w:val="left"/>
        <w:rPr>
          <w:rFonts w:cs="宋体" w:asciiTheme="minorEastAsia" w:hAnsiTheme="minorEastAsia" w:eastAsiaTheme="minorEastAsia"/>
          <w:sz w:val="32"/>
          <w:szCs w:val="32"/>
        </w:rPr>
      </w:pPr>
    </w:p>
    <w:p>
      <w:pPr>
        <w:ind w:firstLine="720" w:firstLineChars="225"/>
        <w:jc w:val="left"/>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第一章   比选公告</w:t>
      </w:r>
    </w:p>
    <w:p>
      <w:pPr>
        <w:ind w:firstLine="720" w:firstLineChars="225"/>
        <w:jc w:val="left"/>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第二章   比选须知</w:t>
      </w:r>
    </w:p>
    <w:p>
      <w:pPr>
        <w:ind w:firstLine="720" w:firstLineChars="225"/>
        <w:jc w:val="left"/>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第三章   参选文件的编制</w:t>
      </w:r>
    </w:p>
    <w:p>
      <w:pPr>
        <w:ind w:firstLine="720" w:firstLineChars="225"/>
        <w:jc w:val="left"/>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第四章   评比规则</w:t>
      </w:r>
    </w:p>
    <w:p>
      <w:pPr>
        <w:ind w:firstLine="720" w:firstLineChars="225"/>
        <w:jc w:val="left"/>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第五章   参选人选定</w:t>
      </w:r>
    </w:p>
    <w:p>
      <w:pPr>
        <w:ind w:firstLine="720" w:firstLineChars="225"/>
        <w:jc w:val="left"/>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第六章   合同授予</w:t>
      </w:r>
    </w:p>
    <w:p>
      <w:pPr>
        <w:tabs>
          <w:tab w:val="left" w:pos="1260"/>
          <w:tab w:val="left" w:pos="1800"/>
        </w:tabs>
        <w:ind w:firstLine="720" w:firstLineChars="225"/>
        <w:jc w:val="left"/>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第七章   中选后相关履约要求</w:t>
      </w:r>
    </w:p>
    <w:p>
      <w:pPr>
        <w:tabs>
          <w:tab w:val="left" w:pos="1260"/>
          <w:tab w:val="left" w:pos="1800"/>
        </w:tabs>
        <w:ind w:firstLine="640" w:firstLineChars="200"/>
        <w:jc w:val="left"/>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 xml:space="preserve"> 第八章   其它</w:t>
      </w:r>
    </w:p>
    <w:p>
      <w:pPr>
        <w:ind w:firstLine="720" w:firstLineChars="225"/>
        <w:jc w:val="left"/>
        <w:rPr>
          <w:rFonts w:cs="宋体" w:asciiTheme="minorEastAsia" w:hAnsiTheme="minorEastAsia" w:eastAsiaTheme="minorEastAsia"/>
          <w:sz w:val="32"/>
          <w:szCs w:val="32"/>
        </w:rPr>
      </w:pPr>
    </w:p>
    <w:p>
      <w:pPr>
        <w:ind w:firstLine="640" w:firstLineChars="200"/>
        <w:jc w:val="left"/>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附件一：参选报价表</w:t>
      </w:r>
    </w:p>
    <w:p>
      <w:pPr>
        <w:ind w:firstLine="640" w:firstLineChars="200"/>
        <w:jc w:val="left"/>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附件二：法人授权书</w:t>
      </w:r>
    </w:p>
    <w:p>
      <w:pPr>
        <w:snapToGrid w:val="0"/>
        <w:spacing w:line="360" w:lineRule="auto"/>
        <w:ind w:firstLine="640" w:firstLineChars="200"/>
        <w:jc w:val="left"/>
        <w:rPr>
          <w:rFonts w:hint="eastAsia" w:cs="宋体" w:asciiTheme="minorEastAsia" w:hAnsiTheme="minorEastAsia" w:eastAsiaTheme="minorEastAsia"/>
          <w:sz w:val="32"/>
          <w:szCs w:val="32"/>
        </w:rPr>
      </w:pPr>
      <w:r>
        <w:rPr>
          <w:rFonts w:hint="eastAsia" w:cs="宋体" w:asciiTheme="minorEastAsia" w:hAnsiTheme="minorEastAsia" w:eastAsiaTheme="minorEastAsia"/>
          <w:sz w:val="32"/>
          <w:szCs w:val="32"/>
        </w:rPr>
        <w:t>附件三：承诺函</w:t>
      </w:r>
    </w:p>
    <w:p>
      <w:pPr>
        <w:snapToGrid w:val="0"/>
        <w:spacing w:line="360" w:lineRule="auto"/>
        <w:ind w:firstLine="640" w:firstLineChars="200"/>
        <w:jc w:val="left"/>
        <w:rPr>
          <w:rFonts w:hint="eastAsia" w:cs="宋体" w:asciiTheme="minorEastAsia" w:hAnsiTheme="minorEastAsia" w:eastAsiaTheme="minorEastAsia"/>
          <w:sz w:val="32"/>
          <w:szCs w:val="32"/>
          <w:lang w:val="en-US" w:eastAsia="zh-CN"/>
        </w:rPr>
      </w:pPr>
      <w:r>
        <w:rPr>
          <w:rFonts w:hint="eastAsia" w:cs="宋体" w:asciiTheme="minorEastAsia" w:hAnsiTheme="minorEastAsia" w:eastAsiaTheme="minorEastAsia"/>
          <w:sz w:val="32"/>
          <w:szCs w:val="32"/>
          <w:lang w:val="en-US" w:eastAsia="zh-CN"/>
        </w:rPr>
        <w:t>附件四：合同范本</w:t>
      </w: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第一章   比选公告</w:t>
      </w:r>
    </w:p>
    <w:p>
      <w:pPr>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1、介绍</w:t>
      </w:r>
    </w:p>
    <w:p>
      <w:pPr>
        <w:keepNext w:val="0"/>
        <w:keepLines w:val="0"/>
        <w:pageBreakBefore w:val="0"/>
        <w:widowControl w:val="0"/>
        <w:kinsoku/>
        <w:wordWrap/>
        <w:overflowPunct/>
        <w:topLinePunct w:val="0"/>
        <w:autoSpaceDE/>
        <w:autoSpaceDN/>
        <w:bidi w:val="0"/>
        <w:adjustRightInd w:val="0"/>
        <w:spacing w:line="600" w:lineRule="exact"/>
        <w:ind w:firstLine="600" w:firstLineChars="200"/>
        <w:jc w:val="left"/>
        <w:textAlignment w:val="baseline"/>
        <w:outlineLvl w:val="9"/>
        <w:rPr>
          <w:rFonts w:cs="宋体" w:asciiTheme="minorEastAsia" w:hAnsiTheme="minorEastAsia" w:eastAsiaTheme="minorEastAsia"/>
          <w:sz w:val="28"/>
          <w:szCs w:val="28"/>
        </w:rPr>
      </w:pPr>
      <w:r>
        <w:rPr>
          <w:rFonts w:hint="eastAsia"/>
          <w:sz w:val="30"/>
          <w:szCs w:val="30"/>
          <w:lang w:val="en-US" w:eastAsia="zh-CN"/>
        </w:rPr>
        <w:t>福建省石油化学工业设计院会议室线路改造及音频扩声仪器采购项目</w:t>
      </w:r>
      <w:r>
        <w:rPr>
          <w:rFonts w:hint="eastAsia" w:cs="宋体" w:asciiTheme="minorEastAsia" w:hAnsiTheme="minorEastAsia" w:eastAsiaTheme="minorEastAsia"/>
          <w:sz w:val="28"/>
          <w:szCs w:val="28"/>
        </w:rPr>
        <w:t>进行立项比选。现对该项目进行公开比选，选定参选人。</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baseline"/>
        <w:outlineLvl w:val="9"/>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福建省石油化学工业设计院</w:t>
      </w:r>
      <w:r>
        <w:rPr>
          <w:rFonts w:hint="eastAsia" w:asciiTheme="minorEastAsia" w:hAnsiTheme="minorEastAsia" w:eastAsiaTheme="minorEastAsia"/>
          <w:sz w:val="28"/>
          <w:szCs w:val="28"/>
        </w:rPr>
        <w:t>承诺本次自主比选不存在任何障碍，保证本公告的内容不存在任何重大遗漏、虚假陈述或严重误导，并对其内容的真实性、完整性和有效性负责。</w:t>
      </w:r>
    </w:p>
    <w:p>
      <w:pPr>
        <w:keepNext w:val="0"/>
        <w:keepLines w:val="0"/>
        <w:pageBreakBefore w:val="0"/>
        <w:widowControl w:val="0"/>
        <w:kinsoku/>
        <w:wordWrap/>
        <w:overflowPunct/>
        <w:topLinePunct w:val="0"/>
        <w:autoSpaceDE/>
        <w:autoSpaceDN/>
        <w:bidi w:val="0"/>
        <w:adjustRightInd w:val="0"/>
        <w:spacing w:line="600" w:lineRule="exact"/>
        <w:ind w:firstLine="560" w:firstLineChars="200"/>
        <w:jc w:val="left"/>
        <w:textAlignment w:val="baseline"/>
        <w:outlineLvl w:val="9"/>
        <w:rPr>
          <w:rFonts w:cs="宋体" w:asciiTheme="minorEastAsia" w:hAnsiTheme="minorEastAsia" w:eastAsiaTheme="minorEastAsia"/>
          <w:sz w:val="28"/>
          <w:szCs w:val="28"/>
        </w:rPr>
      </w:pPr>
      <w:r>
        <w:rPr>
          <w:rFonts w:hint="eastAsia" w:asciiTheme="minorEastAsia" w:hAnsiTheme="minorEastAsia" w:eastAsiaTheme="minorEastAsia"/>
          <w:sz w:val="28"/>
          <w:szCs w:val="28"/>
        </w:rPr>
        <w:t>为了“公开、公平、公正、透明”，引导参选人进行正确参选，特制定本规定文件</w:t>
      </w:r>
    </w:p>
    <w:p>
      <w:pPr>
        <w:keepNext w:val="0"/>
        <w:keepLines w:val="0"/>
        <w:pageBreakBefore w:val="0"/>
        <w:widowControl w:val="0"/>
        <w:tabs>
          <w:tab w:val="left" w:pos="2595"/>
          <w:tab w:val="center" w:pos="4593"/>
        </w:tabs>
        <w:kinsoku/>
        <w:wordWrap/>
        <w:overflowPunct/>
        <w:topLinePunct w:val="0"/>
        <w:autoSpaceDE/>
        <w:autoSpaceDN/>
        <w:bidi w:val="0"/>
        <w:adjustRightInd w:val="0"/>
        <w:spacing w:line="600" w:lineRule="exact"/>
        <w:jc w:val="center"/>
        <w:textAlignment w:val="baseline"/>
        <w:outlineLvl w:val="9"/>
        <w:rPr>
          <w:rFonts w:asciiTheme="minorEastAsia" w:hAnsiTheme="minorEastAsia" w:eastAsiaTheme="minorEastAsia"/>
          <w:b/>
          <w:sz w:val="28"/>
          <w:szCs w:val="28"/>
        </w:rPr>
      </w:pPr>
    </w:p>
    <w:p>
      <w:pPr>
        <w:keepNext w:val="0"/>
        <w:keepLines w:val="0"/>
        <w:pageBreakBefore w:val="0"/>
        <w:widowControl w:val="0"/>
        <w:tabs>
          <w:tab w:val="left" w:pos="2595"/>
          <w:tab w:val="center" w:pos="4593"/>
        </w:tabs>
        <w:kinsoku/>
        <w:wordWrap/>
        <w:overflowPunct/>
        <w:topLinePunct w:val="0"/>
        <w:autoSpaceDE/>
        <w:autoSpaceDN/>
        <w:bidi w:val="0"/>
        <w:adjustRightInd w:val="0"/>
        <w:spacing w:line="600" w:lineRule="exact"/>
        <w:jc w:val="center"/>
        <w:textAlignment w:val="baseline"/>
        <w:outlineLvl w:val="9"/>
        <w:rPr>
          <w:rFonts w:asciiTheme="minorEastAsia" w:hAnsiTheme="minorEastAsia" w:eastAsiaTheme="minorEastAsia"/>
          <w:b/>
          <w:sz w:val="28"/>
          <w:szCs w:val="28"/>
        </w:rPr>
      </w:pPr>
    </w:p>
    <w:p>
      <w:pPr>
        <w:keepNext w:val="0"/>
        <w:keepLines w:val="0"/>
        <w:pageBreakBefore w:val="0"/>
        <w:widowControl w:val="0"/>
        <w:tabs>
          <w:tab w:val="left" w:pos="2595"/>
          <w:tab w:val="center" w:pos="4593"/>
        </w:tabs>
        <w:kinsoku/>
        <w:wordWrap/>
        <w:overflowPunct/>
        <w:topLinePunct w:val="0"/>
        <w:autoSpaceDE/>
        <w:autoSpaceDN/>
        <w:bidi w:val="0"/>
        <w:adjustRightInd w:val="0"/>
        <w:spacing w:line="600" w:lineRule="exact"/>
        <w:jc w:val="center"/>
        <w:textAlignment w:val="baseline"/>
        <w:outlineLvl w:val="9"/>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both"/>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ind w:firstLine="723" w:firstLineChars="225"/>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第二章   比选须知</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1、比选范围</w:t>
      </w:r>
    </w:p>
    <w:p>
      <w:pPr>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1.1</w:t>
      </w:r>
      <w:r>
        <w:rPr>
          <w:rFonts w:hint="eastAsia" w:asciiTheme="minorEastAsia" w:hAnsiTheme="minorEastAsia" w:eastAsiaTheme="minorEastAsia"/>
          <w:sz w:val="28"/>
          <w:szCs w:val="28"/>
          <w:lang w:eastAsia="zh-CN"/>
        </w:rPr>
        <w:t>福建省石油化学工业设计院</w:t>
      </w:r>
      <w:r>
        <w:rPr>
          <w:rFonts w:hint="eastAsia" w:asciiTheme="minorEastAsia" w:hAnsiTheme="minorEastAsia" w:eastAsiaTheme="minorEastAsia"/>
          <w:sz w:val="28"/>
          <w:szCs w:val="28"/>
          <w:lang w:val="en-US" w:eastAsia="zh-CN"/>
        </w:rPr>
        <w:t>会议室线路改造及音频扩声仪器采购项目</w:t>
      </w:r>
      <w:r>
        <w:rPr>
          <w:rFonts w:hint="eastAsia" w:asciiTheme="minorEastAsia" w:hAnsiTheme="minorEastAsia" w:eastAsiaTheme="minorEastAsia"/>
          <w:sz w:val="28"/>
          <w:szCs w:val="28"/>
        </w:rPr>
        <w:t>：</w:t>
      </w:r>
    </w:p>
    <w:tbl>
      <w:tblPr>
        <w:tblStyle w:val="15"/>
        <w:tblW w:w="88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64"/>
        <w:gridCol w:w="770"/>
        <w:gridCol w:w="935"/>
        <w:gridCol w:w="1731"/>
        <w:gridCol w:w="2153"/>
        <w:gridCol w:w="586"/>
        <w:gridCol w:w="525"/>
        <w:gridCol w:w="555"/>
        <w:gridCol w:w="570"/>
        <w:gridCol w:w="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464" w:type="dxa"/>
            <w:tcBorders>
              <w:left w:val="single" w:color="000000" w:sz="12"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等线" w:hAnsi="等线" w:eastAsia="等线" w:cs="等线"/>
                <w:b/>
                <w:i w:val="0"/>
                <w:color w:val="000000"/>
                <w:sz w:val="20"/>
                <w:szCs w:val="20"/>
                <w:u w:val="none"/>
              </w:rPr>
            </w:pPr>
            <w:r>
              <w:rPr>
                <w:rFonts w:hint="eastAsia" w:ascii="等线" w:hAnsi="等线" w:eastAsia="等线" w:cs="等线"/>
                <w:b/>
                <w:i w:val="0"/>
                <w:color w:val="000000"/>
                <w:kern w:val="0"/>
                <w:sz w:val="20"/>
                <w:szCs w:val="20"/>
                <w:u w:val="none"/>
                <w:lang w:val="en-US" w:eastAsia="zh-CN" w:bidi="ar"/>
              </w:rPr>
              <w:t>序号</w:t>
            </w:r>
          </w:p>
        </w:tc>
        <w:tc>
          <w:tcPr>
            <w:tcW w:w="770"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等线" w:hAnsi="等线" w:eastAsia="等线" w:cs="等线"/>
                <w:b/>
                <w:i w:val="0"/>
                <w:color w:val="000000"/>
                <w:sz w:val="20"/>
                <w:szCs w:val="20"/>
                <w:u w:val="none"/>
              </w:rPr>
            </w:pPr>
            <w:r>
              <w:rPr>
                <w:rFonts w:hint="eastAsia" w:ascii="等线" w:hAnsi="等线" w:eastAsia="等线" w:cs="等线"/>
                <w:b/>
                <w:i w:val="0"/>
                <w:color w:val="000000"/>
                <w:kern w:val="0"/>
                <w:sz w:val="20"/>
                <w:szCs w:val="20"/>
                <w:u w:val="none"/>
                <w:lang w:val="en-US" w:eastAsia="zh-CN" w:bidi="ar"/>
              </w:rPr>
              <w:t>名称</w:t>
            </w:r>
          </w:p>
        </w:tc>
        <w:tc>
          <w:tcPr>
            <w:tcW w:w="935"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等线" w:hAnsi="等线" w:eastAsia="等线" w:cs="等线"/>
                <w:b/>
                <w:i w:val="0"/>
                <w:color w:val="000000"/>
                <w:sz w:val="20"/>
                <w:szCs w:val="20"/>
                <w:u w:val="none"/>
              </w:rPr>
            </w:pPr>
            <w:r>
              <w:rPr>
                <w:rFonts w:hint="eastAsia" w:ascii="等线" w:hAnsi="等线" w:eastAsia="等线" w:cs="等线"/>
                <w:b/>
                <w:i w:val="0"/>
                <w:color w:val="000000"/>
                <w:kern w:val="0"/>
                <w:sz w:val="20"/>
                <w:szCs w:val="20"/>
                <w:u w:val="none"/>
                <w:lang w:val="en-US" w:eastAsia="zh-CN" w:bidi="ar"/>
              </w:rPr>
              <w:t>品牌</w:t>
            </w:r>
          </w:p>
        </w:tc>
        <w:tc>
          <w:tcPr>
            <w:tcW w:w="1731"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等线" w:hAnsi="等线" w:eastAsia="等线" w:cs="等线"/>
                <w:b/>
                <w:i w:val="0"/>
                <w:color w:val="000000"/>
                <w:sz w:val="20"/>
                <w:szCs w:val="20"/>
                <w:u w:val="none"/>
              </w:rPr>
            </w:pPr>
            <w:r>
              <w:rPr>
                <w:rFonts w:hint="eastAsia" w:ascii="等线" w:hAnsi="等线" w:eastAsia="等线" w:cs="等线"/>
                <w:b/>
                <w:i w:val="0"/>
                <w:color w:val="000000"/>
                <w:kern w:val="0"/>
                <w:sz w:val="20"/>
                <w:szCs w:val="20"/>
                <w:u w:val="none"/>
                <w:lang w:val="en-US" w:eastAsia="zh-CN" w:bidi="ar"/>
              </w:rPr>
              <w:t>型号</w:t>
            </w:r>
          </w:p>
        </w:tc>
        <w:tc>
          <w:tcPr>
            <w:tcW w:w="2153"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等线" w:hAnsi="等线" w:eastAsia="等线" w:cs="等线"/>
                <w:b/>
                <w:i w:val="0"/>
                <w:color w:val="000000"/>
                <w:sz w:val="20"/>
                <w:szCs w:val="20"/>
                <w:u w:val="none"/>
              </w:rPr>
            </w:pPr>
            <w:r>
              <w:rPr>
                <w:rFonts w:hint="eastAsia" w:ascii="等线" w:hAnsi="等线" w:eastAsia="等线" w:cs="等线"/>
                <w:b/>
                <w:i w:val="0"/>
                <w:color w:val="000000"/>
                <w:kern w:val="0"/>
                <w:sz w:val="20"/>
                <w:szCs w:val="20"/>
                <w:u w:val="none"/>
                <w:lang w:val="en-US" w:eastAsia="zh-CN" w:bidi="ar"/>
              </w:rPr>
              <w:t>参数</w:t>
            </w:r>
          </w:p>
        </w:tc>
        <w:tc>
          <w:tcPr>
            <w:tcW w:w="586"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等线" w:hAnsi="等线" w:eastAsia="等线" w:cs="等线"/>
                <w:b/>
                <w:i w:val="0"/>
                <w:color w:val="000000"/>
                <w:sz w:val="20"/>
                <w:szCs w:val="20"/>
                <w:u w:val="none"/>
              </w:rPr>
            </w:pPr>
            <w:r>
              <w:rPr>
                <w:rFonts w:hint="eastAsia" w:ascii="等线" w:hAnsi="等线" w:eastAsia="等线" w:cs="等线"/>
                <w:b/>
                <w:i w:val="0"/>
                <w:color w:val="000000"/>
                <w:kern w:val="0"/>
                <w:sz w:val="20"/>
                <w:szCs w:val="20"/>
                <w:u w:val="none"/>
                <w:lang w:val="en-US" w:eastAsia="zh-CN" w:bidi="ar"/>
              </w:rPr>
              <w:t>单位</w:t>
            </w:r>
          </w:p>
        </w:tc>
        <w:tc>
          <w:tcPr>
            <w:tcW w:w="525"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等线" w:hAnsi="等线" w:eastAsia="等线" w:cs="等线"/>
                <w:b/>
                <w:i w:val="0"/>
                <w:color w:val="000000"/>
                <w:sz w:val="20"/>
                <w:szCs w:val="20"/>
                <w:u w:val="none"/>
              </w:rPr>
            </w:pPr>
            <w:r>
              <w:rPr>
                <w:rFonts w:hint="eastAsia" w:ascii="等线" w:hAnsi="等线" w:eastAsia="等线" w:cs="等线"/>
                <w:b/>
                <w:i w:val="0"/>
                <w:color w:val="000000"/>
                <w:kern w:val="0"/>
                <w:sz w:val="20"/>
                <w:szCs w:val="20"/>
                <w:u w:val="none"/>
                <w:lang w:val="en-US" w:eastAsia="zh-CN" w:bidi="ar"/>
              </w:rPr>
              <w:t>数量</w:t>
            </w:r>
          </w:p>
        </w:tc>
        <w:tc>
          <w:tcPr>
            <w:tcW w:w="555"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等线" w:hAnsi="等线" w:eastAsia="等线" w:cs="等线"/>
                <w:b/>
                <w:i w:val="0"/>
                <w:color w:val="000000"/>
                <w:sz w:val="20"/>
                <w:szCs w:val="20"/>
                <w:u w:val="none"/>
              </w:rPr>
            </w:pPr>
            <w:r>
              <w:rPr>
                <w:rFonts w:hint="eastAsia" w:ascii="等线" w:hAnsi="等线" w:eastAsia="等线" w:cs="等线"/>
                <w:b/>
                <w:i w:val="0"/>
                <w:color w:val="000000"/>
                <w:kern w:val="0"/>
                <w:sz w:val="20"/>
                <w:szCs w:val="20"/>
                <w:u w:val="none"/>
                <w:lang w:val="en-US" w:eastAsia="zh-CN" w:bidi="ar"/>
              </w:rPr>
              <w:t>单价</w:t>
            </w:r>
          </w:p>
        </w:tc>
        <w:tc>
          <w:tcPr>
            <w:tcW w:w="570"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等线" w:hAnsi="等线" w:eastAsia="等线" w:cs="等线"/>
                <w:b/>
                <w:i w:val="0"/>
                <w:color w:val="000000"/>
                <w:sz w:val="20"/>
                <w:szCs w:val="20"/>
                <w:u w:val="none"/>
              </w:rPr>
            </w:pPr>
            <w:r>
              <w:rPr>
                <w:rFonts w:hint="eastAsia" w:ascii="等线" w:hAnsi="等线" w:eastAsia="等线" w:cs="等线"/>
                <w:b/>
                <w:i w:val="0"/>
                <w:color w:val="000000"/>
                <w:kern w:val="0"/>
                <w:sz w:val="20"/>
                <w:szCs w:val="20"/>
                <w:u w:val="none"/>
                <w:lang w:val="en-US" w:eastAsia="zh-CN" w:bidi="ar"/>
              </w:rPr>
              <w:t>合计</w:t>
            </w:r>
          </w:p>
        </w:tc>
        <w:tc>
          <w:tcPr>
            <w:tcW w:w="600" w:type="dxa"/>
            <w:tcBorders>
              <w:left w:val="single" w:color="000000" w:sz="4" w:space="0"/>
              <w:bottom w:val="single" w:color="000000" w:sz="4" w:space="0"/>
              <w:right w:val="single" w:color="000000" w:sz="12" w:space="0"/>
            </w:tcBorders>
            <w:shd w:val="clear" w:color="auto" w:fill="FFFFFF" w:themeFill="background1"/>
            <w:vAlign w:val="center"/>
          </w:tcPr>
          <w:p>
            <w:pPr>
              <w:keepNext w:val="0"/>
              <w:keepLines w:val="0"/>
              <w:widowControl/>
              <w:suppressLineNumbers w:val="0"/>
              <w:jc w:val="center"/>
              <w:textAlignment w:val="center"/>
              <w:rPr>
                <w:rFonts w:hint="eastAsia" w:ascii="等线" w:hAnsi="等线" w:eastAsia="等线" w:cs="等线"/>
                <w:b/>
                <w:i w:val="0"/>
                <w:color w:val="000000"/>
                <w:sz w:val="20"/>
                <w:szCs w:val="20"/>
                <w:u w:val="none"/>
              </w:rPr>
            </w:pPr>
            <w:r>
              <w:rPr>
                <w:rFonts w:hint="eastAsia" w:ascii="等线" w:hAnsi="等线" w:eastAsia="等线" w:cs="等线"/>
                <w:b/>
                <w:i w:val="0"/>
                <w:color w:val="000000"/>
                <w:kern w:val="0"/>
                <w:sz w:val="20"/>
                <w:szCs w:val="20"/>
                <w:u w:val="none"/>
                <w:lang w:val="en-US" w:eastAsia="zh-CN" w:bidi="ar"/>
              </w:rPr>
              <w:t>图片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trPr>
        <w:tc>
          <w:tcPr>
            <w:tcW w:w="8889" w:type="dxa"/>
            <w:gridSpan w:val="10"/>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一、音频扩声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61"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调音台</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BEHRINGER</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QX2442USB</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*10路话筒输入，加载精品XENYX话放，2路立体声输入</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*8路录音棚级压缩器，人声乐器一键压缩，快速便捷</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*超高品质英国KLARK TEKNIK效果处理器与LED显示屏，双参数可调，可存储用户参数。</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*支持百灵达高品质无线传输系统，支持两路2.4G无线话筒（话筒另购）</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*内置立体声USB音频接口，可以直接连接您的计算机进行录音。</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*经典英式4段均衡，高中低音可调</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*每段输入4个辅助发送</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*4编组配有独立的输出口增加了路由的灵活性</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*60毫米流线型推杆和密封式控制旋钮</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96"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12路数字自动混音器</w:t>
            </w:r>
            <w:r>
              <w:rPr>
                <w:rFonts w:hint="eastAsia" w:ascii="等线" w:hAnsi="等线" w:eastAsia="等线" w:cs="等线"/>
                <w:i w:val="0"/>
                <w:color w:val="000000"/>
                <w:kern w:val="0"/>
                <w:sz w:val="20"/>
                <w:szCs w:val="20"/>
                <w:u w:val="none"/>
                <w:lang w:val="en-US" w:eastAsia="zh-CN" w:bidi="ar"/>
              </w:rPr>
              <w:br w:type="textWrapping"/>
            </w:r>
            <w:r>
              <w:rPr>
                <w:rFonts w:hint="eastAsia" w:ascii="等线" w:hAnsi="等线" w:eastAsia="等线" w:cs="等线"/>
                <w:i w:val="0"/>
                <w:color w:val="000000"/>
                <w:kern w:val="0"/>
                <w:sz w:val="20"/>
                <w:szCs w:val="20"/>
                <w:u w:val="none"/>
                <w:lang w:val="en-US" w:eastAsia="zh-CN" w:bidi="ar"/>
              </w:rPr>
              <w:t>（可选配）</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Relacart</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DAM-124</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12路输入，4路输出的智能数字混音器；</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具备12路独立的输入工作通道，每通道可以单独调整输入增益；</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标准1U全金属机箱，铝面板；前面板清晰明亮的LED灯，时刻显示输入输出的音频动态讯息；带刻度指示的编码器控制四路MASTER输出音量，并且分别显示输出音量刻度、静音指示、失真指示、输出LINE/MIC指示；</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 xml:space="preserve">采用40 bit 浮点运算， 工作主频 &gt; 450MHz 的高速DSP芯片，搭配Relacart核心技术团队自主研发的数字音频自动混音算法，始终保持着展现出最真实声音的风格； </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支持8路麦克风输入通道附48V幻象供电；4路线性输入；独立的静音控制和幻象电源控制；每通道可设置优先选择、压限调节；4频段参量均衡器，频点、Q值、幅度可调；棚形滤波器设置，可消除频段中不必要的噪音；多阶分频斜率可调的高、低通滤波器，能展现出更好的瞬态响应；</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4路MASTER模拟输出；每路输出配备31段图示均衡，可根据需要任意调节，LINE/MIC输出电平切换；限幅器、啸叫抑制设置，极有效限制输出电平，给予保护下一级音频设备或扬声器；可按实际应用场合音箱之间的距离（0.5M～100M）选择相对应的声音输出延时参数；每路输出静音、音量独立控制；</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12路输入，4路输出的摸拟数字混合矩阵控制，适合更广泛的应用工程；</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 xml:space="preserve">自动声阀调节，能根据现场的环境噪声利用DSP数字算法的强大运算系统自动计算出最合适的阀门电平，适用于任何恶劣的会议环境；最后保持时间可调，保证您的会议更顺畅； </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支持静音及其他控制参数分组设置；会议场景模式保存，给类似的会场提供极便捷的调试方式；</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通过采用TCP/IP连接方式实现电脑上位机软件控制和I Pad软件远程控制设置各项参数值；</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RS-232接口，开放协议，实现多项控制；</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支持在线固件更新；</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支持NOM 多路话筒自动衰减值调整，最大打开话筒数量支持1~8；</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“Closed Threshold”可调的通道关闭衰减电平</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16"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数字音频处理器</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MOTIVITY</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DX26</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DX26为2路平衡输入、6路平衡输出；24bit sigma-delta转换器，96KHz采样率，32位DSP芯片处理；输入处理部分包含增益、静音、联调、高切、低切、参量均衡、相位、延时等处理单元。输出处理部分包含增益、静音、联调、分频、参量均衡、压限、相位、延时等处理单元。所有输入输出之间可以自由进行音频信号路由矩阵分配，并且输入输出通道名称可以更改。所有输入输出的参数可以联动调节，并且任意通道之间的参数可以自由复制，这两项设计可显著的提高操作人员的调试效率。延时模块具有高达682ms的延时能力，步距为0.021ms。</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面板输入输出均配有5段高精度电平指示LED，按键设计有背景指引LED，即使是在灯光昏暗的环境下，也不会影响您的正常操作。内置完善的信号发生器，系统检测更加方便。具有密码保护功能，您设置好的参数，可以安全的保存在处理器中，有效防止他人误操作。拥有32个用户预设，1个出厂模式，用户预设名称均可修改。整机参数和单个预设文件均可以单独存储和调用。可以通过USB或RS232端口控制。支持中英文PC操作软件，操作更加方便快捷。</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4</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鹅颈话筒</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SHURE</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CVG12RS-B/C-CHN</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12"  鵝頸式電容話筒，分離式前置，啞音開關 ，光環， 心形，黑色</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21"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16路电源时序器</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ABL</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1016</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最大输入电流：80A;单路最大输出电流：30A</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工作电压：220V/50-60Hz</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每一路功率：可达3000W</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输出电源插座：万用插座，符合欧美标准。1按钮控制2路，上下两路为1组，16个受控万用插，每一路开关间隔时间：1秒，每一路带开关指示灯，前端配置一个保险开关按钮电压显示表：数字显示电压表联机支持：是，（可支持8台设备同时联机使用）联机端口：卡隆插口</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受控功能：有，（每通道可以单独受控）其中每路按钮控制上下2通道，16个受控万用插</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网络交换机</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锐捷</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NB-2008d</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8端口</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7</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6类跳线</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北讯</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2"/>
                <w:szCs w:val="22"/>
                <w:u w:val="none"/>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7719" w:type="dxa"/>
            <w:gridSpan w:val="8"/>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音频扩声小计：</w:t>
            </w:r>
          </w:p>
        </w:tc>
        <w:tc>
          <w:tcPr>
            <w:tcW w:w="117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8889" w:type="dxa"/>
            <w:gridSpan w:val="10"/>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二、配件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话筒线</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秋叶原</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Q-149</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等线" w:hAnsi="等线" w:eastAsia="等线" w:cs="等线"/>
                <w:i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120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音频线</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国产</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2"/>
                <w:szCs w:val="22"/>
                <w:u w:val="none"/>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15米</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滑盖地插（弱电）</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 xml:space="preserve">STARET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AK500</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接口类型： 内嵌RJ45×2、卡农×2</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设备尺寸：W258×D132×H140.5mm</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开孔尺寸：W249×D119mm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4</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滑盖地插（强电）</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 xml:space="preserve">STARET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2"/>
                <w:szCs w:val="22"/>
                <w:u w:val="none"/>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等线" w:hAnsi="等线" w:eastAsia="等线" w:cs="等线"/>
                <w:i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墙面音频视频插座</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国产</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2"/>
                <w:szCs w:val="22"/>
                <w:u w:val="none"/>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HDMI*1+AV*1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HDMI高清切换器</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国产</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2"/>
                <w:szCs w:val="22"/>
                <w:u w:val="none"/>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4进1出</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7</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HDMI高清放大器</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国产</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2"/>
                <w:szCs w:val="22"/>
                <w:u w:val="none"/>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1进4出</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8</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六类网络信息点</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TCL</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2"/>
                <w:szCs w:val="22"/>
                <w:u w:val="none"/>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含线含模块</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6</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 xml:space="preserve"> HDMI线</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秋叶原</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Q-603H</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1.8米</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9</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 xml:space="preserve"> HDMI线</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秋叶原</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Q-604H</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3米</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11</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 xml:space="preserve"> HDMI线</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秋叶原</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Q-610H</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10米</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12</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投影机控制线</w:t>
            </w:r>
          </w:p>
        </w:tc>
        <w:tc>
          <w:tcPr>
            <w:tcW w:w="93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 xml:space="preserve"> 国产</w:t>
            </w:r>
          </w:p>
        </w:tc>
        <w:tc>
          <w:tcPr>
            <w:tcW w:w="1731"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2"/>
                <w:szCs w:val="22"/>
                <w:u w:val="none"/>
              </w:rPr>
            </w:pPr>
          </w:p>
        </w:tc>
        <w:tc>
          <w:tcPr>
            <w:tcW w:w="2153"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25米</w:t>
            </w:r>
          </w:p>
        </w:tc>
        <w:tc>
          <w:tcPr>
            <w:tcW w:w="58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条</w:t>
            </w:r>
          </w:p>
        </w:tc>
        <w:tc>
          <w:tcPr>
            <w:tcW w:w="52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w:t>
            </w:r>
          </w:p>
        </w:tc>
        <w:tc>
          <w:tcPr>
            <w:tcW w:w="555"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13</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视频摄像机落地三角支架</w:t>
            </w:r>
          </w:p>
        </w:tc>
        <w:tc>
          <w:tcPr>
            <w:tcW w:w="93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 xml:space="preserve"> 国产</w:t>
            </w:r>
          </w:p>
        </w:tc>
        <w:tc>
          <w:tcPr>
            <w:tcW w:w="1731"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2"/>
                <w:szCs w:val="22"/>
                <w:u w:val="none"/>
              </w:rPr>
            </w:pPr>
          </w:p>
        </w:tc>
        <w:tc>
          <w:tcPr>
            <w:tcW w:w="2153" w:type="dxa"/>
            <w:tcBorders>
              <w:top w:val="single" w:color="000000" w:sz="4" w:space="0"/>
              <w:bottom w:val="single" w:color="000000" w:sz="4" w:space="0"/>
              <w:right w:val="single" w:color="000000" w:sz="4" w:space="0"/>
            </w:tcBorders>
            <w:shd w:val="clear" w:color="auto" w:fill="auto"/>
            <w:vAlign w:val="center"/>
          </w:tcPr>
          <w:p>
            <w:pPr>
              <w:jc w:val="left"/>
              <w:rPr>
                <w:rFonts w:hint="eastAsia" w:ascii="等线" w:hAnsi="等线" w:eastAsia="等线" w:cs="等线"/>
                <w:i w:val="0"/>
                <w:color w:val="000000"/>
                <w:sz w:val="22"/>
                <w:szCs w:val="22"/>
                <w:u w:val="none"/>
              </w:rPr>
            </w:pPr>
          </w:p>
        </w:tc>
        <w:tc>
          <w:tcPr>
            <w:tcW w:w="58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个</w:t>
            </w:r>
          </w:p>
        </w:tc>
        <w:tc>
          <w:tcPr>
            <w:tcW w:w="52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w:t>
            </w:r>
          </w:p>
        </w:tc>
        <w:tc>
          <w:tcPr>
            <w:tcW w:w="555"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14</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HDMI高传输器</w:t>
            </w:r>
          </w:p>
        </w:tc>
        <w:tc>
          <w:tcPr>
            <w:tcW w:w="93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MOTIVITY</w:t>
            </w:r>
          </w:p>
        </w:tc>
        <w:tc>
          <w:tcPr>
            <w:tcW w:w="1731"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2"/>
                <w:szCs w:val="22"/>
                <w:u w:val="none"/>
              </w:rPr>
            </w:pPr>
          </w:p>
        </w:tc>
        <w:tc>
          <w:tcPr>
            <w:tcW w:w="2153"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70米高清网传</w:t>
            </w:r>
          </w:p>
        </w:tc>
        <w:tc>
          <w:tcPr>
            <w:tcW w:w="58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对</w:t>
            </w:r>
          </w:p>
        </w:tc>
        <w:tc>
          <w:tcPr>
            <w:tcW w:w="52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w:t>
            </w:r>
          </w:p>
        </w:tc>
        <w:tc>
          <w:tcPr>
            <w:tcW w:w="555"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网络机柜</w:t>
            </w:r>
          </w:p>
        </w:tc>
        <w:tc>
          <w:tcPr>
            <w:tcW w:w="93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鸿图</w:t>
            </w:r>
          </w:p>
        </w:tc>
        <w:tc>
          <w:tcPr>
            <w:tcW w:w="173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24U</w:t>
            </w:r>
          </w:p>
        </w:tc>
        <w:tc>
          <w:tcPr>
            <w:tcW w:w="2153"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600*600*1200</w:t>
            </w:r>
          </w:p>
        </w:tc>
        <w:tc>
          <w:tcPr>
            <w:tcW w:w="58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台</w:t>
            </w:r>
          </w:p>
        </w:tc>
        <w:tc>
          <w:tcPr>
            <w:tcW w:w="52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w:t>
            </w:r>
          </w:p>
        </w:tc>
        <w:tc>
          <w:tcPr>
            <w:tcW w:w="555"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16</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机柜层板</w:t>
            </w:r>
          </w:p>
        </w:tc>
        <w:tc>
          <w:tcPr>
            <w:tcW w:w="93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鸿图</w:t>
            </w:r>
          </w:p>
        </w:tc>
        <w:tc>
          <w:tcPr>
            <w:tcW w:w="173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1U</w:t>
            </w:r>
          </w:p>
        </w:tc>
        <w:tc>
          <w:tcPr>
            <w:tcW w:w="2153" w:type="dxa"/>
            <w:tcBorders>
              <w:top w:val="single" w:color="000000" w:sz="4" w:space="0"/>
              <w:bottom w:val="single" w:color="000000" w:sz="4" w:space="0"/>
              <w:right w:val="single" w:color="000000" w:sz="4" w:space="0"/>
            </w:tcBorders>
            <w:shd w:val="clear" w:color="auto" w:fill="auto"/>
            <w:vAlign w:val="center"/>
          </w:tcPr>
          <w:p>
            <w:pPr>
              <w:jc w:val="left"/>
              <w:rPr>
                <w:rFonts w:hint="eastAsia" w:ascii="等线" w:hAnsi="等线" w:eastAsia="等线" w:cs="等线"/>
                <w:i w:val="0"/>
                <w:color w:val="000000"/>
                <w:sz w:val="22"/>
                <w:szCs w:val="22"/>
                <w:u w:val="none"/>
              </w:rPr>
            </w:pPr>
          </w:p>
        </w:tc>
        <w:tc>
          <w:tcPr>
            <w:tcW w:w="58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块</w:t>
            </w:r>
          </w:p>
        </w:tc>
        <w:tc>
          <w:tcPr>
            <w:tcW w:w="52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2</w:t>
            </w:r>
          </w:p>
        </w:tc>
        <w:tc>
          <w:tcPr>
            <w:tcW w:w="555"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17</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理线架</w:t>
            </w:r>
          </w:p>
        </w:tc>
        <w:tc>
          <w:tcPr>
            <w:tcW w:w="93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北讯</w:t>
            </w:r>
          </w:p>
        </w:tc>
        <w:tc>
          <w:tcPr>
            <w:tcW w:w="173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1U</w:t>
            </w:r>
          </w:p>
        </w:tc>
        <w:tc>
          <w:tcPr>
            <w:tcW w:w="2153" w:type="dxa"/>
            <w:tcBorders>
              <w:top w:val="single" w:color="000000" w:sz="4" w:space="0"/>
              <w:bottom w:val="single" w:color="000000" w:sz="4" w:space="0"/>
              <w:right w:val="single" w:color="000000" w:sz="4" w:space="0"/>
            </w:tcBorders>
            <w:shd w:val="clear" w:color="auto" w:fill="auto"/>
            <w:vAlign w:val="center"/>
          </w:tcPr>
          <w:p>
            <w:pPr>
              <w:jc w:val="left"/>
              <w:rPr>
                <w:rFonts w:hint="eastAsia" w:ascii="等线" w:hAnsi="等线" w:eastAsia="等线" w:cs="等线"/>
                <w:i w:val="0"/>
                <w:color w:val="000000"/>
                <w:sz w:val="22"/>
                <w:szCs w:val="22"/>
                <w:u w:val="none"/>
              </w:rPr>
            </w:pPr>
          </w:p>
        </w:tc>
        <w:tc>
          <w:tcPr>
            <w:tcW w:w="58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个</w:t>
            </w:r>
          </w:p>
        </w:tc>
        <w:tc>
          <w:tcPr>
            <w:tcW w:w="52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w:t>
            </w:r>
          </w:p>
        </w:tc>
        <w:tc>
          <w:tcPr>
            <w:tcW w:w="555"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18</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标签纸</w:t>
            </w:r>
          </w:p>
        </w:tc>
        <w:tc>
          <w:tcPr>
            <w:tcW w:w="93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兄弟</w:t>
            </w:r>
          </w:p>
        </w:tc>
        <w:tc>
          <w:tcPr>
            <w:tcW w:w="173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9MM</w:t>
            </w:r>
          </w:p>
        </w:tc>
        <w:tc>
          <w:tcPr>
            <w:tcW w:w="2153" w:type="dxa"/>
            <w:tcBorders>
              <w:top w:val="single" w:color="000000" w:sz="4" w:space="0"/>
              <w:bottom w:val="single" w:color="000000" w:sz="4" w:space="0"/>
              <w:right w:val="single" w:color="000000" w:sz="4" w:space="0"/>
            </w:tcBorders>
            <w:shd w:val="clear" w:color="auto" w:fill="auto"/>
            <w:vAlign w:val="center"/>
          </w:tcPr>
          <w:p>
            <w:pPr>
              <w:jc w:val="left"/>
              <w:rPr>
                <w:rFonts w:hint="eastAsia" w:ascii="等线" w:hAnsi="等线" w:eastAsia="等线" w:cs="等线"/>
                <w:i w:val="0"/>
                <w:color w:val="000000"/>
                <w:sz w:val="22"/>
                <w:szCs w:val="22"/>
                <w:u w:val="none"/>
              </w:rPr>
            </w:pPr>
          </w:p>
        </w:tc>
        <w:tc>
          <w:tcPr>
            <w:tcW w:w="58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卷</w:t>
            </w:r>
          </w:p>
        </w:tc>
        <w:tc>
          <w:tcPr>
            <w:tcW w:w="52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3</w:t>
            </w:r>
          </w:p>
        </w:tc>
        <w:tc>
          <w:tcPr>
            <w:tcW w:w="555"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19</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辅材</w:t>
            </w:r>
          </w:p>
        </w:tc>
        <w:tc>
          <w:tcPr>
            <w:tcW w:w="935"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1731"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2"/>
                <w:szCs w:val="22"/>
                <w:u w:val="none"/>
              </w:rPr>
            </w:pPr>
          </w:p>
        </w:tc>
        <w:tc>
          <w:tcPr>
            <w:tcW w:w="2153"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PVC网槽、PVC线管、明盒、开孔钻头等</w:t>
            </w:r>
          </w:p>
        </w:tc>
        <w:tc>
          <w:tcPr>
            <w:tcW w:w="58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批</w:t>
            </w:r>
          </w:p>
        </w:tc>
        <w:tc>
          <w:tcPr>
            <w:tcW w:w="52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w:t>
            </w:r>
          </w:p>
        </w:tc>
        <w:tc>
          <w:tcPr>
            <w:tcW w:w="555"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线材配件&amp;安装</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定制</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2"/>
                <w:szCs w:val="22"/>
                <w:u w:val="none"/>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各类接头、安装配件、PVC线槽等</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21</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小计</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等线" w:hAnsi="等线" w:eastAsia="等线" w:cs="等线"/>
                <w:i w:val="0"/>
                <w:color w:val="000000"/>
                <w:sz w:val="22"/>
                <w:szCs w:val="22"/>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等线" w:hAnsi="等线" w:eastAsia="等线" w:cs="等线"/>
                <w:i w:val="0"/>
                <w:color w:val="000000"/>
                <w:sz w:val="22"/>
                <w:szCs w:val="22"/>
                <w:u w:val="none"/>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等线" w:hAnsi="等线" w:eastAsia="等线" w:cs="等线"/>
                <w:i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等线" w:hAnsi="等线" w:eastAsia="等线" w:cs="等线"/>
                <w:i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等线" w:hAnsi="等线" w:eastAsia="等线" w:cs="等线"/>
                <w:i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等线" w:hAnsi="等线" w:eastAsia="等线" w:cs="等线"/>
                <w:i w:val="0"/>
                <w:color w:val="000000"/>
                <w:sz w:val="22"/>
                <w:szCs w:val="22"/>
                <w:u w:val="none"/>
              </w:rPr>
            </w:pPr>
          </w:p>
        </w:tc>
        <w:tc>
          <w:tcPr>
            <w:tcW w:w="117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719" w:type="dxa"/>
            <w:gridSpan w:val="8"/>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合计：</w:t>
            </w:r>
          </w:p>
        </w:tc>
        <w:tc>
          <w:tcPr>
            <w:tcW w:w="1170" w:type="dxa"/>
            <w:gridSpan w:val="2"/>
            <w:tcBorders>
              <w:top w:val="single" w:color="000000" w:sz="4" w:space="0"/>
              <w:left w:val="single" w:color="000000" w:sz="4"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0.0 </w:t>
            </w:r>
          </w:p>
        </w:tc>
      </w:tr>
    </w:tbl>
    <w:p>
      <w:pPr>
        <w:jc w:val="left"/>
        <w:rPr>
          <w:rFonts w:hint="eastAsia" w:asciiTheme="minorEastAsia" w:hAnsiTheme="minorEastAsia" w:eastAsiaTheme="minorEastAsia"/>
          <w:sz w:val="28"/>
          <w:szCs w:val="28"/>
        </w:rPr>
      </w:pPr>
    </w:p>
    <w:p>
      <w:pPr>
        <w:jc w:val="left"/>
        <w:rPr>
          <w:rFonts w:asciiTheme="minorEastAsia" w:hAnsiTheme="minorEastAsia" w:eastAsiaTheme="minorEastAsia"/>
          <w:bCs/>
          <w:sz w:val="28"/>
          <w:szCs w:val="28"/>
        </w:rPr>
      </w:pPr>
      <w:r>
        <w:rPr>
          <w:rFonts w:hint="eastAsia" w:asciiTheme="minorEastAsia" w:hAnsiTheme="minorEastAsia" w:eastAsiaTheme="minorEastAsia"/>
          <w:b/>
          <w:sz w:val="28"/>
          <w:szCs w:val="28"/>
        </w:rPr>
        <w:t xml:space="preserve">     </w:t>
      </w:r>
      <w:r>
        <w:rPr>
          <w:rFonts w:hint="eastAsia" w:asciiTheme="minorEastAsia" w:hAnsiTheme="minorEastAsia" w:eastAsiaTheme="minorEastAsia"/>
          <w:bCs/>
          <w:sz w:val="28"/>
          <w:szCs w:val="28"/>
        </w:rPr>
        <w:t>1.2参选人需按比选人</w:t>
      </w:r>
      <w:r>
        <w:rPr>
          <w:rFonts w:hint="eastAsia" w:asciiTheme="minorEastAsia" w:hAnsiTheme="minorEastAsia" w:eastAsiaTheme="minorEastAsia"/>
          <w:bCs/>
          <w:sz w:val="28"/>
          <w:szCs w:val="28"/>
          <w:lang w:eastAsia="zh-CN"/>
        </w:rPr>
        <w:t>的</w:t>
      </w:r>
      <w:r>
        <w:rPr>
          <w:rFonts w:hint="eastAsia" w:asciiTheme="minorEastAsia" w:hAnsiTheme="minorEastAsia" w:eastAsiaTheme="minorEastAsia"/>
          <w:bCs/>
          <w:sz w:val="28"/>
          <w:szCs w:val="28"/>
          <w:lang w:val="en-US" w:eastAsia="zh-CN"/>
        </w:rPr>
        <w:t>要求进行报价</w:t>
      </w:r>
      <w:r>
        <w:rPr>
          <w:rFonts w:hint="eastAsia" w:asciiTheme="minorEastAsia" w:hAnsiTheme="minorEastAsia" w:eastAsiaTheme="minorEastAsia"/>
          <w:bCs/>
          <w:sz w:val="28"/>
          <w:szCs w:val="28"/>
        </w:rPr>
        <w:t>。</w:t>
      </w:r>
    </w:p>
    <w:p>
      <w:pPr>
        <w:jc w:val="left"/>
        <w:rPr>
          <w:rFonts w:ascii="宋体" w:hAnsi="宋体" w:cs="宋体"/>
          <w:bCs/>
          <w:sz w:val="28"/>
          <w:szCs w:val="28"/>
        </w:rPr>
      </w:pPr>
      <w:r>
        <w:rPr>
          <w:rFonts w:hint="eastAsia" w:ascii="宋体" w:hAnsi="宋体" w:cs="宋体"/>
          <w:bCs/>
          <w:sz w:val="28"/>
          <w:szCs w:val="28"/>
        </w:rPr>
        <w:t xml:space="preserve">     1.3以上数量为保底采购数量，具体以后续合同签订为准。</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2、定义和解释</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2.1 “比选人”系</w:t>
      </w:r>
      <w:r>
        <w:rPr>
          <w:rFonts w:hint="eastAsia" w:asciiTheme="minorEastAsia" w:hAnsiTheme="minorEastAsia" w:eastAsiaTheme="minorEastAsia"/>
          <w:sz w:val="28"/>
          <w:szCs w:val="28"/>
          <w:lang w:eastAsia="zh-CN"/>
        </w:rPr>
        <w:t>福建省石油化学工业设计院</w:t>
      </w:r>
      <w:r>
        <w:rPr>
          <w:rFonts w:hint="eastAsia" w:asciiTheme="minorEastAsia" w:hAnsiTheme="minorEastAsia" w:eastAsiaTheme="minorEastAsia"/>
          <w:sz w:val="28"/>
          <w:szCs w:val="28"/>
        </w:rPr>
        <w:t>，即业主方。</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2.2 “参选人”系指向比选人报名并接受邀请，领取比选文件，且已经提交或准备提交本次参选文件的法人。</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2.3 “参选人代表”系指全权代表参选人参加本次投标活动并签署参选文件的人，如果参选人代表不是参选人的法定代表人，须持有《法定代表人授权书》。</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2.4 “服务”系指比选文件规定参选人为完成全部合同义务须承担的所有工作，包括：供货、送货、售后服务等其他类似的义务。</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3、比选文件组成</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3.1 比选文件包括下列内容：    </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比选公告、比选须知、合同书格式、参选文件格式、供货需和评标细则。</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3.2 比选文件除3.1内容外，比选人在比选期间发出的书面文件和其他修改或补充函件，均是比选文件不可分割的组成部分。</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4、比选文件的澄清</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参选人获取比选文件后，应仔细检查比选文件的所有内容，如有残缺等问题应在获得招标文件3日内向比选人提出。参选人若对招标文件有任何疑问，应在参选截止时间前5日，按参选须知载明的地址以书面形式（包括信函、电报或传真，下同）通知到比选人。比选人将视情况确定采用适当方式予以澄清或以书面形式予以答复，澄清文件作为比选文件的组成部分，具有约束作用。</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5、比选文件的修改、补充</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5.1 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5.2 为使参选人在准备投标文件时有合理的时间考虑比选文件的修改，比选人可酌情推迟参选截止时间和开评时间，并以书面形式通知参选人。</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5.3 比选文件的修改书将构成比选文件的一部分，对参选人具有约束作用。</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6、参选人资格</w:t>
      </w:r>
    </w:p>
    <w:p>
      <w:pPr>
        <w:pStyle w:val="17"/>
        <w:ind w:firstLine="560"/>
        <w:rPr>
          <w:rFonts w:hint="eastAsia" w:cs="宋体" w:asciiTheme="minorEastAsia" w:hAnsiTheme="minorEastAsia" w:eastAsiaTheme="minorEastAsia"/>
          <w:sz w:val="28"/>
          <w:szCs w:val="28"/>
          <w:lang w:eastAsia="zh-CN"/>
        </w:rPr>
      </w:pPr>
      <w:r>
        <w:rPr>
          <w:rFonts w:hint="eastAsia" w:asciiTheme="minorEastAsia" w:hAnsiTheme="minorEastAsia" w:eastAsiaTheme="minorEastAsia"/>
          <w:sz w:val="28"/>
          <w:szCs w:val="28"/>
        </w:rPr>
        <w:t>6.1</w:t>
      </w:r>
      <w:r>
        <w:rPr>
          <w:rFonts w:hint="eastAsia" w:cs="宋体" w:asciiTheme="minorEastAsia" w:hAnsiTheme="minorEastAsia" w:eastAsiaTheme="minorEastAsia"/>
          <w:sz w:val="28"/>
          <w:szCs w:val="28"/>
        </w:rPr>
        <w:t>本次要求参选人具有独立法人资格且具备供货产品的相关销售资质</w:t>
      </w:r>
      <w:r>
        <w:rPr>
          <w:rFonts w:hint="eastAsia" w:cs="宋体" w:asciiTheme="minorEastAsia" w:hAnsiTheme="minorEastAsia" w:eastAsiaTheme="minorEastAsia"/>
          <w:sz w:val="28"/>
          <w:szCs w:val="28"/>
          <w:lang w:eastAsia="zh-CN"/>
        </w:rPr>
        <w:t>，</w:t>
      </w:r>
      <w:r>
        <w:rPr>
          <w:rFonts w:hint="eastAsia" w:cs="宋体" w:asciiTheme="minorEastAsia" w:hAnsiTheme="minorEastAsia" w:eastAsiaTheme="minorEastAsia"/>
          <w:sz w:val="28"/>
          <w:szCs w:val="28"/>
        </w:rPr>
        <w:t>并能开具的正式增值税</w:t>
      </w:r>
      <w:r>
        <w:rPr>
          <w:rFonts w:hint="eastAsia" w:cs="宋体" w:asciiTheme="minorEastAsia" w:hAnsiTheme="minorEastAsia" w:eastAsiaTheme="minorEastAsia"/>
          <w:sz w:val="28"/>
          <w:szCs w:val="28"/>
          <w:lang w:eastAsia="zh-CN"/>
        </w:rPr>
        <w:t>专用</w:t>
      </w:r>
      <w:r>
        <w:rPr>
          <w:rFonts w:hint="eastAsia" w:cs="宋体" w:asciiTheme="minorEastAsia" w:hAnsiTheme="minorEastAsia" w:eastAsiaTheme="minorEastAsia"/>
          <w:sz w:val="28"/>
          <w:szCs w:val="28"/>
        </w:rPr>
        <w:t>发票</w:t>
      </w:r>
      <w:r>
        <w:rPr>
          <w:rFonts w:hint="eastAsia" w:cs="宋体" w:asciiTheme="minorEastAsia" w:hAnsiTheme="minorEastAsia" w:eastAsiaTheme="minorEastAsia"/>
          <w:sz w:val="28"/>
          <w:szCs w:val="28"/>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baseline"/>
        <w:outlineLvl w:val="9"/>
        <w:rPr>
          <w:rFonts w:hint="eastAsia" w:cs="宋体" w:asciiTheme="minorEastAsia" w:hAnsiTheme="minorEastAsia" w:eastAsiaTheme="minorEastAsia"/>
          <w:sz w:val="28"/>
          <w:szCs w:val="28"/>
          <w:lang w:eastAsia="zh-CN"/>
        </w:rPr>
      </w:pPr>
      <w:r>
        <w:rPr>
          <w:rFonts w:hint="eastAsia" w:cs="Times New Roman" w:asciiTheme="minorEastAsia" w:hAnsiTheme="minorEastAsia" w:eastAsiaTheme="minorEastAsia"/>
          <w:kern w:val="0"/>
          <w:sz w:val="28"/>
          <w:szCs w:val="28"/>
          <w:lang w:val="en-US" w:eastAsia="zh-CN" w:bidi="ar-SA"/>
        </w:rPr>
        <w:t>6.2经营年限内无商业纠纷案件，无偷税漏税行为，无税务欺诈行为。</w:t>
      </w:r>
    </w:p>
    <w:p>
      <w:pPr>
        <w:widowControl/>
        <w:spacing w:line="460" w:lineRule="exact"/>
        <w:ind w:firstLine="536" w:firstLineChars="200"/>
        <w:rPr>
          <w:rFonts w:cs="宋体" w:asciiTheme="minorEastAsia" w:hAnsiTheme="minorEastAsia" w:eastAsiaTheme="minorEastAsia"/>
          <w:spacing w:val="-6"/>
          <w:sz w:val="28"/>
          <w:szCs w:val="28"/>
        </w:rPr>
      </w:pPr>
      <w:r>
        <w:rPr>
          <w:rFonts w:hint="eastAsia" w:cs="宋体" w:asciiTheme="minorEastAsia" w:hAnsiTheme="minorEastAsia" w:eastAsiaTheme="minorEastAsia"/>
          <w:spacing w:val="-6"/>
          <w:sz w:val="28"/>
          <w:szCs w:val="28"/>
        </w:rPr>
        <w:t>6.</w:t>
      </w:r>
      <w:r>
        <w:rPr>
          <w:rFonts w:hint="eastAsia" w:cs="宋体" w:asciiTheme="minorEastAsia" w:hAnsiTheme="minorEastAsia" w:eastAsiaTheme="minorEastAsia"/>
          <w:spacing w:val="-6"/>
          <w:sz w:val="28"/>
          <w:szCs w:val="28"/>
          <w:lang w:val="en-US" w:eastAsia="zh-CN"/>
        </w:rPr>
        <w:t>3</w:t>
      </w:r>
      <w:r>
        <w:rPr>
          <w:rFonts w:hint="eastAsia" w:cs="宋体" w:asciiTheme="minorEastAsia" w:hAnsiTheme="minorEastAsia" w:eastAsiaTheme="minorEastAsia"/>
          <w:spacing w:val="-6"/>
          <w:sz w:val="28"/>
          <w:szCs w:val="28"/>
        </w:rPr>
        <w:t>本次比选不接受联合体参选。</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7、比选文件的递交</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7.1比选文件递交的截止时间：201</w:t>
      </w:r>
      <w:r>
        <w:rPr>
          <w:rFonts w:hint="eastAsia" w:asciiTheme="minorEastAsia" w:hAnsiTheme="minorEastAsia" w:eastAsiaTheme="minorEastAsia"/>
          <w:sz w:val="28"/>
          <w:szCs w:val="28"/>
          <w:lang w:val="en-US" w:eastAsia="zh-CN"/>
        </w:rPr>
        <w:t>9</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11</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13</w:t>
      </w:r>
      <w:r>
        <w:rPr>
          <w:rFonts w:hint="eastAsia" w:asciiTheme="minorEastAsia" w:hAnsiTheme="minorEastAsia" w:eastAsiaTheme="minorEastAsia"/>
          <w:sz w:val="28"/>
          <w:szCs w:val="28"/>
        </w:rPr>
        <w:t>日17时00分。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baseline"/>
        <w:outlineLvl w:val="9"/>
        <w:rPr>
          <w:rFonts w:hint="eastAsia" w:ascii="宋体" w:hAnsi="宋体"/>
          <w:sz w:val="28"/>
          <w:szCs w:val="28"/>
          <w:lang w:eastAsia="zh-CN"/>
        </w:rPr>
      </w:pPr>
      <w:r>
        <w:rPr>
          <w:rFonts w:hint="eastAsia" w:asciiTheme="minorEastAsia" w:hAnsiTheme="minorEastAsia" w:eastAsiaTheme="minorEastAsia"/>
          <w:sz w:val="28"/>
          <w:szCs w:val="28"/>
        </w:rPr>
        <w:t>7.2</w:t>
      </w:r>
      <w:r>
        <w:rPr>
          <w:rFonts w:hint="eastAsia" w:ascii="宋体" w:hAnsi="宋体"/>
          <w:sz w:val="28"/>
          <w:szCs w:val="28"/>
        </w:rPr>
        <w:t>提交投标文件的地点为：</w:t>
      </w:r>
      <w:r>
        <w:rPr>
          <w:rFonts w:hint="eastAsia" w:ascii="宋体" w:hAnsi="宋体"/>
          <w:sz w:val="28"/>
          <w:szCs w:val="28"/>
          <w:lang w:eastAsia="zh-CN"/>
        </w:rPr>
        <w:t>福建省石油化学工业设计院</w:t>
      </w:r>
      <w:r>
        <w:rPr>
          <w:rFonts w:hint="eastAsia" w:ascii="宋体" w:hAnsi="宋体"/>
          <w:sz w:val="28"/>
          <w:szCs w:val="28"/>
        </w:rPr>
        <w:t>（</w:t>
      </w:r>
      <w:r>
        <w:rPr>
          <w:rFonts w:hint="eastAsia" w:ascii="宋体" w:hAnsi="宋体"/>
          <w:sz w:val="28"/>
          <w:szCs w:val="28"/>
          <w:lang w:val="en-US" w:eastAsia="zh-CN"/>
        </w:rPr>
        <w:t>福州市鼓楼区东大路117号</w:t>
      </w:r>
      <w:r>
        <w:rPr>
          <w:rFonts w:hint="eastAsia" w:ascii="宋体" w:hAnsi="宋体"/>
          <w:sz w:val="28"/>
          <w:szCs w:val="28"/>
          <w:lang w:eastAsia="zh-CN"/>
        </w:rPr>
        <w:t>），联系人：王小姐，联系电话0591-</w:t>
      </w:r>
      <w:r>
        <w:rPr>
          <w:rFonts w:hint="eastAsia" w:ascii="宋体" w:hAnsi="宋体"/>
          <w:sz w:val="28"/>
          <w:szCs w:val="28"/>
          <w:lang w:val="en-US" w:eastAsia="zh-CN"/>
        </w:rPr>
        <w:t>87519994</w:t>
      </w:r>
      <w:r>
        <w:rPr>
          <w:rFonts w:hint="eastAsia" w:ascii="宋体" w:hAnsi="宋体"/>
          <w:sz w:val="28"/>
          <w:szCs w:val="28"/>
          <w:lang w:eastAsia="zh-CN"/>
        </w:rPr>
        <w:t>。</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7.3</w:t>
      </w:r>
      <w:r>
        <w:rPr>
          <w:rFonts w:hint="eastAsia" w:ascii="宋体" w:hAnsi="宋体"/>
          <w:sz w:val="28"/>
          <w:szCs w:val="28"/>
        </w:rPr>
        <w:t>请使用顺丰或EMS进行邮寄，其他邮寄方式可能无法到达我司。</w:t>
      </w:r>
      <w:r>
        <w:rPr>
          <w:rFonts w:hint="eastAsia" w:asciiTheme="minorEastAsia" w:hAnsiTheme="minorEastAsia" w:eastAsiaTheme="minorEastAsia"/>
          <w:sz w:val="28"/>
          <w:szCs w:val="28"/>
        </w:rPr>
        <w:t>逾期送达的或未送达指定地点或投标文件密封不符合规定要求的投标文件，比选人不予受理。</w:t>
      </w:r>
    </w:p>
    <w:p>
      <w:pPr>
        <w:jc w:val="left"/>
        <w:rPr>
          <w:rFonts w:asciiTheme="minorEastAsia" w:hAnsiTheme="minorEastAsia" w:eastAsiaTheme="minorEastAsia"/>
          <w:sz w:val="28"/>
          <w:szCs w:val="28"/>
        </w:rPr>
      </w:pPr>
    </w:p>
    <w:p>
      <w:pPr>
        <w:jc w:val="center"/>
        <w:rPr>
          <w:rFonts w:cs="宋体" w:asciiTheme="minorEastAsia" w:hAnsiTheme="minorEastAsia" w:eastAsiaTheme="minorEastAsia"/>
          <w:b/>
          <w:bCs/>
          <w:sz w:val="32"/>
          <w:szCs w:val="32"/>
        </w:rPr>
      </w:pPr>
      <w:r>
        <w:rPr>
          <w:rFonts w:hint="eastAsia" w:cs="宋体" w:asciiTheme="minorEastAsia" w:hAnsiTheme="minorEastAsia" w:eastAsiaTheme="minorEastAsia"/>
          <w:b/>
          <w:bCs/>
          <w:sz w:val="32"/>
          <w:szCs w:val="32"/>
        </w:rPr>
        <w:t>第三章   参选文件的编制</w:t>
      </w:r>
    </w:p>
    <w:p>
      <w:pPr>
        <w:snapToGrid w:val="0"/>
        <w:spacing w:line="360" w:lineRule="auto"/>
        <w:rPr>
          <w:rFonts w:asciiTheme="minorEastAsia" w:hAnsiTheme="minorEastAsia" w:eastAsiaTheme="minorEastAsia"/>
          <w:b/>
          <w:sz w:val="28"/>
          <w:szCs w:val="28"/>
        </w:rPr>
      </w:pPr>
      <w:r>
        <w:rPr>
          <w:rFonts w:hint="eastAsia" w:asciiTheme="minorEastAsia" w:hAnsiTheme="minorEastAsia" w:eastAsiaTheme="minorEastAsia"/>
          <w:b/>
          <w:sz w:val="28"/>
          <w:szCs w:val="28"/>
        </w:rPr>
        <w:t>1、参选文件的组成：</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①有良好经营业绩的证明。其中包括以往承包业绩的合同、营业收入证明等，其他可以证明承包单位具有良好运营业绩的相关材料；</w:t>
      </w:r>
      <w:r>
        <w:rPr>
          <w:rFonts w:asciiTheme="minorEastAsia" w:hAnsiTheme="minorEastAsia" w:eastAsiaTheme="minorEastAsia"/>
          <w:sz w:val="28"/>
          <w:szCs w:val="28"/>
        </w:rPr>
        <w:t>凡弄虚作假的，一经查实，</w:t>
      </w:r>
      <w:r>
        <w:rPr>
          <w:rFonts w:hint="eastAsia" w:asciiTheme="minorEastAsia" w:hAnsiTheme="minorEastAsia" w:eastAsiaTheme="minorEastAsia"/>
          <w:sz w:val="28"/>
          <w:szCs w:val="28"/>
        </w:rPr>
        <w:t>比选人</w:t>
      </w:r>
      <w:r>
        <w:rPr>
          <w:rFonts w:asciiTheme="minorEastAsia" w:hAnsiTheme="minorEastAsia" w:eastAsiaTheme="minorEastAsia"/>
          <w:sz w:val="28"/>
          <w:szCs w:val="28"/>
        </w:rPr>
        <w:t>有权取消其中</w:t>
      </w:r>
      <w:r>
        <w:rPr>
          <w:rFonts w:hint="eastAsia" w:asciiTheme="minorEastAsia" w:hAnsiTheme="minorEastAsia" w:eastAsiaTheme="minorEastAsia"/>
          <w:sz w:val="28"/>
          <w:szCs w:val="28"/>
        </w:rPr>
        <w:t>选</w:t>
      </w:r>
      <w:r>
        <w:rPr>
          <w:rFonts w:asciiTheme="minorEastAsia" w:hAnsiTheme="minorEastAsia" w:eastAsiaTheme="minorEastAsia"/>
          <w:sz w:val="28"/>
          <w:szCs w:val="28"/>
        </w:rPr>
        <w:t>资格。</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②参选单位企业概况（当前主要经营品种及经营状况、经营历史简介，经营能力介绍，）、营业执照</w:t>
      </w:r>
      <w:r>
        <w:rPr>
          <w:rFonts w:asciiTheme="minorEastAsia" w:hAnsiTheme="minorEastAsia" w:eastAsiaTheme="minorEastAsia"/>
          <w:sz w:val="28"/>
          <w:szCs w:val="28"/>
        </w:rPr>
        <w:t>（经年检或年审合格的）</w:t>
      </w:r>
      <w:r>
        <w:rPr>
          <w:rFonts w:hint="eastAsia" w:asciiTheme="minorEastAsia" w:hAnsiTheme="minorEastAsia" w:eastAsiaTheme="minorEastAsia"/>
          <w:sz w:val="28"/>
          <w:szCs w:val="28"/>
        </w:rPr>
        <w:t>、组织机构代码证、税务登记证</w:t>
      </w:r>
      <w:r>
        <w:rPr>
          <w:rFonts w:asciiTheme="minorEastAsia" w:hAnsiTheme="minorEastAsia" w:eastAsiaTheme="minorEastAsia"/>
          <w:color w:val="000000"/>
          <w:sz w:val="28"/>
          <w:szCs w:val="28"/>
        </w:rPr>
        <w:t>（经年检或年审合格的）</w:t>
      </w:r>
      <w:r>
        <w:rPr>
          <w:rFonts w:hint="eastAsia" w:asciiTheme="minorEastAsia" w:hAnsiTheme="minorEastAsia" w:eastAsiaTheme="minorEastAsia"/>
          <w:sz w:val="28"/>
          <w:szCs w:val="28"/>
        </w:rPr>
        <w:t>等。</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③参选单位出具业务联系人的授权代表证明</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附件二</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，业务联系人或被授权代表变更时应取得相应的具有法律效力的证明材料。</w:t>
      </w:r>
    </w:p>
    <w:p>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    ④提供参选报价表。报价单参照附件</w:t>
      </w:r>
      <w:r>
        <w:rPr>
          <w:rFonts w:hint="eastAsia" w:asciiTheme="minorEastAsia" w:hAnsiTheme="minorEastAsia" w:eastAsiaTheme="minorEastAsia"/>
          <w:sz w:val="28"/>
          <w:szCs w:val="28"/>
          <w:lang w:val="en-US" w:eastAsia="zh-CN"/>
        </w:rPr>
        <w:t>一</w:t>
      </w:r>
      <w:r>
        <w:rPr>
          <w:rFonts w:hint="eastAsia" w:asciiTheme="minorEastAsia" w:hAnsiTheme="minorEastAsia" w:eastAsiaTheme="minorEastAsia"/>
          <w:sz w:val="28"/>
          <w:szCs w:val="28"/>
        </w:rPr>
        <w:t>格式进行报价。如私自修改报价格式按废标处理。</w:t>
      </w:r>
    </w:p>
    <w:p>
      <w:pPr>
        <w:spacing w:line="360" w:lineRule="auto"/>
        <w:ind w:firstLine="560" w:firstLineChars="200"/>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⑤承诺函。参照附件三格式。</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以上①至</w:t>
      </w:r>
      <w:r>
        <w:rPr>
          <w:rFonts w:hint="eastAsia" w:asciiTheme="minorEastAsia" w:hAnsiTheme="minorEastAsia" w:eastAsiaTheme="minorEastAsia"/>
          <w:sz w:val="28"/>
          <w:szCs w:val="28"/>
          <w:lang w:val="en-US" w:eastAsia="zh-CN"/>
        </w:rPr>
        <w:t>⑤</w:t>
      </w:r>
      <w:r>
        <w:rPr>
          <w:rFonts w:hint="eastAsia" w:asciiTheme="minorEastAsia" w:hAnsiTheme="minorEastAsia" w:eastAsiaTheme="minorEastAsia"/>
          <w:sz w:val="28"/>
          <w:szCs w:val="28"/>
        </w:rPr>
        <w:t>项内容</w:t>
      </w:r>
      <w:r>
        <w:rPr>
          <w:rFonts w:hint="eastAsia" w:asciiTheme="minorEastAsia" w:hAnsiTheme="minorEastAsia" w:eastAsiaTheme="minorEastAsia"/>
          <w:sz w:val="28"/>
          <w:szCs w:val="28"/>
          <w:lang w:val="en-US" w:eastAsia="zh-CN"/>
        </w:rPr>
        <w:t>需</w:t>
      </w:r>
      <w:r>
        <w:rPr>
          <w:rFonts w:hint="eastAsia" w:asciiTheme="minorEastAsia" w:hAnsiTheme="minorEastAsia" w:eastAsiaTheme="minorEastAsia"/>
          <w:sz w:val="28"/>
          <w:szCs w:val="28"/>
        </w:rPr>
        <w:t>加盖公章</w:t>
      </w:r>
      <w:r>
        <w:rPr>
          <w:rFonts w:hint="eastAsia" w:asciiTheme="minorEastAsia" w:hAnsiTheme="minorEastAsia" w:eastAsiaTheme="minorEastAsia"/>
          <w:sz w:val="28"/>
          <w:szCs w:val="28"/>
          <w:lang w:eastAsia="zh-CN"/>
        </w:rPr>
        <w:t>统一密封</w:t>
      </w:r>
      <w:r>
        <w:rPr>
          <w:rFonts w:hint="eastAsia" w:asciiTheme="minorEastAsia" w:hAnsiTheme="minorEastAsia" w:eastAsiaTheme="minorEastAsia"/>
          <w:sz w:val="28"/>
          <w:szCs w:val="28"/>
        </w:rPr>
        <w:t>；在密封封面上要有明确的</w:t>
      </w:r>
      <w:r>
        <w:rPr>
          <w:rFonts w:hint="eastAsia" w:asciiTheme="minorEastAsia" w:hAnsiTheme="minorEastAsia" w:eastAsiaTheme="minorEastAsia"/>
          <w:sz w:val="28"/>
          <w:szCs w:val="28"/>
          <w:lang w:eastAsia="zh-CN"/>
        </w:rPr>
        <w:t>注明参选项目名称、参选人名称联系电话等</w:t>
      </w:r>
      <w:r>
        <w:rPr>
          <w:rFonts w:hint="eastAsia" w:asciiTheme="minorEastAsia" w:hAnsiTheme="minorEastAsia" w:eastAsiaTheme="minorEastAsia"/>
          <w:sz w:val="28"/>
          <w:szCs w:val="28"/>
        </w:rPr>
        <w:t>。</w:t>
      </w:r>
    </w:p>
    <w:p>
      <w:pPr>
        <w:spacing w:line="360" w:lineRule="auto"/>
        <w:rPr>
          <w:rFonts w:asciiTheme="minorEastAsia" w:hAnsiTheme="minorEastAsia" w:eastAsiaTheme="minorEastAsia"/>
          <w:b/>
          <w:sz w:val="28"/>
          <w:szCs w:val="28"/>
        </w:rPr>
      </w:pPr>
      <w:r>
        <w:rPr>
          <w:rFonts w:hint="eastAsia" w:asciiTheme="minorEastAsia" w:hAnsiTheme="minorEastAsia" w:eastAsiaTheme="minorEastAsia"/>
          <w:b/>
          <w:sz w:val="28"/>
          <w:szCs w:val="28"/>
        </w:rPr>
        <w:t>2、参选书格式</w:t>
      </w:r>
    </w:p>
    <w:p>
      <w:pPr>
        <w:spacing w:line="360" w:lineRule="auto"/>
        <w:ind w:firstLine="548" w:firstLineChars="196"/>
        <w:rPr>
          <w:rFonts w:asciiTheme="minorEastAsia" w:hAnsiTheme="minorEastAsia" w:eastAsiaTheme="minorEastAsia"/>
          <w:sz w:val="28"/>
          <w:szCs w:val="28"/>
        </w:rPr>
      </w:pPr>
      <w:r>
        <w:rPr>
          <w:rFonts w:hint="eastAsia" w:asciiTheme="minorEastAsia" w:hAnsiTheme="minorEastAsia" w:eastAsiaTheme="minorEastAsia"/>
          <w:sz w:val="28"/>
          <w:szCs w:val="28"/>
        </w:rPr>
        <w:t>参选人应按规定制作参选文件并需加盖公司章，按规定填写报价表并需加盖公司章，法定代表人或委托代表人签字。</w:t>
      </w:r>
    </w:p>
    <w:p>
      <w:pPr>
        <w:snapToGrid w:val="0"/>
        <w:spacing w:line="360" w:lineRule="auto"/>
        <w:rPr>
          <w:rFonts w:asciiTheme="minorEastAsia" w:hAnsiTheme="minorEastAsia" w:eastAsiaTheme="minorEastAsia"/>
          <w:b/>
          <w:sz w:val="28"/>
          <w:szCs w:val="28"/>
        </w:rPr>
      </w:pPr>
      <w:r>
        <w:rPr>
          <w:rFonts w:hint="eastAsia" w:asciiTheme="minorEastAsia" w:hAnsiTheme="minorEastAsia" w:eastAsiaTheme="minorEastAsia"/>
          <w:b/>
          <w:sz w:val="28"/>
          <w:szCs w:val="28"/>
        </w:rPr>
        <w:t>3、参选报价</w:t>
      </w:r>
    </w:p>
    <w:p>
      <w:pPr>
        <w:snapToGrid w:val="0"/>
        <w:spacing w:line="360" w:lineRule="auto"/>
        <w:ind w:firstLine="557" w:firstLineChars="199"/>
        <w:rPr>
          <w:rFonts w:asciiTheme="minorEastAsia" w:hAnsiTheme="minorEastAsia" w:eastAsiaTheme="minorEastAsia"/>
          <w:sz w:val="28"/>
          <w:szCs w:val="28"/>
        </w:rPr>
      </w:pPr>
      <w:r>
        <w:rPr>
          <w:rFonts w:hint="eastAsia" w:asciiTheme="minorEastAsia" w:hAnsiTheme="minorEastAsia" w:eastAsiaTheme="minorEastAsia"/>
          <w:sz w:val="28"/>
          <w:szCs w:val="28"/>
        </w:rPr>
        <w:t>参选人须对参选报价负责，参选</w:t>
      </w:r>
      <w:r>
        <w:rPr>
          <w:rFonts w:asciiTheme="minorEastAsia" w:hAnsiTheme="minorEastAsia" w:eastAsiaTheme="minorEastAsia"/>
          <w:sz w:val="28"/>
          <w:szCs w:val="28"/>
        </w:rPr>
        <w:t>报价应包括</w:t>
      </w:r>
      <w:r>
        <w:rPr>
          <w:rFonts w:hint="eastAsia" w:asciiTheme="minorEastAsia" w:hAnsiTheme="minorEastAsia" w:eastAsiaTheme="minorEastAsia"/>
          <w:sz w:val="28"/>
          <w:szCs w:val="28"/>
        </w:rPr>
        <w:t>比选</w:t>
      </w:r>
      <w:r>
        <w:rPr>
          <w:rFonts w:asciiTheme="minorEastAsia" w:hAnsiTheme="minorEastAsia" w:eastAsiaTheme="minorEastAsia"/>
          <w:sz w:val="28"/>
          <w:szCs w:val="28"/>
        </w:rPr>
        <w:t>文件所确定的</w:t>
      </w:r>
      <w:r>
        <w:rPr>
          <w:rFonts w:hint="eastAsia" w:asciiTheme="minorEastAsia" w:hAnsiTheme="minorEastAsia" w:eastAsiaTheme="minorEastAsia"/>
          <w:sz w:val="28"/>
          <w:szCs w:val="28"/>
        </w:rPr>
        <w:t>项目</w:t>
      </w:r>
      <w:r>
        <w:rPr>
          <w:rFonts w:asciiTheme="minorEastAsia" w:hAnsiTheme="minorEastAsia" w:eastAsiaTheme="minorEastAsia"/>
          <w:sz w:val="28"/>
          <w:szCs w:val="28"/>
        </w:rPr>
        <w:t>范围内的全部内容，以及为完成上述内容所必须的</w:t>
      </w:r>
      <w:r>
        <w:rPr>
          <w:rFonts w:hint="eastAsia" w:asciiTheme="minorEastAsia" w:hAnsiTheme="minorEastAsia" w:eastAsiaTheme="minorEastAsia"/>
          <w:sz w:val="28"/>
          <w:szCs w:val="28"/>
        </w:rPr>
        <w:t>运输、包装</w:t>
      </w:r>
      <w:r>
        <w:rPr>
          <w:rFonts w:asciiTheme="minorEastAsia" w:hAnsiTheme="minorEastAsia" w:eastAsiaTheme="minorEastAsia"/>
          <w:sz w:val="28"/>
          <w:szCs w:val="28"/>
        </w:rPr>
        <w:t>及所需的全部费用</w:t>
      </w:r>
      <w:r>
        <w:rPr>
          <w:rFonts w:hint="eastAsia" w:asciiTheme="minorEastAsia" w:hAnsiTheme="minorEastAsia" w:eastAsiaTheme="minorEastAsia"/>
          <w:sz w:val="28"/>
          <w:szCs w:val="28"/>
        </w:rPr>
        <w:t>。参选人须按照比选人提供的报价函填写，加盖参选人印章，字迹清晰，否则视为无效。</w:t>
      </w:r>
    </w:p>
    <w:p>
      <w:pPr>
        <w:snapToGrid w:val="0"/>
        <w:spacing w:line="360" w:lineRule="auto"/>
        <w:rPr>
          <w:rFonts w:asciiTheme="minorEastAsia" w:hAnsiTheme="minorEastAsia" w:eastAsiaTheme="minorEastAsia"/>
          <w:b/>
          <w:sz w:val="28"/>
          <w:szCs w:val="28"/>
        </w:rPr>
      </w:pPr>
      <w:r>
        <w:rPr>
          <w:rFonts w:hint="eastAsia" w:asciiTheme="minorEastAsia" w:hAnsiTheme="minorEastAsia" w:eastAsiaTheme="minorEastAsia"/>
          <w:b/>
          <w:sz w:val="28"/>
          <w:szCs w:val="28"/>
        </w:rPr>
        <w:t>4、特别说明</w:t>
      </w:r>
    </w:p>
    <w:p>
      <w:pPr>
        <w:widowControl/>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4.1参选人需承担所有与比选有关的费用，比选人在任何情况</w:t>
      </w:r>
    </w:p>
    <w:p>
      <w:pPr>
        <w:widowControl/>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不负担上述费用。</w:t>
      </w:r>
    </w:p>
    <w:p>
      <w:pPr>
        <w:widowControl/>
        <w:tabs>
          <w:tab w:val="left" w:pos="3825"/>
        </w:tabs>
        <w:snapToGrid w:val="0"/>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bCs/>
          <w:sz w:val="28"/>
          <w:szCs w:val="28"/>
        </w:rPr>
        <w:t>4.2</w:t>
      </w:r>
      <w:r>
        <w:rPr>
          <w:rFonts w:hint="eastAsia" w:asciiTheme="minorEastAsia" w:hAnsiTheme="minorEastAsia" w:eastAsiaTheme="minorEastAsia"/>
          <w:sz w:val="28"/>
          <w:szCs w:val="28"/>
        </w:rPr>
        <w:t>参选</w:t>
      </w:r>
      <w:r>
        <w:rPr>
          <w:rFonts w:asciiTheme="minorEastAsia" w:hAnsiTheme="minorEastAsia" w:eastAsiaTheme="minorEastAsia"/>
          <w:sz w:val="28"/>
          <w:szCs w:val="28"/>
        </w:rPr>
        <w:t>收到</w:t>
      </w:r>
      <w:r>
        <w:rPr>
          <w:rFonts w:hint="eastAsia" w:asciiTheme="minorEastAsia" w:hAnsiTheme="minorEastAsia" w:eastAsiaTheme="minorEastAsia"/>
          <w:sz w:val="28"/>
          <w:szCs w:val="28"/>
        </w:rPr>
        <w:t>比选</w:t>
      </w:r>
      <w:r>
        <w:rPr>
          <w:rFonts w:asciiTheme="minorEastAsia" w:hAnsiTheme="minorEastAsia" w:eastAsiaTheme="minorEastAsia"/>
          <w:sz w:val="28"/>
          <w:szCs w:val="28"/>
        </w:rPr>
        <w:t>文件后，如有疑问需要澄清，请以书面</w:t>
      </w:r>
      <w:r>
        <w:rPr>
          <w:rFonts w:hint="eastAsia" w:asciiTheme="minorEastAsia" w:hAnsiTheme="minorEastAsia" w:eastAsiaTheme="minorEastAsia"/>
          <w:sz w:val="28"/>
          <w:szCs w:val="28"/>
        </w:rPr>
        <w:t>、传真、电子邮件等形式</w:t>
      </w:r>
      <w:r>
        <w:rPr>
          <w:rFonts w:asciiTheme="minorEastAsia" w:hAnsiTheme="minorEastAsia" w:eastAsiaTheme="minorEastAsia"/>
          <w:sz w:val="28"/>
          <w:szCs w:val="28"/>
        </w:rPr>
        <w:t>在规定时间内报</w:t>
      </w:r>
      <w:r>
        <w:rPr>
          <w:rFonts w:hint="eastAsia" w:asciiTheme="minorEastAsia" w:hAnsiTheme="minorEastAsia" w:eastAsiaTheme="minorEastAsia"/>
          <w:sz w:val="28"/>
          <w:szCs w:val="28"/>
        </w:rPr>
        <w:t>比选人</w:t>
      </w:r>
      <w:r>
        <w:rPr>
          <w:rFonts w:asciiTheme="minorEastAsia" w:hAnsiTheme="minorEastAsia" w:eastAsiaTheme="minorEastAsia"/>
          <w:sz w:val="28"/>
          <w:szCs w:val="28"/>
        </w:rPr>
        <w:t>汇总。</w:t>
      </w:r>
    </w:p>
    <w:p>
      <w:pPr>
        <w:widowControl/>
        <w:tabs>
          <w:tab w:val="left" w:pos="3825"/>
        </w:tabs>
        <w:snapToGrid w:val="0"/>
        <w:spacing w:line="360" w:lineRule="auto"/>
        <w:ind w:firstLine="560" w:firstLineChars="200"/>
        <w:jc w:val="left"/>
        <w:rPr>
          <w:rFonts w:asciiTheme="minorEastAsia" w:hAnsiTheme="minorEastAsia" w:eastAsiaTheme="minorEastAsia"/>
          <w:b/>
          <w:sz w:val="28"/>
          <w:szCs w:val="28"/>
        </w:rPr>
      </w:pPr>
      <w:r>
        <w:rPr>
          <w:rFonts w:hint="eastAsia" w:asciiTheme="minorEastAsia" w:hAnsiTheme="minorEastAsia" w:eastAsiaTheme="minorEastAsia"/>
          <w:bCs/>
          <w:sz w:val="28"/>
          <w:szCs w:val="28"/>
        </w:rPr>
        <w:t>4.3</w:t>
      </w:r>
      <w:r>
        <w:rPr>
          <w:rFonts w:hint="eastAsia" w:asciiTheme="minorEastAsia" w:hAnsiTheme="minorEastAsia" w:eastAsiaTheme="minorEastAsia"/>
          <w:sz w:val="28"/>
          <w:szCs w:val="28"/>
        </w:rPr>
        <w:t>参选</w:t>
      </w:r>
      <w:r>
        <w:rPr>
          <w:rFonts w:asciiTheme="minorEastAsia" w:hAnsiTheme="minorEastAsia" w:eastAsiaTheme="minorEastAsia"/>
          <w:sz w:val="28"/>
          <w:szCs w:val="28"/>
        </w:rPr>
        <w:t>人对</w:t>
      </w:r>
      <w:r>
        <w:rPr>
          <w:rFonts w:hint="eastAsia" w:asciiTheme="minorEastAsia" w:hAnsiTheme="minorEastAsia" w:eastAsiaTheme="minorEastAsia"/>
          <w:sz w:val="28"/>
          <w:szCs w:val="28"/>
        </w:rPr>
        <w:t>比选</w:t>
      </w:r>
      <w:r>
        <w:rPr>
          <w:rFonts w:asciiTheme="minorEastAsia" w:hAnsiTheme="minorEastAsia" w:eastAsiaTheme="minorEastAsia"/>
          <w:sz w:val="28"/>
          <w:szCs w:val="28"/>
        </w:rPr>
        <w:t>人提供的</w:t>
      </w:r>
      <w:r>
        <w:rPr>
          <w:rFonts w:hint="eastAsia" w:asciiTheme="minorEastAsia" w:hAnsiTheme="minorEastAsia" w:eastAsiaTheme="minorEastAsia"/>
          <w:sz w:val="28"/>
          <w:szCs w:val="28"/>
        </w:rPr>
        <w:t>比选</w:t>
      </w:r>
      <w:r>
        <w:rPr>
          <w:rFonts w:asciiTheme="minorEastAsia" w:hAnsiTheme="minorEastAsia" w:eastAsiaTheme="minorEastAsia"/>
          <w:sz w:val="28"/>
          <w:szCs w:val="28"/>
        </w:rPr>
        <w:t>文件所做出的推论、解释和结论，</w:t>
      </w:r>
      <w:r>
        <w:rPr>
          <w:rFonts w:hint="eastAsia" w:asciiTheme="minorEastAsia" w:hAnsiTheme="minorEastAsia" w:eastAsiaTheme="minorEastAsia"/>
          <w:sz w:val="28"/>
          <w:szCs w:val="28"/>
        </w:rPr>
        <w:t>比选人</w:t>
      </w:r>
      <w:r>
        <w:rPr>
          <w:rFonts w:asciiTheme="minorEastAsia" w:hAnsiTheme="minorEastAsia" w:eastAsiaTheme="minorEastAsia"/>
          <w:sz w:val="28"/>
          <w:szCs w:val="28"/>
        </w:rPr>
        <w:t>概不负责。</w:t>
      </w:r>
      <w:r>
        <w:rPr>
          <w:rFonts w:hint="eastAsia" w:asciiTheme="minorEastAsia" w:hAnsiTheme="minorEastAsia" w:eastAsiaTheme="minorEastAsia"/>
          <w:sz w:val="28"/>
          <w:szCs w:val="28"/>
        </w:rPr>
        <w:t>参选</w:t>
      </w:r>
      <w:r>
        <w:rPr>
          <w:rFonts w:asciiTheme="minorEastAsia" w:hAnsiTheme="minorEastAsia" w:eastAsiaTheme="minorEastAsia"/>
          <w:sz w:val="28"/>
          <w:szCs w:val="28"/>
        </w:rPr>
        <w:t>人由于对</w:t>
      </w:r>
      <w:r>
        <w:rPr>
          <w:rFonts w:hint="eastAsia" w:asciiTheme="minorEastAsia" w:hAnsiTheme="minorEastAsia" w:eastAsiaTheme="minorEastAsia"/>
          <w:sz w:val="28"/>
          <w:szCs w:val="28"/>
        </w:rPr>
        <w:t>比选</w:t>
      </w:r>
      <w:r>
        <w:rPr>
          <w:rFonts w:asciiTheme="minorEastAsia" w:hAnsiTheme="minorEastAsia" w:eastAsiaTheme="minorEastAsia"/>
          <w:sz w:val="28"/>
          <w:szCs w:val="28"/>
        </w:rPr>
        <w:t>文件的任何推论和误解以及</w:t>
      </w:r>
      <w:r>
        <w:rPr>
          <w:rFonts w:hint="eastAsia" w:asciiTheme="minorEastAsia" w:hAnsiTheme="minorEastAsia" w:eastAsiaTheme="minorEastAsia"/>
          <w:sz w:val="28"/>
          <w:szCs w:val="28"/>
        </w:rPr>
        <w:t>比选</w:t>
      </w:r>
      <w:r>
        <w:rPr>
          <w:rFonts w:asciiTheme="minorEastAsia" w:hAnsiTheme="minorEastAsia" w:eastAsiaTheme="minorEastAsia"/>
          <w:sz w:val="28"/>
          <w:szCs w:val="28"/>
        </w:rPr>
        <w:t>对有关问题的口头解释所造成的后果，均由</w:t>
      </w:r>
      <w:r>
        <w:rPr>
          <w:rFonts w:hint="eastAsia" w:asciiTheme="minorEastAsia" w:hAnsiTheme="minorEastAsia" w:eastAsiaTheme="minorEastAsia"/>
          <w:sz w:val="28"/>
          <w:szCs w:val="28"/>
        </w:rPr>
        <w:t>参选</w:t>
      </w:r>
      <w:r>
        <w:rPr>
          <w:rFonts w:asciiTheme="minorEastAsia" w:hAnsiTheme="minorEastAsia" w:eastAsiaTheme="minorEastAsia"/>
          <w:sz w:val="28"/>
          <w:szCs w:val="28"/>
        </w:rPr>
        <w:t>人负责。</w:t>
      </w:r>
    </w:p>
    <w:p>
      <w:pPr>
        <w:jc w:val="center"/>
        <w:rPr>
          <w:rFonts w:cs="宋体" w:asciiTheme="minorEastAsia" w:hAnsiTheme="minorEastAsia" w:eastAsiaTheme="minorEastAsia"/>
          <w:b/>
          <w:color w:val="000000"/>
          <w:sz w:val="32"/>
          <w:szCs w:val="32"/>
        </w:rPr>
      </w:pPr>
      <w:r>
        <w:rPr>
          <w:rFonts w:hint="eastAsia" w:asciiTheme="minorEastAsia" w:hAnsiTheme="minorEastAsia" w:eastAsiaTheme="minorEastAsia"/>
          <w:b/>
          <w:sz w:val="28"/>
          <w:szCs w:val="28"/>
        </w:rPr>
        <w:tab/>
      </w:r>
      <w:r>
        <w:rPr>
          <w:rFonts w:hint="eastAsia" w:cs="宋体" w:asciiTheme="minorEastAsia" w:hAnsiTheme="minorEastAsia" w:eastAsiaTheme="minorEastAsia"/>
          <w:b/>
          <w:color w:val="000000"/>
          <w:sz w:val="32"/>
          <w:szCs w:val="32"/>
        </w:rPr>
        <w:t>第四章   评比规则</w:t>
      </w:r>
    </w:p>
    <w:p>
      <w:pPr>
        <w:spacing w:line="51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1、评分规则：</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1.1招比选人在评选时，</w:t>
      </w:r>
      <w:r>
        <w:rPr>
          <w:rFonts w:hint="eastAsia" w:asciiTheme="minorEastAsia" w:hAnsiTheme="minorEastAsia" w:eastAsiaTheme="minorEastAsia"/>
          <w:sz w:val="28"/>
          <w:szCs w:val="28"/>
        </w:rPr>
        <w:t>原则上以参选低价为中标单位，但不限于以参选低价中选</w:t>
      </w:r>
      <w:r>
        <w:rPr>
          <w:rFonts w:hint="eastAsia" w:asciiTheme="minorEastAsia" w:hAnsiTheme="minorEastAsia" w:eastAsiaTheme="minorEastAsia"/>
          <w:color w:val="000000"/>
          <w:sz w:val="28"/>
          <w:szCs w:val="28"/>
        </w:rPr>
        <w:t>，将会综合考虑以下因数：</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①参选人的服务保障能力、生产能力、管理能力；</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②与比选文件及合同条款规定的条件的偏差；</w:t>
      </w:r>
    </w:p>
    <w:p>
      <w:pPr>
        <w:tabs>
          <w:tab w:val="center" w:pos="4957"/>
        </w:tabs>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③提供相关服务的情况；</w:t>
      </w:r>
      <w:r>
        <w:rPr>
          <w:rFonts w:asciiTheme="minorEastAsia" w:hAnsiTheme="minorEastAsia" w:eastAsiaTheme="minorEastAsia"/>
          <w:color w:val="000000"/>
          <w:sz w:val="28"/>
          <w:szCs w:val="28"/>
        </w:rPr>
        <w:tab/>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④投标人在同类企业的经营业绩情况；</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sz w:val="28"/>
          <w:szCs w:val="28"/>
        </w:rPr>
        <w:t>⑤</w:t>
      </w:r>
      <w:r>
        <w:rPr>
          <w:rFonts w:hint="eastAsia" w:asciiTheme="minorEastAsia" w:hAnsiTheme="minorEastAsia" w:eastAsiaTheme="minorEastAsia"/>
          <w:color w:val="000000"/>
          <w:sz w:val="28"/>
          <w:szCs w:val="28"/>
        </w:rPr>
        <w:t>投标人的资信等情况。。</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1.2参选报价符合当前市场通行标准，如出现恶意竞标、</w:t>
      </w:r>
      <w:r>
        <w:rPr>
          <w:rFonts w:hint="eastAsia" w:asciiTheme="minorEastAsia" w:hAnsiTheme="minorEastAsia" w:eastAsiaTheme="minorEastAsia"/>
          <w:bCs/>
          <w:sz w:val="28"/>
          <w:szCs w:val="28"/>
        </w:rPr>
        <w:t>串</w:t>
      </w:r>
      <w:r>
        <w:rPr>
          <w:rFonts w:hint="eastAsia" w:asciiTheme="minorEastAsia" w:hAnsiTheme="minorEastAsia" w:eastAsiaTheme="minorEastAsia"/>
          <w:sz w:val="28"/>
          <w:szCs w:val="28"/>
        </w:rPr>
        <w:t>标现象，或</w:t>
      </w:r>
      <w:r>
        <w:rPr>
          <w:rFonts w:hint="eastAsia" w:asciiTheme="minorEastAsia" w:hAnsiTheme="minorEastAsia" w:eastAsiaTheme="minorEastAsia"/>
          <w:bCs/>
          <w:sz w:val="28"/>
          <w:szCs w:val="28"/>
        </w:rPr>
        <w:t>参选以各种方式对评选小组成员施加影响；及其它违反招投标法、以及本次比选规定的，</w:t>
      </w:r>
      <w:r>
        <w:rPr>
          <w:rFonts w:hint="eastAsia" w:asciiTheme="minorEastAsia" w:hAnsiTheme="minorEastAsia" w:eastAsiaTheme="minorEastAsia"/>
          <w:sz w:val="28"/>
          <w:szCs w:val="28"/>
        </w:rPr>
        <w:t>比选人有权单方面终止参选人此次参选活动，并取消恶意竞标或</w:t>
      </w:r>
      <w:r>
        <w:rPr>
          <w:rFonts w:hint="eastAsia" w:asciiTheme="minorEastAsia" w:hAnsiTheme="minorEastAsia" w:eastAsiaTheme="minorEastAsia"/>
          <w:bCs/>
          <w:sz w:val="28"/>
          <w:szCs w:val="28"/>
        </w:rPr>
        <w:t>串</w:t>
      </w:r>
      <w:r>
        <w:rPr>
          <w:rFonts w:hint="eastAsia" w:asciiTheme="minorEastAsia" w:hAnsiTheme="minorEastAsia" w:eastAsiaTheme="minorEastAsia"/>
          <w:sz w:val="28"/>
          <w:szCs w:val="28"/>
        </w:rPr>
        <w:t>标单位在我公司三年之内的比选活动中的参选资格；</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1.3以往的业绩及相关证明材料，可附表提供；</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1.4具备良好的沟通、合作能力，服从比选人的管理。</w:t>
      </w:r>
    </w:p>
    <w:p>
      <w:pPr>
        <w:numPr>
          <w:ilvl w:val="0"/>
          <w:numId w:val="1"/>
        </w:numPr>
        <w:spacing w:line="360" w:lineRule="auto"/>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以下情况作废标处理：</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w:t>
      </w:r>
      <w:r>
        <w:rPr>
          <w:rFonts w:hint="eastAsia" w:asciiTheme="minorEastAsia" w:hAnsiTheme="minorEastAsia" w:eastAsiaTheme="minorEastAsia"/>
          <w:color w:val="000000"/>
          <w:sz w:val="28"/>
          <w:szCs w:val="28"/>
          <w:lang w:val="en-US" w:eastAsia="zh-CN"/>
        </w:rPr>
        <w:t>1</w:t>
      </w:r>
      <w:r>
        <w:rPr>
          <w:rFonts w:hint="eastAsia" w:asciiTheme="minorEastAsia" w:hAnsiTheme="minorEastAsia" w:eastAsiaTheme="minorEastAsia"/>
          <w:color w:val="000000"/>
          <w:sz w:val="28"/>
          <w:szCs w:val="28"/>
        </w:rPr>
        <w:t>对比选文件提出的实质性要求和条件，参选文件未能在实质上响应的。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w:t>
      </w:r>
      <w:r>
        <w:rPr>
          <w:rFonts w:hint="eastAsia" w:asciiTheme="minorEastAsia" w:hAnsiTheme="minorEastAsia" w:eastAsiaTheme="minorEastAsia"/>
          <w:color w:val="000000"/>
          <w:sz w:val="28"/>
          <w:szCs w:val="28"/>
          <w:lang w:val="en-US" w:eastAsia="zh-CN"/>
        </w:rPr>
        <w:t>2</w:t>
      </w:r>
      <w:r>
        <w:rPr>
          <w:rFonts w:hint="eastAsia" w:asciiTheme="minorEastAsia" w:hAnsiTheme="minorEastAsia" w:eastAsiaTheme="minorEastAsia"/>
          <w:color w:val="000000"/>
          <w:sz w:val="28"/>
          <w:szCs w:val="28"/>
        </w:rPr>
        <w:t>参选文件存在重大偏差的。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w:t>
      </w:r>
      <w:r>
        <w:rPr>
          <w:rFonts w:hint="eastAsia" w:asciiTheme="minorEastAsia" w:hAnsiTheme="minorEastAsia" w:eastAsiaTheme="minorEastAsia"/>
          <w:color w:val="000000"/>
          <w:sz w:val="28"/>
          <w:szCs w:val="28"/>
          <w:lang w:val="en-US" w:eastAsia="zh-CN"/>
        </w:rPr>
        <w:t>3</w:t>
      </w:r>
      <w:r>
        <w:rPr>
          <w:rFonts w:hint="eastAsia" w:asciiTheme="minorEastAsia" w:hAnsiTheme="minorEastAsia" w:eastAsiaTheme="minorEastAsia"/>
          <w:color w:val="000000"/>
          <w:sz w:val="28"/>
          <w:szCs w:val="28"/>
        </w:rPr>
        <w:t>未按规定格式要求编制参选文件的。</w:t>
      </w:r>
    </w:p>
    <w:p>
      <w:pPr>
        <w:spacing w:line="360" w:lineRule="auto"/>
        <w:ind w:firstLine="560" w:firstLineChars="200"/>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w:t>
      </w:r>
      <w:r>
        <w:rPr>
          <w:rFonts w:hint="eastAsia" w:asciiTheme="minorEastAsia" w:hAnsiTheme="minorEastAsia" w:eastAsiaTheme="minorEastAsia"/>
          <w:color w:val="000000"/>
          <w:sz w:val="28"/>
          <w:szCs w:val="28"/>
          <w:lang w:val="en-US" w:eastAsia="zh-CN"/>
        </w:rPr>
        <w:t>4</w:t>
      </w:r>
      <w:r>
        <w:rPr>
          <w:rFonts w:hint="eastAsia" w:asciiTheme="minorEastAsia" w:hAnsiTheme="minorEastAsia" w:eastAsiaTheme="minorEastAsia"/>
          <w:color w:val="000000"/>
          <w:sz w:val="28"/>
          <w:szCs w:val="28"/>
        </w:rPr>
        <w:t>违反规定影响开选评选工作或采取其他方式对比选人施加影响的。</w:t>
      </w:r>
    </w:p>
    <w:p>
      <w:pPr>
        <w:spacing w:line="360" w:lineRule="auto"/>
        <w:ind w:firstLine="560" w:firstLineChars="200"/>
        <w:rPr>
          <w:rFonts w:hint="eastAsia" w:asciiTheme="minorEastAsia" w:hAnsiTheme="minorEastAsia" w:eastAsiaTheme="minorEastAsia"/>
          <w:color w:val="000000"/>
          <w:sz w:val="28"/>
          <w:szCs w:val="28"/>
        </w:rPr>
      </w:pPr>
    </w:p>
    <w:p>
      <w:pPr>
        <w:spacing w:line="360" w:lineRule="auto"/>
        <w:ind w:firstLine="560" w:firstLineChars="200"/>
        <w:rPr>
          <w:rFonts w:hint="eastAsia" w:asciiTheme="minorEastAsia" w:hAnsiTheme="minorEastAsia" w:eastAsiaTheme="minorEastAsia"/>
          <w:color w:val="000000"/>
          <w:sz w:val="28"/>
          <w:szCs w:val="28"/>
        </w:rPr>
      </w:pPr>
    </w:p>
    <w:p>
      <w:pPr>
        <w:jc w:val="center"/>
        <w:rPr>
          <w:rFonts w:cs="宋体" w:asciiTheme="minorEastAsia" w:hAnsiTheme="minorEastAsia" w:eastAsiaTheme="minorEastAsia"/>
          <w:b/>
          <w:color w:val="000000"/>
          <w:sz w:val="32"/>
          <w:szCs w:val="32"/>
        </w:rPr>
      </w:pPr>
      <w:r>
        <w:rPr>
          <w:rFonts w:hint="eastAsia" w:cs="宋体" w:asciiTheme="minorEastAsia" w:hAnsiTheme="minorEastAsia" w:eastAsiaTheme="minorEastAsia"/>
          <w:b/>
          <w:color w:val="000000"/>
          <w:sz w:val="32"/>
          <w:szCs w:val="32"/>
        </w:rPr>
        <w:t>第五章   参选人选定</w:t>
      </w:r>
    </w:p>
    <w:p>
      <w:pPr>
        <w:widowControl/>
        <w:spacing w:line="500" w:lineRule="exact"/>
        <w:ind w:firstLine="536" w:firstLineChars="200"/>
        <w:jc w:val="left"/>
        <w:rPr>
          <w:rFonts w:asciiTheme="minorEastAsia" w:hAnsiTheme="minorEastAsia" w:eastAsiaTheme="minorEastAsia"/>
          <w:sz w:val="28"/>
          <w:szCs w:val="28"/>
        </w:rPr>
      </w:pPr>
      <w:r>
        <w:rPr>
          <w:rFonts w:hint="eastAsia" w:asciiTheme="minorEastAsia" w:hAnsiTheme="minorEastAsia" w:eastAsiaTheme="minorEastAsia"/>
          <w:spacing w:val="-6"/>
          <w:sz w:val="28"/>
          <w:szCs w:val="28"/>
        </w:rPr>
        <w:t>1、</w:t>
      </w:r>
      <w:r>
        <w:rPr>
          <w:rFonts w:hint="eastAsia" w:asciiTheme="minorEastAsia" w:hAnsiTheme="minorEastAsia" w:eastAsiaTheme="minorEastAsia"/>
          <w:sz w:val="28"/>
          <w:szCs w:val="28"/>
        </w:rPr>
        <w:t>比选人将在投标截至日期后另行组织比选会，参选人选定工作在比选人有关部门监督下，由比选人依法组建的招投标小组负责。</w:t>
      </w:r>
    </w:p>
    <w:p>
      <w:pPr>
        <w:widowControl/>
        <w:spacing w:line="500" w:lineRule="exact"/>
        <w:ind w:firstLine="536" w:firstLineChars="200"/>
        <w:jc w:val="left"/>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2、 比选人会根据报价为主，其他综合资质条件为辅选定中选人。</w:t>
      </w:r>
    </w:p>
    <w:p>
      <w:pPr>
        <w:widowControl/>
        <w:spacing w:line="500" w:lineRule="exact"/>
        <w:ind w:firstLine="536" w:firstLineChars="200"/>
        <w:jc w:val="left"/>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3、 参选</w:t>
      </w:r>
      <w:r>
        <w:rPr>
          <w:rFonts w:asciiTheme="minorEastAsia" w:hAnsiTheme="minorEastAsia" w:eastAsiaTheme="minorEastAsia"/>
          <w:spacing w:val="-6"/>
          <w:sz w:val="28"/>
          <w:szCs w:val="28"/>
        </w:rPr>
        <w:t>人</w:t>
      </w:r>
      <w:r>
        <w:rPr>
          <w:rFonts w:hint="eastAsia" w:asciiTheme="minorEastAsia" w:hAnsiTheme="minorEastAsia" w:eastAsiaTheme="minorEastAsia"/>
          <w:spacing w:val="-6"/>
          <w:sz w:val="28"/>
          <w:szCs w:val="28"/>
        </w:rPr>
        <w:t>串标、</w:t>
      </w:r>
      <w:r>
        <w:rPr>
          <w:rFonts w:asciiTheme="minorEastAsia" w:hAnsiTheme="minorEastAsia" w:eastAsiaTheme="minorEastAsia"/>
          <w:spacing w:val="-6"/>
          <w:sz w:val="28"/>
          <w:szCs w:val="28"/>
        </w:rPr>
        <w:t>相互勾结故意压低标价以排挤竞争对手的公平竞争的，其竞买无效。 </w:t>
      </w:r>
    </w:p>
    <w:p>
      <w:pPr>
        <w:widowControl/>
        <w:spacing w:line="500" w:lineRule="exact"/>
        <w:jc w:val="left"/>
        <w:rPr>
          <w:rFonts w:asciiTheme="minorEastAsia" w:hAnsiTheme="minorEastAsia" w:eastAsiaTheme="minorEastAsia"/>
          <w:spacing w:val="-6"/>
          <w:sz w:val="28"/>
          <w:szCs w:val="28"/>
        </w:rPr>
      </w:pPr>
    </w:p>
    <w:p>
      <w:pPr>
        <w:widowControl/>
        <w:spacing w:line="500" w:lineRule="exact"/>
        <w:jc w:val="left"/>
        <w:rPr>
          <w:rFonts w:asciiTheme="minorEastAsia" w:hAnsiTheme="minorEastAsia" w:eastAsiaTheme="minorEastAsia"/>
          <w:spacing w:val="-6"/>
          <w:sz w:val="28"/>
          <w:szCs w:val="28"/>
        </w:rPr>
      </w:pPr>
    </w:p>
    <w:p>
      <w:pPr>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第六章   合同授予</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1、比选人将把合同授予中选人；在授予前，仍需进行资格审查。 </w:t>
      </w:r>
    </w:p>
    <w:p>
      <w:pPr>
        <w:snapToGrid w:val="0"/>
        <w:spacing w:line="360" w:lineRule="auto"/>
        <w:ind w:firstLine="560" w:firstLineChars="200"/>
        <w:rPr>
          <w:rFonts w:ascii="宋体" w:hAnsi="宋体"/>
          <w:sz w:val="28"/>
          <w:szCs w:val="28"/>
        </w:rPr>
      </w:pPr>
      <w:r>
        <w:rPr>
          <w:rFonts w:hint="eastAsia" w:ascii="宋体" w:hAnsi="宋体"/>
          <w:sz w:val="28"/>
          <w:szCs w:val="28"/>
        </w:rPr>
        <w:t>2、中选人确定后，比选将通知中选人，并将中选结果口头或电话通知所有未中选的参选人。</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3、中选通知对比选人和参选人具有法律效力。中选单位需在比选人通知中选后</w:t>
      </w:r>
      <w:r>
        <w:rPr>
          <w:rFonts w:hint="eastAsia" w:asciiTheme="minorEastAsia" w:hAnsiTheme="minorEastAsia" w:eastAsiaTheme="minorEastAsia"/>
          <w:sz w:val="28"/>
          <w:szCs w:val="28"/>
          <w:lang w:val="en-US" w:eastAsia="zh-CN"/>
        </w:rPr>
        <w:t>5</w:t>
      </w:r>
      <w:bookmarkStart w:id="0" w:name="_GoBack"/>
      <w:bookmarkEnd w:id="0"/>
      <w:r>
        <w:rPr>
          <w:rFonts w:hint="eastAsia" w:asciiTheme="minorEastAsia" w:hAnsiTheme="minorEastAsia" w:eastAsiaTheme="minorEastAsia"/>
          <w:sz w:val="28"/>
          <w:szCs w:val="28"/>
        </w:rPr>
        <w:t>个工作日内与比选人签订合同。若因中选单位原因未在规定的时间和地点与比选人签署合同，比选人</w:t>
      </w:r>
      <w:r>
        <w:rPr>
          <w:rFonts w:asciiTheme="minorEastAsia" w:hAnsiTheme="minorEastAsia" w:eastAsiaTheme="minorEastAsia"/>
          <w:sz w:val="28"/>
          <w:szCs w:val="28"/>
        </w:rPr>
        <w:t>有权单方取消</w:t>
      </w:r>
      <w:r>
        <w:rPr>
          <w:rFonts w:hint="eastAsia" w:asciiTheme="minorEastAsia" w:hAnsiTheme="minorEastAsia" w:eastAsiaTheme="minorEastAsia"/>
          <w:sz w:val="28"/>
          <w:szCs w:val="28"/>
        </w:rPr>
        <w:t>中选单位的</w:t>
      </w:r>
      <w:r>
        <w:rPr>
          <w:rFonts w:asciiTheme="minorEastAsia" w:hAnsiTheme="minorEastAsia" w:eastAsiaTheme="minorEastAsia"/>
          <w:sz w:val="28"/>
          <w:szCs w:val="28"/>
        </w:rPr>
        <w:t>资格</w:t>
      </w:r>
      <w:r>
        <w:rPr>
          <w:rFonts w:hint="eastAsia" w:asciiTheme="minorEastAsia" w:hAnsiTheme="minorEastAsia" w:eastAsiaTheme="minorEastAsia"/>
          <w:sz w:val="28"/>
          <w:szCs w:val="28"/>
        </w:rPr>
        <w:t>。</w:t>
      </w:r>
      <w:r>
        <w:rPr>
          <w:rFonts w:asciiTheme="minorEastAsia" w:hAnsiTheme="minorEastAsia" w:eastAsiaTheme="minorEastAsia"/>
          <w:sz w:val="28"/>
          <w:szCs w:val="28"/>
        </w:rPr>
        <w:t>同时</w:t>
      </w:r>
      <w:r>
        <w:rPr>
          <w:rFonts w:hint="eastAsia" w:asciiTheme="minorEastAsia" w:hAnsiTheme="minorEastAsia" w:eastAsiaTheme="minorEastAsia"/>
          <w:sz w:val="28"/>
          <w:szCs w:val="28"/>
        </w:rPr>
        <w:t>，由此给比选人造成的损失，比选人有权追究中选单位的全部责任。</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4、中选人必须履行中选价格，执行合同过程中不得变动价格，如出现上述情况，将取消参选人三年内在比选人的业务中的参选资格，由此给比选人造成的损失，比选人有权追究中标单位的全部责任。</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5、比选文件与合同附件作为签定合同的条款，比选文件合同条款中没有规定的内容，比选人、参选人认为有必要进行补充，可另行商定解决。 </w:t>
      </w:r>
    </w:p>
    <w:p>
      <w:pPr>
        <w:snapToGrid w:val="0"/>
        <w:spacing w:line="36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6、参选人中选后提供的货物如不满足要求，比选人有权拒绝履行合同。</w:t>
      </w:r>
    </w:p>
    <w:p>
      <w:pPr>
        <w:jc w:val="left"/>
        <w:rPr>
          <w:rFonts w:cs="宋体" w:asciiTheme="minorEastAsia" w:hAnsiTheme="minorEastAsia" w:eastAsiaTheme="minorEastAsia"/>
          <w:sz w:val="32"/>
          <w:szCs w:val="32"/>
        </w:rPr>
      </w:pPr>
    </w:p>
    <w:p>
      <w:pPr>
        <w:tabs>
          <w:tab w:val="left" w:pos="1260"/>
          <w:tab w:val="left" w:pos="1800"/>
        </w:tabs>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第七章   中选后相关履约要求</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1、服从比选的管理规定，不得影响甲方的生产运行，由此给比选人造成的损失，比选有权追究中选单位的全部责任。</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2、中选人必须严格执行《</w:t>
      </w:r>
      <w:r>
        <w:rPr>
          <w:rFonts w:hint="eastAsia" w:asciiTheme="minorEastAsia" w:hAnsiTheme="minorEastAsia" w:eastAsiaTheme="minorEastAsia"/>
          <w:sz w:val="28"/>
          <w:szCs w:val="28"/>
          <w:lang w:eastAsia="zh-CN"/>
        </w:rPr>
        <w:t>福建省石油化学工业设计院</w:t>
      </w:r>
      <w:r>
        <w:rPr>
          <w:rFonts w:hint="eastAsia" w:asciiTheme="minorEastAsia" w:hAnsiTheme="minorEastAsia" w:eastAsiaTheme="minorEastAsia"/>
          <w:sz w:val="28"/>
          <w:szCs w:val="28"/>
          <w:lang w:val="en-US" w:eastAsia="zh-CN"/>
        </w:rPr>
        <w:t>会议室线路改造及音频扩声仪器采购项目</w:t>
      </w:r>
      <w:r>
        <w:rPr>
          <w:rFonts w:hint="eastAsia" w:asciiTheme="minorEastAsia" w:hAnsiTheme="minorEastAsia" w:eastAsiaTheme="minorEastAsia"/>
          <w:sz w:val="28"/>
          <w:szCs w:val="28"/>
        </w:rPr>
        <w:t>》的自主比选规定。</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3、中选人需遵守甲方的各项管理规章制度。如触犯相关条例者则按</w:t>
      </w:r>
      <w:r>
        <w:rPr>
          <w:rFonts w:hint="eastAsia" w:asciiTheme="minorEastAsia" w:hAnsiTheme="minorEastAsia" w:eastAsiaTheme="minorEastAsia"/>
          <w:sz w:val="28"/>
          <w:szCs w:val="28"/>
          <w:lang w:eastAsia="zh-CN"/>
        </w:rPr>
        <w:t>福建省石油化学工业设计院</w:t>
      </w:r>
      <w:r>
        <w:rPr>
          <w:rFonts w:hint="eastAsia" w:asciiTheme="minorEastAsia" w:hAnsiTheme="minorEastAsia" w:eastAsiaTheme="minorEastAsia"/>
          <w:sz w:val="28"/>
          <w:szCs w:val="28"/>
        </w:rPr>
        <w:t>相应处罚条款进行处罚。</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4、严禁中选单位任何形式的业务转包、分包，一经发现甲方将取消乙方的合同资格。</w:t>
      </w:r>
    </w:p>
    <w:p>
      <w:pPr>
        <w:snapToGrid w:val="0"/>
        <w:spacing w:line="360" w:lineRule="auto"/>
        <w:ind w:firstLine="560" w:firstLineChars="200"/>
        <w:rPr>
          <w:rFonts w:asciiTheme="minorEastAsia" w:hAnsiTheme="minorEastAsia" w:eastAsiaTheme="minorEastAsia"/>
          <w:sz w:val="28"/>
          <w:szCs w:val="28"/>
        </w:rPr>
      </w:pPr>
    </w:p>
    <w:p>
      <w:pPr>
        <w:snapToGrid w:val="0"/>
        <w:spacing w:line="360" w:lineRule="auto"/>
        <w:ind w:firstLine="560" w:firstLineChars="200"/>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p>
    <w:p>
      <w:pPr>
        <w:tabs>
          <w:tab w:val="left" w:pos="1260"/>
          <w:tab w:val="left" w:pos="1800"/>
        </w:tabs>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第八章   其它</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1、参选人的参选文件无论其是否中选，均不退回。</w:t>
      </w:r>
    </w:p>
    <w:p>
      <w:pPr>
        <w:snapToGrid w:val="0"/>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、比选人郑重承诺：参选人所提交的参选文件及相关资料不向第三方泄露。</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3、本比选文件的解释权归</w:t>
      </w:r>
      <w:r>
        <w:rPr>
          <w:rFonts w:hint="eastAsia" w:asciiTheme="minorEastAsia" w:hAnsiTheme="minorEastAsia" w:eastAsiaTheme="minorEastAsia"/>
          <w:sz w:val="28"/>
          <w:szCs w:val="28"/>
          <w:lang w:eastAsia="zh-CN"/>
        </w:rPr>
        <w:t>福建省石油化学工业设计院</w:t>
      </w:r>
      <w:r>
        <w:rPr>
          <w:rFonts w:hint="eastAsia" w:asciiTheme="minorEastAsia" w:hAnsiTheme="minorEastAsia" w:eastAsiaTheme="minorEastAsia"/>
          <w:sz w:val="28"/>
          <w:szCs w:val="28"/>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baseline"/>
        <w:outlineLvl w:val="9"/>
        <w:rPr>
          <w:rFonts w:hint="eastAsia" w:cs="Times New Roman" w:asciiTheme="minorEastAsia" w:hAnsiTheme="minorEastAsia" w:eastAsiaTheme="minorEastAsia"/>
          <w:kern w:val="0"/>
          <w:sz w:val="28"/>
          <w:szCs w:val="28"/>
          <w:lang w:val="en-US" w:eastAsia="zh-CN" w:bidi="ar-SA"/>
        </w:rPr>
      </w:pPr>
      <w:r>
        <w:rPr>
          <w:rFonts w:hint="eastAsia" w:cs="Times New Roman" w:asciiTheme="minorEastAsia" w:hAnsiTheme="minorEastAsia" w:eastAsiaTheme="minorEastAsia"/>
          <w:kern w:val="0"/>
          <w:sz w:val="28"/>
          <w:szCs w:val="28"/>
          <w:lang w:val="en-US" w:eastAsia="zh-CN" w:bidi="ar-SA"/>
        </w:rPr>
        <w:t>4、 联系人：王小姐，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1120" w:firstLineChars="400"/>
        <w:jc w:val="both"/>
        <w:textAlignment w:val="baseline"/>
        <w:outlineLvl w:val="9"/>
        <w:rPr>
          <w:rFonts w:hint="eastAsia" w:cs="Times New Roman" w:asciiTheme="minorEastAsia" w:hAnsiTheme="minorEastAsia" w:eastAsiaTheme="minorEastAsia"/>
          <w:kern w:val="0"/>
          <w:sz w:val="28"/>
          <w:szCs w:val="28"/>
          <w:lang w:val="en-US" w:eastAsia="zh-CN" w:bidi="ar-SA"/>
        </w:rPr>
      </w:pPr>
      <w:r>
        <w:rPr>
          <w:rFonts w:hint="eastAsia" w:cs="Times New Roman" w:asciiTheme="minorEastAsia" w:hAnsiTheme="minorEastAsia" w:eastAsiaTheme="minorEastAsia"/>
          <w:kern w:val="0"/>
          <w:sz w:val="28"/>
          <w:szCs w:val="28"/>
          <w:lang w:val="en-US" w:eastAsia="zh-CN" w:bidi="ar-SA"/>
        </w:rPr>
        <w:t>联系电话：0591-87519994</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1120" w:firstLineChars="400"/>
        <w:jc w:val="both"/>
        <w:textAlignment w:val="baseline"/>
        <w:outlineLvl w:val="9"/>
        <w:rPr>
          <w:rFonts w:hint="eastAsia" w:cs="Times New Roman" w:asciiTheme="minorEastAsia" w:hAnsiTheme="minorEastAsia" w:eastAsiaTheme="minorEastAsia"/>
          <w:kern w:val="0"/>
          <w:sz w:val="28"/>
          <w:szCs w:val="28"/>
          <w:lang w:val="en-US" w:eastAsia="zh-CN" w:bidi="ar-SA"/>
        </w:rPr>
      </w:pPr>
      <w:r>
        <w:rPr>
          <w:rFonts w:hint="eastAsia" w:cs="Times New Roman" w:asciiTheme="minorEastAsia" w:hAnsiTheme="minorEastAsia" w:eastAsiaTheme="minorEastAsia"/>
          <w:kern w:val="0"/>
          <w:sz w:val="28"/>
          <w:szCs w:val="28"/>
          <w:lang w:val="en-US" w:eastAsia="zh-CN" w:bidi="ar-SA"/>
        </w:rPr>
        <w:t>联系地址：福建省福州市鼓楼区东大路117号7号楼309</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firstLine="1120" w:firstLineChars="400"/>
        <w:jc w:val="both"/>
        <w:textAlignment w:val="baseline"/>
        <w:rPr>
          <w:rFonts w:hint="eastAsia" w:cs="Times New Roman" w:asciiTheme="minorEastAsia" w:hAnsiTheme="minorEastAsia" w:eastAsiaTheme="minorEastAsia"/>
          <w:kern w:val="0"/>
          <w:sz w:val="28"/>
          <w:szCs w:val="28"/>
          <w:lang w:val="en-US" w:eastAsia="zh-CN" w:bidi="ar-SA"/>
        </w:rPr>
      </w:pPr>
      <w:r>
        <w:rPr>
          <w:rFonts w:hint="eastAsia" w:cs="Times New Roman" w:asciiTheme="minorEastAsia" w:hAnsiTheme="minorEastAsia" w:eastAsiaTheme="minorEastAsia"/>
          <w:kern w:val="0"/>
          <w:sz w:val="28"/>
          <w:szCs w:val="28"/>
          <w:lang w:val="en-US" w:eastAsia="zh-CN" w:bidi="ar-SA"/>
        </w:rPr>
        <w:t>邮编：350001</w:t>
      </w:r>
    </w:p>
    <w:p>
      <w:pPr>
        <w:spacing w:line="360" w:lineRule="auto"/>
        <w:ind w:firstLine="560" w:firstLineChars="200"/>
        <w:rPr>
          <w:rFonts w:asciiTheme="minorEastAsia" w:hAnsiTheme="minorEastAsia" w:eastAsiaTheme="minorEastAsia"/>
          <w:sz w:val="28"/>
          <w:szCs w:val="28"/>
        </w:rPr>
      </w:pPr>
    </w:p>
    <w:p>
      <w:pPr>
        <w:ind w:firstLine="720" w:firstLineChars="225"/>
        <w:jc w:val="left"/>
        <w:rPr>
          <w:rFonts w:cs="宋体" w:asciiTheme="minorEastAsia" w:hAnsiTheme="minorEastAsia" w:eastAsiaTheme="minorEastAsia"/>
          <w:sz w:val="32"/>
          <w:szCs w:val="32"/>
        </w:rPr>
      </w:pPr>
    </w:p>
    <w:p>
      <w:pPr>
        <w:rPr>
          <w:rFonts w:cs="宋体" w:asciiTheme="minorEastAsia" w:hAnsiTheme="minorEastAsia" w:eastAsiaTheme="minorEastAsia"/>
          <w:sz w:val="32"/>
          <w:szCs w:val="32"/>
        </w:rPr>
      </w:pPr>
    </w:p>
    <w:p>
      <w:pPr>
        <w:rPr>
          <w:rFonts w:cs="宋体" w:asciiTheme="minorEastAsia" w:hAnsiTheme="minorEastAsia" w:eastAsiaTheme="minorEastAsia"/>
          <w:sz w:val="32"/>
          <w:szCs w:val="32"/>
        </w:rPr>
      </w:pPr>
    </w:p>
    <w:p>
      <w:pPr>
        <w:rPr>
          <w:rFonts w:cs="宋体" w:asciiTheme="minorEastAsia" w:hAnsiTheme="minorEastAsia" w:eastAsiaTheme="minorEastAsia"/>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1120" w:firstLineChars="400"/>
        <w:jc w:val="center"/>
        <w:textAlignment w:val="baseline"/>
        <w:outlineLvl w:val="9"/>
        <w:rPr>
          <w:rFonts w:hint="eastAsia" w:cs="Times New Roman" w:asciiTheme="minorEastAsia" w:hAnsiTheme="minorEastAsia" w:eastAsiaTheme="minorEastAsia"/>
          <w:kern w:val="0"/>
          <w:sz w:val="28"/>
          <w:szCs w:val="28"/>
          <w:lang w:val="en-US" w:eastAsia="zh-CN" w:bidi="ar-SA"/>
        </w:rPr>
      </w:pPr>
      <w:r>
        <w:rPr>
          <w:rFonts w:hint="eastAsia" w:cs="Times New Roman" w:asciiTheme="minorEastAsia" w:hAnsiTheme="minorEastAsia" w:eastAsiaTheme="minorEastAsia"/>
          <w:kern w:val="0"/>
          <w:sz w:val="28"/>
          <w:szCs w:val="28"/>
          <w:lang w:val="en-US" w:eastAsia="zh-CN" w:bidi="ar-SA"/>
        </w:rPr>
        <w:t xml:space="preserve">                      福建省石油化学工业设计院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1120" w:firstLineChars="400"/>
        <w:jc w:val="center"/>
        <w:textAlignment w:val="baseline"/>
        <w:outlineLvl w:val="9"/>
        <w:rPr>
          <w:rFonts w:hint="eastAsia" w:cs="Times New Roman" w:asciiTheme="minorEastAsia" w:hAnsiTheme="minorEastAsia" w:eastAsiaTheme="minorEastAsia"/>
          <w:kern w:val="0"/>
          <w:sz w:val="28"/>
          <w:szCs w:val="28"/>
          <w:lang w:val="en-US" w:eastAsia="zh-CN" w:bidi="ar-SA"/>
        </w:rPr>
      </w:pPr>
      <w:r>
        <w:rPr>
          <w:rFonts w:hint="eastAsia" w:cs="Times New Roman" w:asciiTheme="minorEastAsia" w:hAnsiTheme="minorEastAsia" w:eastAsiaTheme="minorEastAsia"/>
          <w:kern w:val="0"/>
          <w:sz w:val="28"/>
          <w:szCs w:val="28"/>
          <w:lang w:val="en-US" w:eastAsia="zh-CN" w:bidi="ar-SA"/>
        </w:rPr>
        <w:t xml:space="preserve">                      2019年10月30日</w:t>
      </w:r>
    </w:p>
    <w:p>
      <w:pPr>
        <w:jc w:val="right"/>
        <w:rPr>
          <w:rFonts w:cs="宋体" w:asciiTheme="minorEastAsia" w:hAnsiTheme="minorEastAsia" w:eastAsiaTheme="minorEastAsia"/>
          <w:sz w:val="32"/>
          <w:szCs w:val="32"/>
        </w:rPr>
      </w:pPr>
    </w:p>
    <w:p>
      <w:pPr>
        <w:rPr>
          <w:rFonts w:cs="宋体" w:asciiTheme="minorEastAsia" w:hAnsiTheme="minorEastAsia" w:eastAsiaTheme="minorEastAsia"/>
          <w:sz w:val="32"/>
          <w:szCs w:val="32"/>
        </w:rPr>
      </w:pPr>
    </w:p>
    <w:p>
      <w:pPr>
        <w:rPr>
          <w:rFonts w:cs="宋体" w:asciiTheme="minorEastAsia" w:hAnsiTheme="minorEastAsia" w:eastAsiaTheme="minorEastAsia"/>
          <w:sz w:val="32"/>
          <w:szCs w:val="32"/>
        </w:rPr>
      </w:pPr>
    </w:p>
    <w:p>
      <w:pPr>
        <w:rPr>
          <w:rFonts w:cs="宋体" w:asciiTheme="minorEastAsia" w:hAnsiTheme="minorEastAsia" w:eastAsiaTheme="minorEastAsia"/>
          <w:sz w:val="32"/>
          <w:szCs w:val="32"/>
        </w:rPr>
      </w:pPr>
    </w:p>
    <w:p>
      <w:pPr>
        <w:rPr>
          <w:rFonts w:cs="宋体" w:asciiTheme="minorEastAsia" w:hAnsiTheme="minorEastAsia" w:eastAsiaTheme="minorEastAsia"/>
          <w:sz w:val="32"/>
          <w:szCs w:val="32"/>
        </w:rPr>
      </w:pPr>
    </w:p>
    <w:p>
      <w:pPr>
        <w:rPr>
          <w:rFonts w:cs="宋体" w:asciiTheme="minorEastAsia" w:hAnsiTheme="minorEastAsia" w:eastAsiaTheme="minorEastAsia"/>
          <w:sz w:val="32"/>
          <w:szCs w:val="32"/>
        </w:rPr>
      </w:pPr>
    </w:p>
    <w:p>
      <w:pPr>
        <w:rPr>
          <w:rFonts w:cs="宋体" w:asciiTheme="minorEastAsia" w:hAnsiTheme="minorEastAsia" w:eastAsiaTheme="minorEastAsia"/>
          <w:sz w:val="32"/>
          <w:szCs w:val="32"/>
        </w:rPr>
      </w:pPr>
    </w:p>
    <w:p>
      <w:pPr>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附件一：参选报价表</w:t>
      </w:r>
    </w:p>
    <w:p>
      <w:pPr>
        <w:jc w:val="center"/>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eastAsia="zh-CN"/>
        </w:rPr>
        <w:t>福建省石油化学工业设计院</w:t>
      </w:r>
      <w:r>
        <w:rPr>
          <w:rFonts w:hint="eastAsia" w:asciiTheme="minorEastAsia" w:hAnsiTheme="minorEastAsia" w:eastAsiaTheme="minorEastAsia"/>
          <w:sz w:val="28"/>
          <w:szCs w:val="28"/>
          <w:lang w:val="en-US" w:eastAsia="zh-CN"/>
        </w:rPr>
        <w:t>会议室线路改造及音频扩声仪器</w:t>
      </w:r>
    </w:p>
    <w:p>
      <w:pPr>
        <w:jc w:val="center"/>
        <w:rPr>
          <w:rFonts w:cs="宋体" w:asciiTheme="minorEastAsia" w:hAnsiTheme="minorEastAsia" w:eastAsiaTheme="minorEastAsia"/>
          <w:sz w:val="32"/>
          <w:szCs w:val="32"/>
        </w:rPr>
      </w:pPr>
      <w:r>
        <w:rPr>
          <w:rFonts w:hint="eastAsia" w:asciiTheme="minorEastAsia" w:hAnsiTheme="minorEastAsia" w:eastAsiaTheme="minorEastAsia"/>
          <w:sz w:val="28"/>
          <w:szCs w:val="28"/>
          <w:lang w:val="en-US" w:eastAsia="zh-CN"/>
        </w:rPr>
        <w:t>采购项目</w:t>
      </w:r>
      <w:r>
        <w:rPr>
          <w:rFonts w:hint="eastAsia" w:cs="宋体" w:asciiTheme="minorEastAsia" w:hAnsiTheme="minorEastAsia" w:eastAsiaTheme="minorEastAsia"/>
          <w:sz w:val="32"/>
          <w:szCs w:val="32"/>
        </w:rPr>
        <w:t>参选报价表</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福建省石油化学工业设计院</w:t>
      </w:r>
      <w:r>
        <w:rPr>
          <w:rFonts w:hint="eastAsia" w:asciiTheme="minorEastAsia" w:hAnsiTheme="minorEastAsia" w:eastAsiaTheme="minorEastAsia"/>
          <w:sz w:val="28"/>
          <w:szCs w:val="28"/>
        </w:rPr>
        <w:t>：</w:t>
      </w:r>
    </w:p>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贵公司</w:t>
      </w:r>
      <w:r>
        <w:rPr>
          <w:rFonts w:hint="eastAsia" w:asciiTheme="minorEastAsia" w:hAnsiTheme="minorEastAsia" w:eastAsiaTheme="minorEastAsia"/>
          <w:sz w:val="28"/>
          <w:szCs w:val="28"/>
          <w:lang w:val="en-US" w:eastAsia="zh-CN"/>
        </w:rPr>
        <w:t>会议室线路改造及音频扩声仪器采购项目</w:t>
      </w:r>
      <w:r>
        <w:rPr>
          <w:rFonts w:hint="eastAsia" w:asciiTheme="minorEastAsia" w:hAnsiTheme="minorEastAsia" w:eastAsiaTheme="minorEastAsia"/>
          <w:sz w:val="28"/>
          <w:szCs w:val="28"/>
        </w:rPr>
        <w:t>自主比选文件我公司已阅知并完全同意，承诺此次报价真实、有效。同时承诺，中选后认真履行中标义务，提供优质服务。现将本公司有关报价及说明如下：</w:t>
      </w:r>
    </w:p>
    <w:p>
      <w:pPr>
        <w:snapToGrid w:val="0"/>
        <w:spacing w:line="360" w:lineRule="auto"/>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一、</w:t>
      </w:r>
      <w:r>
        <w:rPr>
          <w:rFonts w:hint="eastAsia" w:asciiTheme="minorEastAsia" w:hAnsiTheme="minorEastAsia" w:eastAsiaTheme="minorEastAsia"/>
          <w:sz w:val="28"/>
          <w:szCs w:val="28"/>
          <w:lang w:eastAsia="zh-CN"/>
        </w:rPr>
        <w:t>福建省石油化学工业设计院</w:t>
      </w:r>
      <w:r>
        <w:rPr>
          <w:rFonts w:hint="eastAsia" w:asciiTheme="minorEastAsia" w:hAnsiTheme="minorEastAsia" w:eastAsiaTheme="minorEastAsia"/>
          <w:sz w:val="28"/>
          <w:szCs w:val="28"/>
          <w:lang w:val="en-US" w:eastAsia="zh-CN"/>
        </w:rPr>
        <w:t>会议室线路改造及音频扩声仪器采购项目</w:t>
      </w:r>
      <w:r>
        <w:rPr>
          <w:rFonts w:hint="eastAsia" w:asciiTheme="minorEastAsia" w:hAnsiTheme="minorEastAsia" w:eastAsiaTheme="minorEastAsia"/>
          <w:sz w:val="28"/>
          <w:szCs w:val="28"/>
        </w:rPr>
        <w:t>报价：</w:t>
      </w:r>
    </w:p>
    <w:tbl>
      <w:tblPr>
        <w:tblStyle w:val="15"/>
        <w:tblW w:w="88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64"/>
        <w:gridCol w:w="770"/>
        <w:gridCol w:w="935"/>
        <w:gridCol w:w="1731"/>
        <w:gridCol w:w="2153"/>
        <w:gridCol w:w="586"/>
        <w:gridCol w:w="525"/>
        <w:gridCol w:w="555"/>
        <w:gridCol w:w="570"/>
        <w:gridCol w:w="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464" w:type="dxa"/>
            <w:tcBorders>
              <w:left w:val="single" w:color="000000" w:sz="12"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等线" w:hAnsi="等线" w:eastAsia="等线" w:cs="等线"/>
                <w:b/>
                <w:i w:val="0"/>
                <w:color w:val="000000"/>
                <w:sz w:val="20"/>
                <w:szCs w:val="20"/>
                <w:u w:val="none"/>
              </w:rPr>
            </w:pPr>
            <w:r>
              <w:rPr>
                <w:rFonts w:hint="eastAsia" w:ascii="等线" w:hAnsi="等线" w:eastAsia="等线" w:cs="等线"/>
                <w:b/>
                <w:i w:val="0"/>
                <w:color w:val="000000"/>
                <w:kern w:val="0"/>
                <w:sz w:val="20"/>
                <w:szCs w:val="20"/>
                <w:u w:val="none"/>
                <w:lang w:val="en-US" w:eastAsia="zh-CN" w:bidi="ar"/>
              </w:rPr>
              <w:t>序号</w:t>
            </w:r>
          </w:p>
        </w:tc>
        <w:tc>
          <w:tcPr>
            <w:tcW w:w="770"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等线" w:hAnsi="等线" w:eastAsia="等线" w:cs="等线"/>
                <w:b/>
                <w:i w:val="0"/>
                <w:color w:val="000000"/>
                <w:sz w:val="20"/>
                <w:szCs w:val="20"/>
                <w:u w:val="none"/>
              </w:rPr>
            </w:pPr>
            <w:r>
              <w:rPr>
                <w:rFonts w:hint="eastAsia" w:ascii="等线" w:hAnsi="等线" w:eastAsia="等线" w:cs="等线"/>
                <w:b/>
                <w:i w:val="0"/>
                <w:color w:val="000000"/>
                <w:kern w:val="0"/>
                <w:sz w:val="20"/>
                <w:szCs w:val="20"/>
                <w:u w:val="none"/>
                <w:lang w:val="en-US" w:eastAsia="zh-CN" w:bidi="ar"/>
              </w:rPr>
              <w:t>名称</w:t>
            </w:r>
          </w:p>
        </w:tc>
        <w:tc>
          <w:tcPr>
            <w:tcW w:w="935"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等线" w:hAnsi="等线" w:eastAsia="等线" w:cs="等线"/>
                <w:b/>
                <w:i w:val="0"/>
                <w:color w:val="000000"/>
                <w:sz w:val="20"/>
                <w:szCs w:val="20"/>
                <w:u w:val="none"/>
              </w:rPr>
            </w:pPr>
            <w:r>
              <w:rPr>
                <w:rFonts w:hint="eastAsia" w:ascii="等线" w:hAnsi="等线" w:eastAsia="等线" w:cs="等线"/>
                <w:b/>
                <w:i w:val="0"/>
                <w:color w:val="000000"/>
                <w:kern w:val="0"/>
                <w:sz w:val="20"/>
                <w:szCs w:val="20"/>
                <w:u w:val="none"/>
                <w:lang w:val="en-US" w:eastAsia="zh-CN" w:bidi="ar"/>
              </w:rPr>
              <w:t>品牌</w:t>
            </w:r>
          </w:p>
        </w:tc>
        <w:tc>
          <w:tcPr>
            <w:tcW w:w="1731"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等线" w:hAnsi="等线" w:eastAsia="等线" w:cs="等线"/>
                <w:b/>
                <w:i w:val="0"/>
                <w:color w:val="000000"/>
                <w:sz w:val="20"/>
                <w:szCs w:val="20"/>
                <w:u w:val="none"/>
              </w:rPr>
            </w:pPr>
            <w:r>
              <w:rPr>
                <w:rFonts w:hint="eastAsia" w:ascii="等线" w:hAnsi="等线" w:eastAsia="等线" w:cs="等线"/>
                <w:b/>
                <w:i w:val="0"/>
                <w:color w:val="000000"/>
                <w:kern w:val="0"/>
                <w:sz w:val="20"/>
                <w:szCs w:val="20"/>
                <w:u w:val="none"/>
                <w:lang w:val="en-US" w:eastAsia="zh-CN" w:bidi="ar"/>
              </w:rPr>
              <w:t>型号</w:t>
            </w:r>
          </w:p>
        </w:tc>
        <w:tc>
          <w:tcPr>
            <w:tcW w:w="2153"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等线" w:hAnsi="等线" w:eastAsia="等线" w:cs="等线"/>
                <w:b/>
                <w:i w:val="0"/>
                <w:color w:val="000000"/>
                <w:sz w:val="20"/>
                <w:szCs w:val="20"/>
                <w:u w:val="none"/>
              </w:rPr>
            </w:pPr>
            <w:r>
              <w:rPr>
                <w:rFonts w:hint="eastAsia" w:ascii="等线" w:hAnsi="等线" w:eastAsia="等线" w:cs="等线"/>
                <w:b/>
                <w:i w:val="0"/>
                <w:color w:val="000000"/>
                <w:kern w:val="0"/>
                <w:sz w:val="20"/>
                <w:szCs w:val="20"/>
                <w:u w:val="none"/>
                <w:lang w:val="en-US" w:eastAsia="zh-CN" w:bidi="ar"/>
              </w:rPr>
              <w:t>参数</w:t>
            </w:r>
          </w:p>
        </w:tc>
        <w:tc>
          <w:tcPr>
            <w:tcW w:w="586"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等线" w:hAnsi="等线" w:eastAsia="等线" w:cs="等线"/>
                <w:b/>
                <w:i w:val="0"/>
                <w:color w:val="000000"/>
                <w:sz w:val="20"/>
                <w:szCs w:val="20"/>
                <w:u w:val="none"/>
              </w:rPr>
            </w:pPr>
            <w:r>
              <w:rPr>
                <w:rFonts w:hint="eastAsia" w:ascii="等线" w:hAnsi="等线" w:eastAsia="等线" w:cs="等线"/>
                <w:b/>
                <w:i w:val="0"/>
                <w:color w:val="000000"/>
                <w:kern w:val="0"/>
                <w:sz w:val="20"/>
                <w:szCs w:val="20"/>
                <w:u w:val="none"/>
                <w:lang w:val="en-US" w:eastAsia="zh-CN" w:bidi="ar"/>
              </w:rPr>
              <w:t>单位</w:t>
            </w:r>
          </w:p>
        </w:tc>
        <w:tc>
          <w:tcPr>
            <w:tcW w:w="525"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等线" w:hAnsi="等线" w:eastAsia="等线" w:cs="等线"/>
                <w:b/>
                <w:i w:val="0"/>
                <w:color w:val="000000"/>
                <w:sz w:val="20"/>
                <w:szCs w:val="20"/>
                <w:u w:val="none"/>
              </w:rPr>
            </w:pPr>
            <w:r>
              <w:rPr>
                <w:rFonts w:hint="eastAsia" w:ascii="等线" w:hAnsi="等线" w:eastAsia="等线" w:cs="等线"/>
                <w:b/>
                <w:i w:val="0"/>
                <w:color w:val="000000"/>
                <w:kern w:val="0"/>
                <w:sz w:val="20"/>
                <w:szCs w:val="20"/>
                <w:u w:val="none"/>
                <w:lang w:val="en-US" w:eastAsia="zh-CN" w:bidi="ar"/>
              </w:rPr>
              <w:t>数量</w:t>
            </w:r>
          </w:p>
        </w:tc>
        <w:tc>
          <w:tcPr>
            <w:tcW w:w="555"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等线" w:hAnsi="等线" w:eastAsia="等线" w:cs="等线"/>
                <w:b/>
                <w:i w:val="0"/>
                <w:color w:val="000000"/>
                <w:sz w:val="20"/>
                <w:szCs w:val="20"/>
                <w:u w:val="none"/>
              </w:rPr>
            </w:pPr>
            <w:r>
              <w:rPr>
                <w:rFonts w:hint="eastAsia" w:ascii="等线" w:hAnsi="等线" w:eastAsia="等线" w:cs="等线"/>
                <w:b/>
                <w:i w:val="0"/>
                <w:color w:val="000000"/>
                <w:kern w:val="0"/>
                <w:sz w:val="20"/>
                <w:szCs w:val="20"/>
                <w:u w:val="none"/>
                <w:lang w:val="en-US" w:eastAsia="zh-CN" w:bidi="ar"/>
              </w:rPr>
              <w:t>单价</w:t>
            </w:r>
          </w:p>
        </w:tc>
        <w:tc>
          <w:tcPr>
            <w:tcW w:w="570"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等线" w:hAnsi="等线" w:eastAsia="等线" w:cs="等线"/>
                <w:b/>
                <w:i w:val="0"/>
                <w:color w:val="000000"/>
                <w:sz w:val="20"/>
                <w:szCs w:val="20"/>
                <w:u w:val="none"/>
              </w:rPr>
            </w:pPr>
            <w:r>
              <w:rPr>
                <w:rFonts w:hint="eastAsia" w:ascii="等线" w:hAnsi="等线" w:eastAsia="等线" w:cs="等线"/>
                <w:b/>
                <w:i w:val="0"/>
                <w:color w:val="000000"/>
                <w:kern w:val="0"/>
                <w:sz w:val="20"/>
                <w:szCs w:val="20"/>
                <w:u w:val="none"/>
                <w:lang w:val="en-US" w:eastAsia="zh-CN" w:bidi="ar"/>
              </w:rPr>
              <w:t>合计</w:t>
            </w:r>
          </w:p>
        </w:tc>
        <w:tc>
          <w:tcPr>
            <w:tcW w:w="600" w:type="dxa"/>
            <w:tcBorders>
              <w:left w:val="single" w:color="000000" w:sz="4" w:space="0"/>
              <w:bottom w:val="single" w:color="000000" w:sz="4" w:space="0"/>
              <w:right w:val="single" w:color="000000" w:sz="12" w:space="0"/>
            </w:tcBorders>
            <w:shd w:val="clear" w:color="auto" w:fill="FFFFFF" w:themeFill="background1"/>
            <w:vAlign w:val="center"/>
          </w:tcPr>
          <w:p>
            <w:pPr>
              <w:keepNext w:val="0"/>
              <w:keepLines w:val="0"/>
              <w:widowControl/>
              <w:suppressLineNumbers w:val="0"/>
              <w:jc w:val="center"/>
              <w:textAlignment w:val="center"/>
              <w:rPr>
                <w:rFonts w:hint="eastAsia" w:ascii="等线" w:hAnsi="等线" w:eastAsia="等线" w:cs="等线"/>
                <w:b/>
                <w:i w:val="0"/>
                <w:color w:val="000000"/>
                <w:sz w:val="20"/>
                <w:szCs w:val="20"/>
                <w:u w:val="none"/>
              </w:rPr>
            </w:pPr>
            <w:r>
              <w:rPr>
                <w:rFonts w:hint="eastAsia" w:ascii="等线" w:hAnsi="等线" w:eastAsia="等线" w:cs="等线"/>
                <w:b/>
                <w:i w:val="0"/>
                <w:color w:val="000000"/>
                <w:kern w:val="0"/>
                <w:sz w:val="20"/>
                <w:szCs w:val="20"/>
                <w:u w:val="none"/>
                <w:lang w:val="en-US" w:eastAsia="zh-CN" w:bidi="ar"/>
              </w:rPr>
              <w:t>图片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8889" w:type="dxa"/>
            <w:gridSpan w:val="10"/>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一、音频扩声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61"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调音台</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BEHRINGER</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QX2442USB</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*10路话筒输入，加载精品XENYX话放，2路立体声输入</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*8路录音棚级压缩器，人声乐器一键压缩，快速便捷</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*超高品质英国KLARK TEKNIK效果处理器与LED显示屏，双参数可调，可存储用户参数。</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*支持百灵达高品质无线传输系统，支持两路2.4G无线话筒（话筒另购）</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*内置立体声USB音频接口，可以直接连接您的计算机进行录音。</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*经典英式4段均衡，高中低音可调</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*每段输入4个辅助发送</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*4编组配有独立的输出口增加了路由的灵活性</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*60毫米流线型推杆和密封式控制旋钮</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96"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12路数字自动混音器</w:t>
            </w:r>
            <w:r>
              <w:rPr>
                <w:rFonts w:hint="eastAsia" w:ascii="等线" w:hAnsi="等线" w:eastAsia="等线" w:cs="等线"/>
                <w:i w:val="0"/>
                <w:color w:val="000000"/>
                <w:kern w:val="0"/>
                <w:sz w:val="20"/>
                <w:szCs w:val="20"/>
                <w:u w:val="none"/>
                <w:lang w:val="en-US" w:eastAsia="zh-CN" w:bidi="ar"/>
              </w:rPr>
              <w:br w:type="textWrapping"/>
            </w:r>
            <w:r>
              <w:rPr>
                <w:rFonts w:hint="eastAsia" w:ascii="等线" w:hAnsi="等线" w:eastAsia="等线" w:cs="等线"/>
                <w:i w:val="0"/>
                <w:color w:val="000000"/>
                <w:kern w:val="0"/>
                <w:sz w:val="20"/>
                <w:szCs w:val="20"/>
                <w:u w:val="none"/>
                <w:lang w:val="en-US" w:eastAsia="zh-CN" w:bidi="ar"/>
              </w:rPr>
              <w:t>（可选配）</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Relacart</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DAM-124</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12路输入，4路输出的智能数字混音器；</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具备12路独立的输入工作通道，每通道可以单独调整输入增益；</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标准1U全金属机箱，铝面板；前面板清晰明亮的LED灯，时刻显示输入输出的音频动态讯息；带刻度指示的编码器控制四路MASTER输出音量，并且分别显示输出音量刻度、静音指示、失真指示、输出LINE/MIC指示；</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 xml:space="preserve">采用40 bit 浮点运算， 工作主频 &gt; 450MHz 的高速DSP芯片，搭配Relacart核心技术团队自主研发的数字音频自动混音算法，始终保持着展现出最真实声音的风格； </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支持8路麦克风输入通道附48V幻象供电；4路线性输入；独立的静音控制和幻象电源控制；每通道可设置优先选择、压限调节；4频段参量均衡器，频点、Q值、幅度可调；棚形滤波器设置，可消除频段中不必要的噪音；多阶分频斜率可调的高、低通滤波器，能展现出更好的瞬态响应；</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4路MASTER模拟输出；每路输出配备31段图示均衡，可根据需要任意调节，LINE/MIC输出电平切换；限幅器、啸叫抑制设置，极有效限制输出电平，给予保护下一级音频设备或扬声器；可按实际应用场合音箱之间的距离（0.5M～100M）选择相对应的声音输出延时参数；每路输出静音、音量独立控制；</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12路输入，4路输出的摸拟数字混合矩阵控制，适合更广泛的应用工程；</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 xml:space="preserve">自动声阀调节，能根据现场的环境噪声利用DSP数字算法的强大运算系统自动计算出最合适的阀门电平，适用于任何恶劣的会议环境；最后保持时间可调，保证您的会议更顺畅； </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支持静音及其他控制参数分组设置；会议场景模式保存，给类似的会场提供极便捷的调试方式；</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通过采用TCP/IP连接方式实现电脑上位机软件控制和I Pad软件远程控制设置各项参数值；</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RS-232接口，开放协议，实现多项控制；</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支持在线固件更新；</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支持NOM 多路话筒自动衰减值调整，最大打开话筒数量支持1~8；</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“Closed Threshold”可调的通道关闭衰减电平</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16"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数字音频处理器</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MOTIVITY</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DX26</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DX26为2路平衡输入、6路平衡输出；24bit sigma-delta转换器，96KHz采样率，32位DSP芯片处理；输入处理部分包含增益、静音、联调、高切、低切、参量均衡、相位、延时等处理单元。输出处理部分包含增益、静音、联调、分频、参量均衡、压限、相位、延时等处理单元。所有输入输出之间可以自由进行音频信号路由矩阵分配，并且输入输出通道名称可以更改。所有输入输出的参数可以联动调节，并且任意通道之间的参数可以自由复制，这两项设计可显著的提高操作人员的调试效率。延时模块具有高达682ms的延时能力，步距为0.021ms。</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面板输入输出均配有5段高精度电平指示LED，按键设计有背景指引LED，即使是在灯光昏暗的环境下，也不会影响您的正常操作。内置完善的信号发生器，系统检测更加方便。具有密码保护功能，您设置好的参数，可以安全的保存在处理器中，有效防止他人误操作。拥有32个用户预设，1个出厂模式，用户预设名称均可修改。整机参数和单个预设文件均可以单独存储和调用。可以通过USB或RS232端口控制。支持中英文PC操作软件，操作更加方便快捷。</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4</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鹅颈话筒</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SHURE</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CVG12RS-B/C-CHN</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12"  鵝頸式電容話筒，分離式前置，啞音開關 ，光環， 心形，黑色</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1"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16路电源时序器</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ABL</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1016</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最大输入电流：80A;单路最大输出电流：30A</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工作电压：220V/50-60Hz</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每一路功率：可达3000W</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输出电源插座：万用插座，符合欧美标准。1按钮控制2路，上下两路为1组，16个受控万用插，每一路开关间隔时间：1秒，每一路带开关指示灯，前端配置一个保险开关按钮电压显示表：数字显示电压表联机支持：是，（可支持8台设备同时联机使用）联机端口：卡隆插口</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受控功能：有，（每通道可以单独受控）其中每路按钮控制上下2通道，16个受控万用插</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网络交换机</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锐捷</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NB-2008d</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8端口</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7</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6类跳线</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北讯</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2"/>
                <w:szCs w:val="22"/>
                <w:u w:val="none"/>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7719" w:type="dxa"/>
            <w:gridSpan w:val="8"/>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音频扩声小计：</w:t>
            </w:r>
          </w:p>
        </w:tc>
        <w:tc>
          <w:tcPr>
            <w:tcW w:w="117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8889" w:type="dxa"/>
            <w:gridSpan w:val="10"/>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二、配件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话筒线</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秋叶原</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Q-149</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等线" w:hAnsi="等线" w:eastAsia="等线" w:cs="等线"/>
                <w:i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120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音频线</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国产</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2"/>
                <w:szCs w:val="22"/>
                <w:u w:val="none"/>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15米</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滑盖地插（弱电）</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 xml:space="preserve">STARET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AK500</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接口类型： 内嵌RJ45×2、卡农×2</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设备尺寸：W258×D132×H140.5mm</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开孔尺寸：W249×D119mm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4</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滑盖地插（强电）</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 xml:space="preserve">STARET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2"/>
                <w:szCs w:val="22"/>
                <w:u w:val="none"/>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等线" w:hAnsi="等线" w:eastAsia="等线" w:cs="等线"/>
                <w:i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墙面音频视频插座</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国产</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2"/>
                <w:szCs w:val="22"/>
                <w:u w:val="none"/>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HDMI*1+AV*1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HDMI高清切换器</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国产</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2"/>
                <w:szCs w:val="22"/>
                <w:u w:val="none"/>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4进1出</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7</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HDMI高清放大器</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国产</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2"/>
                <w:szCs w:val="22"/>
                <w:u w:val="none"/>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1进4出</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8</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六类网络信息点</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TCL</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2"/>
                <w:szCs w:val="22"/>
                <w:u w:val="none"/>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含线含模块</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6</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 xml:space="preserve"> HDMI线</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秋叶原</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Q-603H</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1.8米</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9</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 xml:space="preserve"> HDMI线</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秋叶原</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Q-604H</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3米</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11</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 xml:space="preserve"> HDMI线</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秋叶原</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Q-610H</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10米</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12</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投影机控制线</w:t>
            </w:r>
          </w:p>
        </w:tc>
        <w:tc>
          <w:tcPr>
            <w:tcW w:w="93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 xml:space="preserve"> 国产</w:t>
            </w:r>
          </w:p>
        </w:tc>
        <w:tc>
          <w:tcPr>
            <w:tcW w:w="1731"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2"/>
                <w:szCs w:val="22"/>
                <w:u w:val="none"/>
              </w:rPr>
            </w:pPr>
          </w:p>
        </w:tc>
        <w:tc>
          <w:tcPr>
            <w:tcW w:w="2153"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25米</w:t>
            </w:r>
          </w:p>
        </w:tc>
        <w:tc>
          <w:tcPr>
            <w:tcW w:w="58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条</w:t>
            </w:r>
          </w:p>
        </w:tc>
        <w:tc>
          <w:tcPr>
            <w:tcW w:w="52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w:t>
            </w:r>
          </w:p>
        </w:tc>
        <w:tc>
          <w:tcPr>
            <w:tcW w:w="555"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13</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视频摄像机落地三角支架</w:t>
            </w:r>
          </w:p>
        </w:tc>
        <w:tc>
          <w:tcPr>
            <w:tcW w:w="93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 xml:space="preserve"> 国产</w:t>
            </w:r>
          </w:p>
        </w:tc>
        <w:tc>
          <w:tcPr>
            <w:tcW w:w="1731"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2"/>
                <w:szCs w:val="22"/>
                <w:u w:val="none"/>
              </w:rPr>
            </w:pPr>
          </w:p>
        </w:tc>
        <w:tc>
          <w:tcPr>
            <w:tcW w:w="2153" w:type="dxa"/>
            <w:tcBorders>
              <w:top w:val="single" w:color="000000" w:sz="4" w:space="0"/>
              <w:bottom w:val="single" w:color="000000" w:sz="4" w:space="0"/>
              <w:right w:val="single" w:color="000000" w:sz="4" w:space="0"/>
            </w:tcBorders>
            <w:shd w:val="clear" w:color="auto" w:fill="auto"/>
            <w:vAlign w:val="center"/>
          </w:tcPr>
          <w:p>
            <w:pPr>
              <w:jc w:val="left"/>
              <w:rPr>
                <w:rFonts w:hint="eastAsia" w:ascii="等线" w:hAnsi="等线" w:eastAsia="等线" w:cs="等线"/>
                <w:i w:val="0"/>
                <w:color w:val="000000"/>
                <w:sz w:val="22"/>
                <w:szCs w:val="22"/>
                <w:u w:val="none"/>
              </w:rPr>
            </w:pPr>
          </w:p>
        </w:tc>
        <w:tc>
          <w:tcPr>
            <w:tcW w:w="58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个</w:t>
            </w:r>
          </w:p>
        </w:tc>
        <w:tc>
          <w:tcPr>
            <w:tcW w:w="52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w:t>
            </w:r>
          </w:p>
        </w:tc>
        <w:tc>
          <w:tcPr>
            <w:tcW w:w="555"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14</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HDMI高传输器</w:t>
            </w:r>
          </w:p>
        </w:tc>
        <w:tc>
          <w:tcPr>
            <w:tcW w:w="93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MOTIVITY</w:t>
            </w:r>
          </w:p>
        </w:tc>
        <w:tc>
          <w:tcPr>
            <w:tcW w:w="1731"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2"/>
                <w:szCs w:val="22"/>
                <w:u w:val="none"/>
              </w:rPr>
            </w:pPr>
          </w:p>
        </w:tc>
        <w:tc>
          <w:tcPr>
            <w:tcW w:w="2153"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70米高清网传</w:t>
            </w:r>
          </w:p>
        </w:tc>
        <w:tc>
          <w:tcPr>
            <w:tcW w:w="58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对</w:t>
            </w:r>
          </w:p>
        </w:tc>
        <w:tc>
          <w:tcPr>
            <w:tcW w:w="52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w:t>
            </w:r>
          </w:p>
        </w:tc>
        <w:tc>
          <w:tcPr>
            <w:tcW w:w="555"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网络机柜</w:t>
            </w:r>
          </w:p>
        </w:tc>
        <w:tc>
          <w:tcPr>
            <w:tcW w:w="93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鸿图</w:t>
            </w:r>
          </w:p>
        </w:tc>
        <w:tc>
          <w:tcPr>
            <w:tcW w:w="173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24U</w:t>
            </w:r>
          </w:p>
        </w:tc>
        <w:tc>
          <w:tcPr>
            <w:tcW w:w="2153"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600*600*1200</w:t>
            </w:r>
          </w:p>
        </w:tc>
        <w:tc>
          <w:tcPr>
            <w:tcW w:w="58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台</w:t>
            </w:r>
          </w:p>
        </w:tc>
        <w:tc>
          <w:tcPr>
            <w:tcW w:w="52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w:t>
            </w:r>
          </w:p>
        </w:tc>
        <w:tc>
          <w:tcPr>
            <w:tcW w:w="555"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16</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机柜层板</w:t>
            </w:r>
          </w:p>
        </w:tc>
        <w:tc>
          <w:tcPr>
            <w:tcW w:w="93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鸿图</w:t>
            </w:r>
          </w:p>
        </w:tc>
        <w:tc>
          <w:tcPr>
            <w:tcW w:w="173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1U</w:t>
            </w:r>
          </w:p>
        </w:tc>
        <w:tc>
          <w:tcPr>
            <w:tcW w:w="2153" w:type="dxa"/>
            <w:tcBorders>
              <w:top w:val="single" w:color="000000" w:sz="4" w:space="0"/>
              <w:bottom w:val="single" w:color="000000" w:sz="4" w:space="0"/>
              <w:right w:val="single" w:color="000000" w:sz="4" w:space="0"/>
            </w:tcBorders>
            <w:shd w:val="clear" w:color="auto" w:fill="auto"/>
            <w:vAlign w:val="center"/>
          </w:tcPr>
          <w:p>
            <w:pPr>
              <w:jc w:val="left"/>
              <w:rPr>
                <w:rFonts w:hint="eastAsia" w:ascii="等线" w:hAnsi="等线" w:eastAsia="等线" w:cs="等线"/>
                <w:i w:val="0"/>
                <w:color w:val="000000"/>
                <w:sz w:val="22"/>
                <w:szCs w:val="22"/>
                <w:u w:val="none"/>
              </w:rPr>
            </w:pPr>
          </w:p>
        </w:tc>
        <w:tc>
          <w:tcPr>
            <w:tcW w:w="58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块</w:t>
            </w:r>
          </w:p>
        </w:tc>
        <w:tc>
          <w:tcPr>
            <w:tcW w:w="52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2</w:t>
            </w:r>
          </w:p>
        </w:tc>
        <w:tc>
          <w:tcPr>
            <w:tcW w:w="555"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17</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理线架</w:t>
            </w:r>
          </w:p>
        </w:tc>
        <w:tc>
          <w:tcPr>
            <w:tcW w:w="93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北讯</w:t>
            </w:r>
          </w:p>
        </w:tc>
        <w:tc>
          <w:tcPr>
            <w:tcW w:w="173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1U</w:t>
            </w:r>
          </w:p>
        </w:tc>
        <w:tc>
          <w:tcPr>
            <w:tcW w:w="2153" w:type="dxa"/>
            <w:tcBorders>
              <w:top w:val="single" w:color="000000" w:sz="4" w:space="0"/>
              <w:bottom w:val="single" w:color="000000" w:sz="4" w:space="0"/>
              <w:right w:val="single" w:color="000000" w:sz="4" w:space="0"/>
            </w:tcBorders>
            <w:shd w:val="clear" w:color="auto" w:fill="auto"/>
            <w:vAlign w:val="center"/>
          </w:tcPr>
          <w:p>
            <w:pPr>
              <w:jc w:val="left"/>
              <w:rPr>
                <w:rFonts w:hint="eastAsia" w:ascii="等线" w:hAnsi="等线" w:eastAsia="等线" w:cs="等线"/>
                <w:i w:val="0"/>
                <w:color w:val="000000"/>
                <w:sz w:val="22"/>
                <w:szCs w:val="22"/>
                <w:u w:val="none"/>
              </w:rPr>
            </w:pPr>
          </w:p>
        </w:tc>
        <w:tc>
          <w:tcPr>
            <w:tcW w:w="58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个</w:t>
            </w:r>
          </w:p>
        </w:tc>
        <w:tc>
          <w:tcPr>
            <w:tcW w:w="52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w:t>
            </w:r>
          </w:p>
        </w:tc>
        <w:tc>
          <w:tcPr>
            <w:tcW w:w="555"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18</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标签纸</w:t>
            </w:r>
          </w:p>
        </w:tc>
        <w:tc>
          <w:tcPr>
            <w:tcW w:w="93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兄弟</w:t>
            </w:r>
          </w:p>
        </w:tc>
        <w:tc>
          <w:tcPr>
            <w:tcW w:w="173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9MM</w:t>
            </w:r>
          </w:p>
        </w:tc>
        <w:tc>
          <w:tcPr>
            <w:tcW w:w="2153" w:type="dxa"/>
            <w:tcBorders>
              <w:top w:val="single" w:color="000000" w:sz="4" w:space="0"/>
              <w:bottom w:val="single" w:color="000000" w:sz="4" w:space="0"/>
              <w:right w:val="single" w:color="000000" w:sz="4" w:space="0"/>
            </w:tcBorders>
            <w:shd w:val="clear" w:color="auto" w:fill="auto"/>
            <w:vAlign w:val="center"/>
          </w:tcPr>
          <w:p>
            <w:pPr>
              <w:jc w:val="left"/>
              <w:rPr>
                <w:rFonts w:hint="eastAsia" w:ascii="等线" w:hAnsi="等线" w:eastAsia="等线" w:cs="等线"/>
                <w:i w:val="0"/>
                <w:color w:val="000000"/>
                <w:sz w:val="22"/>
                <w:szCs w:val="22"/>
                <w:u w:val="none"/>
              </w:rPr>
            </w:pPr>
          </w:p>
        </w:tc>
        <w:tc>
          <w:tcPr>
            <w:tcW w:w="58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卷</w:t>
            </w:r>
          </w:p>
        </w:tc>
        <w:tc>
          <w:tcPr>
            <w:tcW w:w="52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3</w:t>
            </w:r>
          </w:p>
        </w:tc>
        <w:tc>
          <w:tcPr>
            <w:tcW w:w="555"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19</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辅材</w:t>
            </w:r>
          </w:p>
        </w:tc>
        <w:tc>
          <w:tcPr>
            <w:tcW w:w="935"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1731"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2"/>
                <w:szCs w:val="22"/>
                <w:u w:val="none"/>
              </w:rPr>
            </w:pPr>
          </w:p>
        </w:tc>
        <w:tc>
          <w:tcPr>
            <w:tcW w:w="2153"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PVC网槽、PVC线管、明盒、开孔钻头等</w:t>
            </w:r>
          </w:p>
        </w:tc>
        <w:tc>
          <w:tcPr>
            <w:tcW w:w="58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批</w:t>
            </w:r>
          </w:p>
        </w:tc>
        <w:tc>
          <w:tcPr>
            <w:tcW w:w="52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w:t>
            </w:r>
          </w:p>
        </w:tc>
        <w:tc>
          <w:tcPr>
            <w:tcW w:w="555"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线材配件&amp;安装</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定制</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2"/>
                <w:szCs w:val="22"/>
                <w:u w:val="none"/>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各类接头、安装配件、PVC线槽等</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21</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小计</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等线" w:hAnsi="等线" w:eastAsia="等线" w:cs="等线"/>
                <w:i w:val="0"/>
                <w:color w:val="000000"/>
                <w:sz w:val="22"/>
                <w:szCs w:val="22"/>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等线" w:hAnsi="等线" w:eastAsia="等线" w:cs="等线"/>
                <w:i w:val="0"/>
                <w:color w:val="000000"/>
                <w:sz w:val="22"/>
                <w:szCs w:val="22"/>
                <w:u w:val="none"/>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等线" w:hAnsi="等线" w:eastAsia="等线" w:cs="等线"/>
                <w:i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等线" w:hAnsi="等线" w:eastAsia="等线" w:cs="等线"/>
                <w:i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等线" w:hAnsi="等线" w:eastAsia="等线" w:cs="等线"/>
                <w:i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等线" w:hAnsi="等线" w:eastAsia="等线" w:cs="等线"/>
                <w:i w:val="0"/>
                <w:color w:val="000000"/>
                <w:sz w:val="22"/>
                <w:szCs w:val="22"/>
                <w:u w:val="none"/>
              </w:rPr>
            </w:pPr>
          </w:p>
        </w:tc>
        <w:tc>
          <w:tcPr>
            <w:tcW w:w="117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719" w:type="dxa"/>
            <w:gridSpan w:val="8"/>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合计：</w:t>
            </w:r>
          </w:p>
        </w:tc>
        <w:tc>
          <w:tcPr>
            <w:tcW w:w="1170" w:type="dxa"/>
            <w:gridSpan w:val="2"/>
            <w:tcBorders>
              <w:top w:val="single" w:color="000000" w:sz="4" w:space="0"/>
              <w:left w:val="single" w:color="000000" w:sz="4"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0.0 </w:t>
            </w:r>
          </w:p>
        </w:tc>
      </w:tr>
    </w:tbl>
    <w:p>
      <w:pPr>
        <w:snapToGrid w:val="0"/>
        <w:spacing w:line="360" w:lineRule="auto"/>
        <w:rPr>
          <w:rFonts w:asciiTheme="minorEastAsia" w:hAnsiTheme="minorEastAsia" w:eastAsiaTheme="minorEastAsia"/>
          <w:b/>
          <w:bCs/>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二、以上报价含</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%增值税（需开具增值税专用发票）.</w:t>
      </w:r>
    </w:p>
    <w:p>
      <w:pPr>
        <w:numPr>
          <w:ilvl w:val="255"/>
          <w:numId w:val="0"/>
        </w:num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三、以上报价为送到价，我司承诺不以其他名目另行增加相关费用。</w:t>
      </w:r>
    </w:p>
    <w:p>
      <w:pPr>
        <w:snapToGrid w:val="0"/>
        <w:spacing w:line="360" w:lineRule="auto"/>
        <w:rPr>
          <w:rFonts w:ascii="宋体" w:hAnsi="宋体" w:cs="宋体"/>
          <w:sz w:val="28"/>
          <w:szCs w:val="28"/>
        </w:rPr>
      </w:pPr>
      <w:r>
        <w:rPr>
          <w:rFonts w:hint="eastAsia" w:ascii="宋体" w:hAnsi="宋体" w:cs="宋体"/>
          <w:sz w:val="28"/>
          <w:szCs w:val="28"/>
        </w:rPr>
        <w:t xml:space="preserve">    四、若国家税率发生调整，则价格根据税率相应调整。</w:t>
      </w:r>
    </w:p>
    <w:p>
      <w:pPr>
        <w:numPr>
          <w:ilvl w:val="255"/>
          <w:numId w:val="0"/>
        </w:numPr>
        <w:snapToGrid w:val="0"/>
        <w:spacing w:line="360" w:lineRule="auto"/>
        <w:rPr>
          <w:rFonts w:ascii="宋体" w:hAnsi="宋体" w:cs="宋体"/>
          <w:sz w:val="28"/>
          <w:szCs w:val="28"/>
        </w:rPr>
      </w:pPr>
    </w:p>
    <w:p>
      <w:pPr>
        <w:snapToGrid w:val="0"/>
        <w:spacing w:line="360" w:lineRule="auto"/>
        <w:ind w:right="56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比选单位（签章）：</w:t>
      </w:r>
    </w:p>
    <w:p>
      <w:pPr>
        <w:snapToGrid w:val="0"/>
        <w:spacing w:line="360" w:lineRule="auto"/>
        <w:ind w:right="56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联系人：</w:t>
      </w:r>
    </w:p>
    <w:p>
      <w:pPr>
        <w:snapToGrid w:val="0"/>
        <w:spacing w:line="360" w:lineRule="auto"/>
        <w:ind w:right="56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联系电话：</w:t>
      </w:r>
    </w:p>
    <w:p>
      <w:pPr>
        <w:snapToGrid w:val="0"/>
        <w:spacing w:line="360" w:lineRule="auto"/>
        <w:ind w:right="56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年   月    日 </w:t>
      </w:r>
    </w:p>
    <w:p>
      <w:pPr>
        <w:jc w:val="left"/>
        <w:rPr>
          <w:rFonts w:cs="宋体" w:asciiTheme="minorEastAsia" w:hAnsiTheme="minorEastAsia" w:eastAsiaTheme="minorEastAsia"/>
          <w:sz w:val="32"/>
          <w:szCs w:val="32"/>
        </w:rPr>
      </w:pPr>
    </w:p>
    <w:p>
      <w:pPr>
        <w:jc w:val="left"/>
        <w:rPr>
          <w:rFonts w:cs="宋体" w:asciiTheme="minorEastAsia" w:hAnsiTheme="minorEastAsia" w:eastAsiaTheme="minorEastAsia"/>
          <w:sz w:val="32"/>
          <w:szCs w:val="32"/>
        </w:rPr>
      </w:pPr>
    </w:p>
    <w:p>
      <w:pPr>
        <w:jc w:val="left"/>
        <w:rPr>
          <w:rFonts w:cs="宋体" w:asciiTheme="minorEastAsia" w:hAnsiTheme="minorEastAsia" w:eastAsiaTheme="minorEastAsia"/>
          <w:sz w:val="32"/>
          <w:szCs w:val="32"/>
        </w:rPr>
      </w:pPr>
    </w:p>
    <w:p>
      <w:pPr>
        <w:jc w:val="left"/>
        <w:rPr>
          <w:rFonts w:cs="宋体" w:asciiTheme="minorEastAsia" w:hAnsiTheme="minorEastAsia" w:eastAsiaTheme="minorEastAsia"/>
          <w:sz w:val="32"/>
          <w:szCs w:val="32"/>
        </w:rPr>
      </w:pPr>
    </w:p>
    <w:p>
      <w:pPr>
        <w:jc w:val="left"/>
        <w:rPr>
          <w:rFonts w:cs="宋体" w:asciiTheme="minorEastAsia" w:hAnsiTheme="minorEastAsia" w:eastAsiaTheme="minorEastAsia"/>
          <w:sz w:val="32"/>
          <w:szCs w:val="32"/>
        </w:rPr>
      </w:pPr>
    </w:p>
    <w:p>
      <w:pPr>
        <w:jc w:val="left"/>
        <w:rPr>
          <w:rFonts w:cs="宋体" w:asciiTheme="minorEastAsia" w:hAnsiTheme="minorEastAsia" w:eastAsiaTheme="minorEastAsia"/>
          <w:sz w:val="32"/>
          <w:szCs w:val="32"/>
        </w:rPr>
      </w:pPr>
    </w:p>
    <w:p>
      <w:pPr>
        <w:jc w:val="left"/>
        <w:rPr>
          <w:rFonts w:cs="宋体" w:asciiTheme="minorEastAsia" w:hAnsiTheme="minorEastAsia" w:eastAsiaTheme="minorEastAsia"/>
          <w:sz w:val="32"/>
          <w:szCs w:val="32"/>
        </w:rPr>
      </w:pPr>
    </w:p>
    <w:p>
      <w:pPr>
        <w:jc w:val="left"/>
        <w:rPr>
          <w:rFonts w:cs="宋体" w:asciiTheme="minorEastAsia" w:hAnsiTheme="minorEastAsia" w:eastAsiaTheme="minorEastAsia"/>
          <w:sz w:val="32"/>
          <w:szCs w:val="32"/>
        </w:rPr>
      </w:pPr>
    </w:p>
    <w:p>
      <w:pPr>
        <w:jc w:val="left"/>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附件二：法人授权书</w:t>
      </w:r>
    </w:p>
    <w:p>
      <w:pPr>
        <w:snapToGrid w:val="0"/>
        <w:spacing w:line="360" w:lineRule="auto"/>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法定代表人授权委托书</w:t>
      </w:r>
    </w:p>
    <w:p>
      <w:pPr>
        <w:snapToGrid w:val="0"/>
        <w:spacing w:line="360" w:lineRule="auto"/>
        <w:jc w:val="center"/>
        <w:rPr>
          <w:rFonts w:asciiTheme="minorEastAsia" w:hAnsiTheme="minorEastAsia" w:eastAsiaTheme="minorEastAsia"/>
          <w:sz w:val="28"/>
          <w:szCs w:val="28"/>
        </w:rPr>
      </w:pPr>
    </w:p>
    <w:p>
      <w:pPr>
        <w:snapToGrid w:val="0"/>
        <w:spacing w:line="360" w:lineRule="auto"/>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lang w:eastAsia="zh-CN"/>
        </w:rPr>
        <w:t>福建省石油化学工业设计院</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本授权书声明:注册于      (公司住所)的                     （公司名称)的法定代表人        (法定代表人姓名)代表本公司授权        （代理人的姓名）为公司的合法代理人，就</w:t>
      </w:r>
      <w:r>
        <w:rPr>
          <w:rFonts w:hint="eastAsia" w:asciiTheme="minorEastAsia" w:hAnsiTheme="minorEastAsia" w:eastAsiaTheme="minorEastAsia"/>
          <w:sz w:val="28"/>
          <w:szCs w:val="28"/>
          <w:lang w:eastAsia="zh-CN"/>
        </w:rPr>
        <w:t>福建省石油化学工业设计院</w:t>
      </w:r>
      <w:r>
        <w:rPr>
          <w:rFonts w:hint="eastAsia" w:asciiTheme="minorEastAsia" w:hAnsiTheme="minorEastAsia" w:eastAsiaTheme="minorEastAsia"/>
          <w:sz w:val="28"/>
          <w:szCs w:val="28"/>
          <w:lang w:val="en-US" w:eastAsia="zh-CN"/>
        </w:rPr>
        <w:t>会议室线路改造及音频扩声仪器采购项目</w:t>
      </w:r>
      <w:r>
        <w:rPr>
          <w:rFonts w:hint="eastAsia" w:asciiTheme="minorEastAsia" w:hAnsiTheme="minorEastAsia" w:eastAsiaTheme="minorEastAsia"/>
          <w:sz w:val="28"/>
          <w:szCs w:val="28"/>
        </w:rPr>
        <w:t>自主比选的意向比选方申请登记、比选竞价、合同的签订，以本公司名义处理一切与之有关的事务。</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本授权书于    年    月    日签字生效，特此声明。</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意向比选方（盖章）：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法定代表人（签字）：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法定代表人身份证号码：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代理人姓名：            性别：      年龄：      职务：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身份证号码：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联系方式：  </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p>
    <w:p>
      <w:pPr>
        <w:snapToGrid w:val="0"/>
        <w:spacing w:line="360" w:lineRule="auto"/>
        <w:jc w:val="left"/>
        <w:rPr>
          <w:rFonts w:cs="宋体" w:asciiTheme="minorEastAsia" w:hAnsiTheme="minorEastAsia" w:eastAsiaTheme="minorEastAsia"/>
          <w:sz w:val="32"/>
          <w:szCs w:val="32"/>
        </w:rPr>
      </w:pPr>
    </w:p>
    <w:p>
      <w:pPr>
        <w:snapToGrid w:val="0"/>
        <w:spacing w:line="360" w:lineRule="auto"/>
        <w:jc w:val="left"/>
        <w:rPr>
          <w:rFonts w:cs="宋体" w:asciiTheme="minorEastAsia" w:hAnsiTheme="minorEastAsia" w:eastAsiaTheme="minorEastAsia"/>
          <w:sz w:val="32"/>
          <w:szCs w:val="32"/>
        </w:rPr>
      </w:pPr>
    </w:p>
    <w:p>
      <w:pPr>
        <w:snapToGrid w:val="0"/>
        <w:spacing w:line="360" w:lineRule="auto"/>
        <w:jc w:val="left"/>
        <w:rPr>
          <w:rFonts w:cs="宋体" w:asciiTheme="minorEastAsia" w:hAnsiTheme="minorEastAsia" w:eastAsiaTheme="minorEastAsia"/>
          <w:sz w:val="32"/>
          <w:szCs w:val="32"/>
        </w:rPr>
      </w:pPr>
    </w:p>
    <w:p>
      <w:pPr>
        <w:snapToGrid w:val="0"/>
        <w:spacing w:line="360" w:lineRule="auto"/>
        <w:jc w:val="left"/>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附件三：承诺函</w:t>
      </w:r>
    </w:p>
    <w:p>
      <w:pPr>
        <w:snapToGrid w:val="0"/>
        <w:spacing w:line="360" w:lineRule="auto"/>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承诺函</w:t>
      </w:r>
    </w:p>
    <w:p>
      <w:pPr>
        <w:snapToGrid w:val="0"/>
        <w:spacing w:line="360" w:lineRule="auto"/>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lang w:eastAsia="zh-CN"/>
        </w:rPr>
        <w:t>福建省石油化学工业设计院</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我方为对</w:t>
      </w:r>
      <w:r>
        <w:rPr>
          <w:rFonts w:hint="eastAsia" w:asciiTheme="minorEastAsia" w:hAnsiTheme="minorEastAsia" w:eastAsiaTheme="minorEastAsia"/>
          <w:sz w:val="28"/>
          <w:szCs w:val="28"/>
          <w:lang w:eastAsia="zh-CN"/>
        </w:rPr>
        <w:t>福建省石油化学工业设计院</w:t>
      </w:r>
      <w:r>
        <w:rPr>
          <w:rFonts w:hint="eastAsia" w:asciiTheme="minorEastAsia" w:hAnsiTheme="minorEastAsia" w:eastAsiaTheme="minorEastAsia"/>
          <w:sz w:val="28"/>
          <w:szCs w:val="28"/>
          <w:lang w:val="en-US" w:eastAsia="zh-CN"/>
        </w:rPr>
        <w:t>会议室线路改造及音频扩声仪器采购项目</w:t>
      </w:r>
      <w:r>
        <w:rPr>
          <w:rFonts w:hint="eastAsia" w:asciiTheme="minorEastAsia" w:hAnsiTheme="minorEastAsia" w:eastAsiaTheme="minorEastAsia"/>
          <w:sz w:val="28"/>
          <w:szCs w:val="28"/>
        </w:rPr>
        <w:t>自主比选公告表示完全响应，遵照公告的要求，特此确认并承诺：</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1、我方确认，我方已仔细阅读并研究了贵方的公告及其附件，我方完全熟悉其中的要求、条款和条件，并充分了解标的情况。</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2、我方确认，我方完全同意公告制定的交易规则。</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3、我方承诺，我方为比选所提供的材料均为真实、合法、完整。</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4、我方承诺：接受中选后</w:t>
      </w:r>
      <w:r>
        <w:rPr>
          <w:rFonts w:hint="eastAsia" w:asciiTheme="minorEastAsia" w:hAnsiTheme="minorEastAsia" w:eastAsiaTheme="minorEastAsia"/>
          <w:sz w:val="28"/>
          <w:szCs w:val="28"/>
          <w:lang w:eastAsia="zh-CN"/>
        </w:rPr>
        <w:t>福建省石油化学工业设计院</w:t>
      </w:r>
      <w:r>
        <w:rPr>
          <w:rFonts w:hint="eastAsia" w:asciiTheme="minorEastAsia" w:hAnsiTheme="minorEastAsia" w:eastAsiaTheme="minorEastAsia"/>
          <w:sz w:val="28"/>
          <w:szCs w:val="28"/>
        </w:rPr>
        <w:t>对我方合同授予前的资格审查工作。</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5、我方保证：我方确认，完全接受比选文件全部条款。自收到该项目中标通知次日起7个工作日内，我方将与</w:t>
      </w:r>
      <w:r>
        <w:rPr>
          <w:rFonts w:hint="eastAsia" w:asciiTheme="minorEastAsia" w:hAnsiTheme="minorEastAsia" w:eastAsiaTheme="minorEastAsia"/>
          <w:sz w:val="28"/>
          <w:szCs w:val="28"/>
          <w:lang w:eastAsia="zh-CN"/>
        </w:rPr>
        <w:t>石化设计院</w:t>
      </w:r>
      <w:r>
        <w:rPr>
          <w:rFonts w:hint="eastAsia" w:asciiTheme="minorEastAsia" w:hAnsiTheme="minorEastAsia" w:eastAsiaTheme="minorEastAsia"/>
          <w:sz w:val="28"/>
          <w:szCs w:val="28"/>
        </w:rPr>
        <w:t>签订2019年</w:t>
      </w:r>
      <w:r>
        <w:rPr>
          <w:rFonts w:hint="eastAsia" w:asciiTheme="minorEastAsia" w:hAnsiTheme="minorEastAsia" w:eastAsiaTheme="minorEastAsia"/>
          <w:sz w:val="28"/>
          <w:szCs w:val="28"/>
          <w:lang w:eastAsia="zh-CN"/>
        </w:rPr>
        <w:t>劳保服</w:t>
      </w:r>
      <w:r>
        <w:rPr>
          <w:rFonts w:hint="eastAsia" w:asciiTheme="minorEastAsia" w:hAnsiTheme="minorEastAsia" w:eastAsiaTheme="minorEastAsia"/>
          <w:sz w:val="28"/>
          <w:szCs w:val="28"/>
        </w:rPr>
        <w:t>采购合同。否则，自动视为放弃该中选权力。</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特此承诺。</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意向比选方（盖章）：                      </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法定代表人或委托代理人（签字）：          </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地  址：                                 联系人：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电  话：                                 年    月    日</w:t>
      </w:r>
    </w:p>
    <w:p>
      <w:pPr>
        <w:widowControl/>
        <w:adjustRightInd/>
        <w:spacing w:line="240" w:lineRule="auto"/>
        <w:jc w:val="left"/>
        <w:textAlignment w:val="auto"/>
        <w:rPr>
          <w:rFonts w:asciiTheme="minorEastAsia" w:hAnsiTheme="minorEastAsia" w:eastAsiaTheme="minorEastAsia"/>
          <w:sz w:val="28"/>
          <w:szCs w:val="28"/>
        </w:rPr>
      </w:pPr>
      <w:r>
        <w:rPr>
          <w:rFonts w:asciiTheme="minorEastAsia" w:hAnsiTheme="minorEastAsia" w:eastAsiaTheme="minorEastAsia"/>
          <w:sz w:val="28"/>
          <w:szCs w:val="28"/>
        </w:rPr>
        <w:br w:type="page"/>
      </w:r>
    </w:p>
    <w:p>
      <w:pPr>
        <w:spacing w:line="120" w:lineRule="auto"/>
        <w:jc w:val="left"/>
        <w:rPr>
          <w:sz w:val="32"/>
          <w:szCs w:val="32"/>
        </w:rPr>
      </w:pPr>
      <w:r>
        <w:rPr>
          <w:rFonts w:hint="eastAsia"/>
          <w:sz w:val="32"/>
          <w:szCs w:val="32"/>
        </w:rPr>
        <w:t>附件四：合同范本</w:t>
      </w:r>
    </w:p>
    <w:p>
      <w:pPr>
        <w:spacing w:line="120" w:lineRule="auto"/>
        <w:ind w:firstLine="420" w:firstLineChars="150"/>
        <w:jc w:val="center"/>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eastAsia="zh-CN"/>
        </w:rPr>
        <w:t>福建省石油化学工业设计院</w:t>
      </w:r>
      <w:r>
        <w:rPr>
          <w:rFonts w:hint="eastAsia" w:asciiTheme="minorEastAsia" w:hAnsiTheme="minorEastAsia" w:eastAsiaTheme="minorEastAsia"/>
          <w:sz w:val="28"/>
          <w:szCs w:val="28"/>
          <w:lang w:val="en-US" w:eastAsia="zh-CN"/>
        </w:rPr>
        <w:t>会议室线路改造及</w:t>
      </w:r>
    </w:p>
    <w:p>
      <w:pPr>
        <w:spacing w:line="120" w:lineRule="auto"/>
        <w:ind w:firstLine="420" w:firstLineChars="150"/>
        <w:jc w:val="center"/>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音频扩声仪器采购项目</w:t>
      </w:r>
    </w:p>
    <w:p>
      <w:pPr>
        <w:spacing w:line="120" w:lineRule="auto"/>
        <w:ind w:firstLine="420" w:firstLineChars="150"/>
        <w:jc w:val="center"/>
        <w:rPr>
          <w:rFonts w:hint="eastAsia" w:asciiTheme="minorEastAsia" w:hAnsiTheme="minorEastAsia" w:eastAsiaTheme="minorEastAsia"/>
          <w:sz w:val="28"/>
          <w:szCs w:val="28"/>
          <w:lang w:val="en-US" w:eastAsia="zh-CN"/>
        </w:rPr>
      </w:pPr>
    </w:p>
    <w:p>
      <w:pPr>
        <w:spacing w:line="120" w:lineRule="auto"/>
        <w:ind w:firstLine="360" w:firstLineChars="150"/>
        <w:rPr>
          <w:sz w:val="24"/>
          <w:szCs w:val="24"/>
        </w:rPr>
      </w:pPr>
      <w:r>
        <w:rPr>
          <w:sz w:val="24"/>
        </w:rPr>
        <w:t xml:space="preserve"> </w:t>
      </w:r>
      <w:r>
        <w:rPr>
          <w:rFonts w:hint="eastAsia"/>
          <w:sz w:val="24"/>
        </w:rPr>
        <w:t>合同编号：</w:t>
      </w:r>
      <w:r>
        <w:rPr>
          <w:sz w:val="24"/>
        </w:rPr>
        <w:t xml:space="preserve"> </w:t>
      </w:r>
    </w:p>
    <w:p>
      <w:pPr>
        <w:spacing w:line="120" w:lineRule="auto"/>
        <w:ind w:firstLine="480" w:firstLineChars="200"/>
        <w:rPr>
          <w:sz w:val="24"/>
        </w:rPr>
      </w:pPr>
      <w:r>
        <w:rPr>
          <w:rFonts w:hint="eastAsia"/>
          <w:sz w:val="24"/>
        </w:rPr>
        <w:t>甲方：</w:t>
      </w:r>
      <w:r>
        <w:rPr>
          <w:sz w:val="24"/>
        </w:rPr>
        <w:t xml:space="preserve">                                           </w:t>
      </w:r>
      <w:r>
        <w:rPr>
          <w:rFonts w:hint="eastAsia"/>
          <w:sz w:val="24"/>
        </w:rPr>
        <w:t>签订地点：</w:t>
      </w:r>
      <w:r>
        <w:rPr>
          <w:sz w:val="24"/>
        </w:rPr>
        <w:t xml:space="preserve"> </w:t>
      </w:r>
    </w:p>
    <w:p>
      <w:pPr>
        <w:spacing w:line="120" w:lineRule="auto"/>
        <w:ind w:firstLine="480" w:firstLineChars="200"/>
        <w:rPr>
          <w:sz w:val="24"/>
        </w:rPr>
      </w:pPr>
      <w:r>
        <w:rPr>
          <w:rFonts w:hint="eastAsia"/>
          <w:sz w:val="24"/>
        </w:rPr>
        <w:t>乙方：</w:t>
      </w:r>
      <w:r>
        <w:rPr>
          <w:sz w:val="24"/>
        </w:rPr>
        <w:t xml:space="preserve">                                           </w:t>
      </w:r>
      <w:r>
        <w:rPr>
          <w:rFonts w:hint="eastAsia"/>
          <w:sz w:val="24"/>
        </w:rPr>
        <w:t>签订日期：</w:t>
      </w:r>
      <w:r>
        <w:rPr>
          <w:sz w:val="24"/>
        </w:rPr>
        <w:t xml:space="preserve"> </w:t>
      </w:r>
    </w:p>
    <w:p>
      <w:pPr>
        <w:spacing w:line="120" w:lineRule="auto"/>
        <w:ind w:firstLine="480" w:firstLineChars="200"/>
        <w:rPr>
          <w:sz w:val="24"/>
        </w:rPr>
      </w:pPr>
    </w:p>
    <w:p>
      <w:pPr>
        <w:spacing w:line="120" w:lineRule="auto"/>
        <w:ind w:firstLine="480" w:firstLineChars="200"/>
        <w:rPr>
          <w:sz w:val="24"/>
        </w:rPr>
      </w:pPr>
      <w:r>
        <w:rPr>
          <w:rFonts w:hint="eastAsia"/>
          <w:sz w:val="24"/>
        </w:rPr>
        <w:t>根据甲方采购项目需求，经双方友好协商，就甲方向乙方采购本合同第</w:t>
      </w:r>
      <w:r>
        <w:rPr>
          <w:sz w:val="24"/>
        </w:rPr>
        <w:t>1</w:t>
      </w:r>
      <w:r>
        <w:rPr>
          <w:rFonts w:hint="eastAsia"/>
          <w:sz w:val="24"/>
        </w:rPr>
        <w:t>条所列产品相关事宜，依据《中华人民共和国合同法》及其他相关法律法规规定，双方签订如下协议：</w:t>
      </w:r>
    </w:p>
    <w:p>
      <w:pPr>
        <w:numPr>
          <w:ilvl w:val="0"/>
          <w:numId w:val="2"/>
        </w:numPr>
        <w:spacing w:line="120" w:lineRule="auto"/>
        <w:rPr>
          <w:sz w:val="24"/>
        </w:rPr>
      </w:pPr>
      <w:r>
        <w:rPr>
          <w:rFonts w:hint="eastAsia"/>
          <w:sz w:val="24"/>
        </w:rPr>
        <w:t>合同标的和合同价格</w:t>
      </w:r>
    </w:p>
    <w:tbl>
      <w:tblPr>
        <w:tblStyle w:val="15"/>
        <w:tblW w:w="88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64"/>
        <w:gridCol w:w="770"/>
        <w:gridCol w:w="935"/>
        <w:gridCol w:w="1731"/>
        <w:gridCol w:w="2153"/>
        <w:gridCol w:w="586"/>
        <w:gridCol w:w="525"/>
        <w:gridCol w:w="555"/>
        <w:gridCol w:w="570"/>
        <w:gridCol w:w="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464" w:type="dxa"/>
            <w:tcBorders>
              <w:left w:val="single" w:color="000000" w:sz="12"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ascii="等线" w:hAnsi="等线" w:eastAsia="等线" w:cs="等线"/>
                <w:b/>
                <w:i w:val="0"/>
                <w:color w:val="000000"/>
                <w:sz w:val="20"/>
                <w:szCs w:val="20"/>
                <w:u w:val="none"/>
              </w:rPr>
            </w:pPr>
            <w:r>
              <w:rPr>
                <w:rFonts w:hint="eastAsia" w:ascii="等线" w:hAnsi="等线" w:eastAsia="等线" w:cs="等线"/>
                <w:b/>
                <w:i w:val="0"/>
                <w:color w:val="000000"/>
                <w:kern w:val="0"/>
                <w:sz w:val="20"/>
                <w:szCs w:val="20"/>
                <w:u w:val="none"/>
                <w:lang w:val="en-US" w:eastAsia="zh-CN" w:bidi="ar"/>
              </w:rPr>
              <w:t>序号</w:t>
            </w:r>
          </w:p>
        </w:tc>
        <w:tc>
          <w:tcPr>
            <w:tcW w:w="770"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等线" w:hAnsi="等线" w:eastAsia="等线" w:cs="等线"/>
                <w:b/>
                <w:i w:val="0"/>
                <w:color w:val="000000"/>
                <w:sz w:val="20"/>
                <w:szCs w:val="20"/>
                <w:u w:val="none"/>
              </w:rPr>
            </w:pPr>
            <w:r>
              <w:rPr>
                <w:rFonts w:hint="eastAsia" w:ascii="等线" w:hAnsi="等线" w:eastAsia="等线" w:cs="等线"/>
                <w:b/>
                <w:i w:val="0"/>
                <w:color w:val="000000"/>
                <w:kern w:val="0"/>
                <w:sz w:val="20"/>
                <w:szCs w:val="20"/>
                <w:u w:val="none"/>
                <w:lang w:val="en-US" w:eastAsia="zh-CN" w:bidi="ar"/>
              </w:rPr>
              <w:t>名称</w:t>
            </w:r>
          </w:p>
        </w:tc>
        <w:tc>
          <w:tcPr>
            <w:tcW w:w="935"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等线" w:hAnsi="等线" w:eastAsia="等线" w:cs="等线"/>
                <w:b/>
                <w:i w:val="0"/>
                <w:color w:val="000000"/>
                <w:sz w:val="20"/>
                <w:szCs w:val="20"/>
                <w:u w:val="none"/>
              </w:rPr>
            </w:pPr>
            <w:r>
              <w:rPr>
                <w:rFonts w:hint="eastAsia" w:ascii="等线" w:hAnsi="等线" w:eastAsia="等线" w:cs="等线"/>
                <w:b/>
                <w:i w:val="0"/>
                <w:color w:val="000000"/>
                <w:kern w:val="0"/>
                <w:sz w:val="20"/>
                <w:szCs w:val="20"/>
                <w:u w:val="none"/>
                <w:lang w:val="en-US" w:eastAsia="zh-CN" w:bidi="ar"/>
              </w:rPr>
              <w:t>品牌</w:t>
            </w:r>
          </w:p>
        </w:tc>
        <w:tc>
          <w:tcPr>
            <w:tcW w:w="1731"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等线" w:hAnsi="等线" w:eastAsia="等线" w:cs="等线"/>
                <w:b/>
                <w:i w:val="0"/>
                <w:color w:val="000000"/>
                <w:sz w:val="20"/>
                <w:szCs w:val="20"/>
                <w:u w:val="none"/>
              </w:rPr>
            </w:pPr>
            <w:r>
              <w:rPr>
                <w:rFonts w:hint="eastAsia" w:ascii="等线" w:hAnsi="等线" w:eastAsia="等线" w:cs="等线"/>
                <w:b/>
                <w:i w:val="0"/>
                <w:color w:val="000000"/>
                <w:kern w:val="0"/>
                <w:sz w:val="20"/>
                <w:szCs w:val="20"/>
                <w:u w:val="none"/>
                <w:lang w:val="en-US" w:eastAsia="zh-CN" w:bidi="ar"/>
              </w:rPr>
              <w:t>型号</w:t>
            </w:r>
          </w:p>
        </w:tc>
        <w:tc>
          <w:tcPr>
            <w:tcW w:w="2153"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等线" w:hAnsi="等线" w:eastAsia="等线" w:cs="等线"/>
                <w:b/>
                <w:i w:val="0"/>
                <w:color w:val="000000"/>
                <w:sz w:val="20"/>
                <w:szCs w:val="20"/>
                <w:u w:val="none"/>
              </w:rPr>
            </w:pPr>
            <w:r>
              <w:rPr>
                <w:rFonts w:hint="eastAsia" w:ascii="等线" w:hAnsi="等线" w:eastAsia="等线" w:cs="等线"/>
                <w:b/>
                <w:i w:val="0"/>
                <w:color w:val="000000"/>
                <w:kern w:val="0"/>
                <w:sz w:val="20"/>
                <w:szCs w:val="20"/>
                <w:u w:val="none"/>
                <w:lang w:val="en-US" w:eastAsia="zh-CN" w:bidi="ar"/>
              </w:rPr>
              <w:t>参数</w:t>
            </w:r>
          </w:p>
        </w:tc>
        <w:tc>
          <w:tcPr>
            <w:tcW w:w="586"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等线" w:hAnsi="等线" w:eastAsia="等线" w:cs="等线"/>
                <w:b/>
                <w:i w:val="0"/>
                <w:color w:val="000000"/>
                <w:sz w:val="20"/>
                <w:szCs w:val="20"/>
                <w:u w:val="none"/>
              </w:rPr>
            </w:pPr>
            <w:r>
              <w:rPr>
                <w:rFonts w:hint="eastAsia" w:ascii="等线" w:hAnsi="等线" w:eastAsia="等线" w:cs="等线"/>
                <w:b/>
                <w:i w:val="0"/>
                <w:color w:val="000000"/>
                <w:kern w:val="0"/>
                <w:sz w:val="20"/>
                <w:szCs w:val="20"/>
                <w:u w:val="none"/>
                <w:lang w:val="en-US" w:eastAsia="zh-CN" w:bidi="ar"/>
              </w:rPr>
              <w:t>单位</w:t>
            </w:r>
          </w:p>
        </w:tc>
        <w:tc>
          <w:tcPr>
            <w:tcW w:w="525"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等线" w:hAnsi="等线" w:eastAsia="等线" w:cs="等线"/>
                <w:b/>
                <w:i w:val="0"/>
                <w:color w:val="000000"/>
                <w:sz w:val="20"/>
                <w:szCs w:val="20"/>
                <w:u w:val="none"/>
              </w:rPr>
            </w:pPr>
            <w:r>
              <w:rPr>
                <w:rFonts w:hint="eastAsia" w:ascii="等线" w:hAnsi="等线" w:eastAsia="等线" w:cs="等线"/>
                <w:b/>
                <w:i w:val="0"/>
                <w:color w:val="000000"/>
                <w:kern w:val="0"/>
                <w:sz w:val="20"/>
                <w:szCs w:val="20"/>
                <w:u w:val="none"/>
                <w:lang w:val="en-US" w:eastAsia="zh-CN" w:bidi="ar"/>
              </w:rPr>
              <w:t>数量</w:t>
            </w:r>
          </w:p>
        </w:tc>
        <w:tc>
          <w:tcPr>
            <w:tcW w:w="555"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等线" w:hAnsi="等线" w:eastAsia="等线" w:cs="等线"/>
                <w:b/>
                <w:i w:val="0"/>
                <w:color w:val="000000"/>
                <w:sz w:val="20"/>
                <w:szCs w:val="20"/>
                <w:u w:val="none"/>
              </w:rPr>
            </w:pPr>
            <w:r>
              <w:rPr>
                <w:rFonts w:hint="eastAsia" w:ascii="等线" w:hAnsi="等线" w:eastAsia="等线" w:cs="等线"/>
                <w:b/>
                <w:i w:val="0"/>
                <w:color w:val="000000"/>
                <w:kern w:val="0"/>
                <w:sz w:val="20"/>
                <w:szCs w:val="20"/>
                <w:u w:val="none"/>
                <w:lang w:val="en-US" w:eastAsia="zh-CN" w:bidi="ar"/>
              </w:rPr>
              <w:t>单价</w:t>
            </w:r>
          </w:p>
        </w:tc>
        <w:tc>
          <w:tcPr>
            <w:tcW w:w="570" w:type="dxa"/>
            <w:tcBorders>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等线" w:hAnsi="等线" w:eastAsia="等线" w:cs="等线"/>
                <w:b/>
                <w:i w:val="0"/>
                <w:color w:val="000000"/>
                <w:sz w:val="20"/>
                <w:szCs w:val="20"/>
                <w:u w:val="none"/>
              </w:rPr>
            </w:pPr>
            <w:r>
              <w:rPr>
                <w:rFonts w:hint="eastAsia" w:ascii="等线" w:hAnsi="等线" w:eastAsia="等线" w:cs="等线"/>
                <w:b/>
                <w:i w:val="0"/>
                <w:color w:val="000000"/>
                <w:kern w:val="0"/>
                <w:sz w:val="20"/>
                <w:szCs w:val="20"/>
                <w:u w:val="none"/>
                <w:lang w:val="en-US" w:eastAsia="zh-CN" w:bidi="ar"/>
              </w:rPr>
              <w:t>合计</w:t>
            </w:r>
          </w:p>
        </w:tc>
        <w:tc>
          <w:tcPr>
            <w:tcW w:w="600" w:type="dxa"/>
            <w:tcBorders>
              <w:left w:val="single" w:color="000000" w:sz="4" w:space="0"/>
              <w:bottom w:val="single" w:color="000000" w:sz="4" w:space="0"/>
              <w:right w:val="single" w:color="000000" w:sz="12" w:space="0"/>
            </w:tcBorders>
            <w:shd w:val="clear" w:color="auto" w:fill="FFFFFF" w:themeFill="background1"/>
            <w:vAlign w:val="center"/>
          </w:tcPr>
          <w:p>
            <w:pPr>
              <w:keepNext w:val="0"/>
              <w:keepLines w:val="0"/>
              <w:widowControl/>
              <w:suppressLineNumbers w:val="0"/>
              <w:jc w:val="center"/>
              <w:textAlignment w:val="center"/>
              <w:rPr>
                <w:rFonts w:hint="eastAsia" w:ascii="等线" w:hAnsi="等线" w:eastAsia="等线" w:cs="等线"/>
                <w:b/>
                <w:i w:val="0"/>
                <w:color w:val="000000"/>
                <w:sz w:val="20"/>
                <w:szCs w:val="20"/>
                <w:u w:val="none"/>
              </w:rPr>
            </w:pPr>
            <w:r>
              <w:rPr>
                <w:rFonts w:hint="eastAsia" w:ascii="等线" w:hAnsi="等线" w:eastAsia="等线" w:cs="等线"/>
                <w:b/>
                <w:i w:val="0"/>
                <w:color w:val="000000"/>
                <w:kern w:val="0"/>
                <w:sz w:val="20"/>
                <w:szCs w:val="20"/>
                <w:u w:val="none"/>
                <w:lang w:val="en-US" w:eastAsia="zh-CN" w:bidi="ar"/>
              </w:rPr>
              <w:t>图片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8889" w:type="dxa"/>
            <w:gridSpan w:val="10"/>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一、音频扩声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61"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调音台</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BEHRINGER</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QX2442USB</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*10路话筒输入，加载精品XENYX话放，2路立体声输入</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*8路录音棚级压缩器，人声乐器一键压缩，快速便捷</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*超高品质英国KLARK TEKNIK效果处理器与LED显示屏，双参数可调，可存储用户参数。</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*支持百灵达高品质无线传输系统，支持两路2.4G无线话筒（话筒另购）</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*内置立体声USB音频接口，可以直接连接您的计算机进行录音。</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*经典英式4段均衡，高中低音可调</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*每段输入4个辅助发送</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*4编组配有独立的输出口增加了路由的灵活性</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*60毫米流线型推杆和密封式控制旋钮</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96"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12路数字自动混音器</w:t>
            </w:r>
            <w:r>
              <w:rPr>
                <w:rFonts w:hint="eastAsia" w:ascii="等线" w:hAnsi="等线" w:eastAsia="等线" w:cs="等线"/>
                <w:i w:val="0"/>
                <w:color w:val="000000"/>
                <w:kern w:val="0"/>
                <w:sz w:val="20"/>
                <w:szCs w:val="20"/>
                <w:u w:val="none"/>
                <w:lang w:val="en-US" w:eastAsia="zh-CN" w:bidi="ar"/>
              </w:rPr>
              <w:br w:type="textWrapping"/>
            </w:r>
            <w:r>
              <w:rPr>
                <w:rFonts w:hint="eastAsia" w:ascii="等线" w:hAnsi="等线" w:eastAsia="等线" w:cs="等线"/>
                <w:i w:val="0"/>
                <w:color w:val="000000"/>
                <w:kern w:val="0"/>
                <w:sz w:val="20"/>
                <w:szCs w:val="20"/>
                <w:u w:val="none"/>
                <w:lang w:val="en-US" w:eastAsia="zh-CN" w:bidi="ar"/>
              </w:rPr>
              <w:t>（可选配）</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Relacart</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DAM-124</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12路输入，4路输出的智能数字混音器；</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具备12路独立的输入工作通道，每通道可以单独调整输入增益；</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标准1U全金属机箱，铝面板；前面板清晰明亮的LED灯，时刻显示输入输出的音频动态讯息；带刻度指示的编码器控制四路MASTER输出音量，并且分别显示输出音量刻度、静音指示、失真指示、输出LINE/MIC指示；</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 xml:space="preserve">采用40 bit 浮点运算， 工作主频 &gt; 450MHz 的高速DSP芯片，搭配Relacart核心技术团队自主研发的数字音频自动混音算法，始终保持着展现出最真实声音的风格； </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支持8路麦克风输入通道附48V幻象供电；4路线性输入；独立的静音控制和幻象电源控制；每通道可设置优先选择、压限调节；4频段参量均衡器，频点、Q值、幅度可调；棚形滤波器设置，可消除频段中不必要的噪音；多阶分频斜率可调的高、低通滤波器，能展现出更好的瞬态响应；</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4路MASTER模拟输出；每路输出配备31段图示均衡，可根据需要任意调节，LINE/MIC输出电平切换；限幅器、啸叫抑制设置，极有效限制输出电平，给予保护下一级音频设备或扬声器；可按实际应用场合音箱之间的距离（0.5M～100M）选择相对应的声音输出延时参数；每路输出静音、音量独立控制；</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12路输入，4路输出的摸拟数字混合矩阵控制，适合更广泛的应用工程；</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 xml:space="preserve">自动声阀调节，能根据现场的环境噪声利用DSP数字算法的强大运算系统自动计算出最合适的阀门电平，适用于任何恶劣的会议环境；最后保持时间可调，保证您的会议更顺畅； </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支持静音及其他控制参数分组设置；会议场景模式保存，给类似的会场提供极便捷的调试方式；</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通过采用TCP/IP连接方式实现电脑上位机软件控制和I Pad软件远程控制设置各项参数值；</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RS-232接口，开放协议，实现多项控制；</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支持在线固件更新；</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支持NOM 多路话筒自动衰减值调整，最大打开话筒数量支持1~8；</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“Closed Threshold”可调的通道关闭衰减电平</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16"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数字音频处理器</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MOTIVITY</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DX26</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DX26为2路平衡输入、6路平衡输出；24bit sigma-delta转换器，96KHz采样率，32位DSP芯片处理；输入处理部分包含增益、静音、联调、高切、低切、参量均衡、相位、延时等处理单元。输出处理部分包含增益、静音、联调、分频、参量均衡、压限、相位、延时等处理单元。所有输入输出之间可以自由进行音频信号路由矩阵分配，并且输入输出通道名称可以更改。所有输入输出的参数可以联动调节，并且任意通道之间的参数可以自由复制，这两项设计可显著的提高操作人员的调试效率。延时模块具有高达682ms的延时能力，步距为0.021ms。</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面板输入输出均配有5段高精度电平指示LED，按键设计有背景指引LED，即使是在灯光昏暗的环境下，也不会影响您的正常操作。内置完善的信号发生器，系统检测更加方便。具有密码保护功能，您设置好的参数，可以安全的保存在处理器中，有效防止他人误操作。拥有32个用户预设，1个出厂模式，用户预设名称均可修改。整机参数和单个预设文件均可以单独存储和调用。可以通过USB或RS232端口控制。支持中英文PC操作软件，操作更加方便快捷。</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20"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4</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鹅颈话筒</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SHURE</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CVG12RS-B/C-CHN</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12"  鵝頸式電容話筒，分離式前置，啞音開關 ，光環， 心形，黑色</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1"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16路电源时序器</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ABL</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1016</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最大输入电流：80A;单路最大输出电流：30A</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工作电压：220V/50-60Hz</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每一路功率：可达3000W</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输出电源插座：万用插座，符合欧美标准。1按钮控制2路，上下两路为1组，16个受控万用插，每一路开关间隔时间：1秒，每一路带开关指示灯，前端配置一个保险开关按钮电压显示表：数字显示电压表联机支持：是，（可支持8台设备同时联机使用）联机端口：卡隆插口</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受控功能：有，（每通道可以单独受控）其中每路按钮控制上下2通道，16个受控万用插</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网络交换机</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锐捷</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NB-2008d</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8端口</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7</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6类跳线</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北讯</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2"/>
                <w:szCs w:val="22"/>
                <w:u w:val="none"/>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7719" w:type="dxa"/>
            <w:gridSpan w:val="8"/>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音频扩声小计：</w:t>
            </w:r>
          </w:p>
        </w:tc>
        <w:tc>
          <w:tcPr>
            <w:tcW w:w="117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8889" w:type="dxa"/>
            <w:gridSpan w:val="10"/>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二、配件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话筒线</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秋叶原</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Q-149</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等线" w:hAnsi="等线" w:eastAsia="等线" w:cs="等线"/>
                <w:i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120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音频线</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国产</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2"/>
                <w:szCs w:val="22"/>
                <w:u w:val="none"/>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15米</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滑盖地插（弱电）</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 xml:space="preserve">STARET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AK500</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接口类型： 内嵌RJ45×2、卡农×2</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设备尺寸：W258×D132×H140.5mm</w:t>
            </w:r>
            <w:r>
              <w:rPr>
                <w:rFonts w:hint="eastAsia" w:ascii="等线" w:hAnsi="等线" w:eastAsia="等线" w:cs="等线"/>
                <w:i w:val="0"/>
                <w:color w:val="000000"/>
                <w:kern w:val="0"/>
                <w:sz w:val="22"/>
                <w:szCs w:val="22"/>
                <w:u w:val="none"/>
                <w:lang w:val="en-US" w:eastAsia="zh-CN" w:bidi="ar"/>
              </w:rPr>
              <w:br w:type="textWrapping"/>
            </w:r>
            <w:r>
              <w:rPr>
                <w:rFonts w:hint="eastAsia" w:ascii="等线" w:hAnsi="等线" w:eastAsia="等线" w:cs="等线"/>
                <w:i w:val="0"/>
                <w:color w:val="000000"/>
                <w:kern w:val="0"/>
                <w:sz w:val="22"/>
                <w:szCs w:val="22"/>
                <w:u w:val="none"/>
                <w:lang w:val="en-US" w:eastAsia="zh-CN" w:bidi="ar"/>
              </w:rPr>
              <w:t>开孔尺寸：W249×D119mm</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4</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滑盖地插（强电）</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 xml:space="preserve">STARET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2"/>
                <w:szCs w:val="22"/>
                <w:u w:val="none"/>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等线" w:hAnsi="等线" w:eastAsia="等线" w:cs="等线"/>
                <w:i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墙面音频视频插座</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国产</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2"/>
                <w:szCs w:val="22"/>
                <w:u w:val="none"/>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HDMI*1+AV*1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HDMI高清切换器</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国产</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2"/>
                <w:szCs w:val="22"/>
                <w:u w:val="none"/>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4进1出</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7</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HDMI高清放大器</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国产</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2"/>
                <w:szCs w:val="22"/>
                <w:u w:val="none"/>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1进4出</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8</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六类网络信息点</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TCL</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2"/>
                <w:szCs w:val="22"/>
                <w:u w:val="none"/>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含线含模块</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6</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 xml:space="preserve"> HDMI线</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秋叶原</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Q-603H</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1.8米</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9</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 xml:space="preserve"> HDMI线</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秋叶原</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Q-604H</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3米</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11</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 xml:space="preserve"> HDMI线</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秋叶原</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Q-610H</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10米</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12</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投影机控制线</w:t>
            </w:r>
          </w:p>
        </w:tc>
        <w:tc>
          <w:tcPr>
            <w:tcW w:w="93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 xml:space="preserve"> 国产</w:t>
            </w:r>
          </w:p>
        </w:tc>
        <w:tc>
          <w:tcPr>
            <w:tcW w:w="1731"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2"/>
                <w:szCs w:val="22"/>
                <w:u w:val="none"/>
              </w:rPr>
            </w:pPr>
          </w:p>
        </w:tc>
        <w:tc>
          <w:tcPr>
            <w:tcW w:w="2153"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25米</w:t>
            </w:r>
          </w:p>
        </w:tc>
        <w:tc>
          <w:tcPr>
            <w:tcW w:w="58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条</w:t>
            </w:r>
          </w:p>
        </w:tc>
        <w:tc>
          <w:tcPr>
            <w:tcW w:w="52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w:t>
            </w:r>
          </w:p>
        </w:tc>
        <w:tc>
          <w:tcPr>
            <w:tcW w:w="555"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13</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视频摄像机落地三角支架</w:t>
            </w:r>
          </w:p>
        </w:tc>
        <w:tc>
          <w:tcPr>
            <w:tcW w:w="93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 xml:space="preserve"> 国产</w:t>
            </w:r>
          </w:p>
        </w:tc>
        <w:tc>
          <w:tcPr>
            <w:tcW w:w="1731"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2"/>
                <w:szCs w:val="22"/>
                <w:u w:val="none"/>
              </w:rPr>
            </w:pPr>
          </w:p>
        </w:tc>
        <w:tc>
          <w:tcPr>
            <w:tcW w:w="2153" w:type="dxa"/>
            <w:tcBorders>
              <w:top w:val="single" w:color="000000" w:sz="4" w:space="0"/>
              <w:bottom w:val="single" w:color="000000" w:sz="4" w:space="0"/>
              <w:right w:val="single" w:color="000000" w:sz="4" w:space="0"/>
            </w:tcBorders>
            <w:shd w:val="clear" w:color="auto" w:fill="auto"/>
            <w:vAlign w:val="center"/>
          </w:tcPr>
          <w:p>
            <w:pPr>
              <w:jc w:val="left"/>
              <w:rPr>
                <w:rFonts w:hint="eastAsia" w:ascii="等线" w:hAnsi="等线" w:eastAsia="等线" w:cs="等线"/>
                <w:i w:val="0"/>
                <w:color w:val="000000"/>
                <w:sz w:val="22"/>
                <w:szCs w:val="22"/>
                <w:u w:val="none"/>
              </w:rPr>
            </w:pPr>
          </w:p>
        </w:tc>
        <w:tc>
          <w:tcPr>
            <w:tcW w:w="58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个</w:t>
            </w:r>
          </w:p>
        </w:tc>
        <w:tc>
          <w:tcPr>
            <w:tcW w:w="52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w:t>
            </w:r>
          </w:p>
        </w:tc>
        <w:tc>
          <w:tcPr>
            <w:tcW w:w="555"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14</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HDMI高传输器</w:t>
            </w:r>
          </w:p>
        </w:tc>
        <w:tc>
          <w:tcPr>
            <w:tcW w:w="93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MOTIVITY</w:t>
            </w:r>
          </w:p>
        </w:tc>
        <w:tc>
          <w:tcPr>
            <w:tcW w:w="1731"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2"/>
                <w:szCs w:val="22"/>
                <w:u w:val="none"/>
              </w:rPr>
            </w:pPr>
          </w:p>
        </w:tc>
        <w:tc>
          <w:tcPr>
            <w:tcW w:w="2153"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70米高清网传</w:t>
            </w:r>
          </w:p>
        </w:tc>
        <w:tc>
          <w:tcPr>
            <w:tcW w:w="58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对</w:t>
            </w:r>
          </w:p>
        </w:tc>
        <w:tc>
          <w:tcPr>
            <w:tcW w:w="52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w:t>
            </w:r>
          </w:p>
        </w:tc>
        <w:tc>
          <w:tcPr>
            <w:tcW w:w="555"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网络机柜</w:t>
            </w:r>
          </w:p>
        </w:tc>
        <w:tc>
          <w:tcPr>
            <w:tcW w:w="93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鸿图</w:t>
            </w:r>
          </w:p>
        </w:tc>
        <w:tc>
          <w:tcPr>
            <w:tcW w:w="173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24U</w:t>
            </w:r>
          </w:p>
        </w:tc>
        <w:tc>
          <w:tcPr>
            <w:tcW w:w="2153"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600*600*1200</w:t>
            </w:r>
          </w:p>
        </w:tc>
        <w:tc>
          <w:tcPr>
            <w:tcW w:w="58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台</w:t>
            </w:r>
          </w:p>
        </w:tc>
        <w:tc>
          <w:tcPr>
            <w:tcW w:w="52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w:t>
            </w:r>
          </w:p>
        </w:tc>
        <w:tc>
          <w:tcPr>
            <w:tcW w:w="555"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16</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机柜层板</w:t>
            </w:r>
          </w:p>
        </w:tc>
        <w:tc>
          <w:tcPr>
            <w:tcW w:w="93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鸿图</w:t>
            </w:r>
          </w:p>
        </w:tc>
        <w:tc>
          <w:tcPr>
            <w:tcW w:w="173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1U</w:t>
            </w:r>
          </w:p>
        </w:tc>
        <w:tc>
          <w:tcPr>
            <w:tcW w:w="2153" w:type="dxa"/>
            <w:tcBorders>
              <w:top w:val="single" w:color="000000" w:sz="4" w:space="0"/>
              <w:bottom w:val="single" w:color="000000" w:sz="4" w:space="0"/>
              <w:right w:val="single" w:color="000000" w:sz="4" w:space="0"/>
            </w:tcBorders>
            <w:shd w:val="clear" w:color="auto" w:fill="auto"/>
            <w:vAlign w:val="center"/>
          </w:tcPr>
          <w:p>
            <w:pPr>
              <w:jc w:val="left"/>
              <w:rPr>
                <w:rFonts w:hint="eastAsia" w:ascii="等线" w:hAnsi="等线" w:eastAsia="等线" w:cs="等线"/>
                <w:i w:val="0"/>
                <w:color w:val="000000"/>
                <w:sz w:val="22"/>
                <w:szCs w:val="22"/>
                <w:u w:val="none"/>
              </w:rPr>
            </w:pPr>
          </w:p>
        </w:tc>
        <w:tc>
          <w:tcPr>
            <w:tcW w:w="58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块</w:t>
            </w:r>
          </w:p>
        </w:tc>
        <w:tc>
          <w:tcPr>
            <w:tcW w:w="52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2</w:t>
            </w:r>
          </w:p>
        </w:tc>
        <w:tc>
          <w:tcPr>
            <w:tcW w:w="555"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17</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理线架</w:t>
            </w:r>
          </w:p>
        </w:tc>
        <w:tc>
          <w:tcPr>
            <w:tcW w:w="93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北讯</w:t>
            </w:r>
          </w:p>
        </w:tc>
        <w:tc>
          <w:tcPr>
            <w:tcW w:w="173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1U</w:t>
            </w:r>
          </w:p>
        </w:tc>
        <w:tc>
          <w:tcPr>
            <w:tcW w:w="2153" w:type="dxa"/>
            <w:tcBorders>
              <w:top w:val="single" w:color="000000" w:sz="4" w:space="0"/>
              <w:bottom w:val="single" w:color="000000" w:sz="4" w:space="0"/>
              <w:right w:val="single" w:color="000000" w:sz="4" w:space="0"/>
            </w:tcBorders>
            <w:shd w:val="clear" w:color="auto" w:fill="auto"/>
            <w:vAlign w:val="center"/>
          </w:tcPr>
          <w:p>
            <w:pPr>
              <w:jc w:val="left"/>
              <w:rPr>
                <w:rFonts w:hint="eastAsia" w:ascii="等线" w:hAnsi="等线" w:eastAsia="等线" w:cs="等线"/>
                <w:i w:val="0"/>
                <w:color w:val="000000"/>
                <w:sz w:val="22"/>
                <w:szCs w:val="22"/>
                <w:u w:val="none"/>
              </w:rPr>
            </w:pPr>
          </w:p>
        </w:tc>
        <w:tc>
          <w:tcPr>
            <w:tcW w:w="58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个</w:t>
            </w:r>
          </w:p>
        </w:tc>
        <w:tc>
          <w:tcPr>
            <w:tcW w:w="52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w:t>
            </w:r>
          </w:p>
        </w:tc>
        <w:tc>
          <w:tcPr>
            <w:tcW w:w="555"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18</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标签纸</w:t>
            </w:r>
          </w:p>
        </w:tc>
        <w:tc>
          <w:tcPr>
            <w:tcW w:w="93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兄弟</w:t>
            </w:r>
          </w:p>
        </w:tc>
        <w:tc>
          <w:tcPr>
            <w:tcW w:w="173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9MM</w:t>
            </w:r>
          </w:p>
        </w:tc>
        <w:tc>
          <w:tcPr>
            <w:tcW w:w="2153" w:type="dxa"/>
            <w:tcBorders>
              <w:top w:val="single" w:color="000000" w:sz="4" w:space="0"/>
              <w:bottom w:val="single" w:color="000000" w:sz="4" w:space="0"/>
              <w:right w:val="single" w:color="000000" w:sz="4" w:space="0"/>
            </w:tcBorders>
            <w:shd w:val="clear" w:color="auto" w:fill="auto"/>
            <w:vAlign w:val="center"/>
          </w:tcPr>
          <w:p>
            <w:pPr>
              <w:jc w:val="left"/>
              <w:rPr>
                <w:rFonts w:hint="eastAsia" w:ascii="等线" w:hAnsi="等线" w:eastAsia="等线" w:cs="等线"/>
                <w:i w:val="0"/>
                <w:color w:val="000000"/>
                <w:sz w:val="22"/>
                <w:szCs w:val="22"/>
                <w:u w:val="none"/>
              </w:rPr>
            </w:pPr>
          </w:p>
        </w:tc>
        <w:tc>
          <w:tcPr>
            <w:tcW w:w="58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卷</w:t>
            </w:r>
          </w:p>
        </w:tc>
        <w:tc>
          <w:tcPr>
            <w:tcW w:w="52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3</w:t>
            </w:r>
          </w:p>
        </w:tc>
        <w:tc>
          <w:tcPr>
            <w:tcW w:w="555"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19</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辅材</w:t>
            </w:r>
          </w:p>
        </w:tc>
        <w:tc>
          <w:tcPr>
            <w:tcW w:w="935"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1731"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2"/>
                <w:szCs w:val="22"/>
                <w:u w:val="none"/>
              </w:rPr>
            </w:pPr>
          </w:p>
        </w:tc>
        <w:tc>
          <w:tcPr>
            <w:tcW w:w="2153"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PVC网槽、PVC线管、明盒、开孔钻头等</w:t>
            </w:r>
          </w:p>
        </w:tc>
        <w:tc>
          <w:tcPr>
            <w:tcW w:w="58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批</w:t>
            </w:r>
          </w:p>
        </w:tc>
        <w:tc>
          <w:tcPr>
            <w:tcW w:w="52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w:t>
            </w:r>
          </w:p>
        </w:tc>
        <w:tc>
          <w:tcPr>
            <w:tcW w:w="555"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线材配件&amp;安装</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定制</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2"/>
                <w:szCs w:val="22"/>
                <w:u w:val="none"/>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各类接头、安装配件、PVC线槽等</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12" w:space="0"/>
            </w:tcBorders>
            <w:shd w:val="clear" w:color="auto" w:fill="auto"/>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46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21</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小计</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等线" w:hAnsi="等线" w:eastAsia="等线" w:cs="等线"/>
                <w:i w:val="0"/>
                <w:color w:val="000000"/>
                <w:sz w:val="22"/>
                <w:szCs w:val="22"/>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等线" w:hAnsi="等线" w:eastAsia="等线" w:cs="等线"/>
                <w:i w:val="0"/>
                <w:color w:val="000000"/>
                <w:sz w:val="22"/>
                <w:szCs w:val="22"/>
                <w:u w:val="none"/>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等线" w:hAnsi="等线" w:eastAsia="等线" w:cs="等线"/>
                <w:i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等线" w:hAnsi="等线" w:eastAsia="等线" w:cs="等线"/>
                <w:i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等线" w:hAnsi="等线" w:eastAsia="等线" w:cs="等线"/>
                <w:i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等线" w:hAnsi="等线" w:eastAsia="等线" w:cs="等线"/>
                <w:i w:val="0"/>
                <w:color w:val="000000"/>
                <w:sz w:val="22"/>
                <w:szCs w:val="22"/>
                <w:u w:val="none"/>
              </w:rPr>
            </w:pPr>
          </w:p>
        </w:tc>
        <w:tc>
          <w:tcPr>
            <w:tcW w:w="117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7719" w:type="dxa"/>
            <w:gridSpan w:val="8"/>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合计：</w:t>
            </w:r>
          </w:p>
        </w:tc>
        <w:tc>
          <w:tcPr>
            <w:tcW w:w="1170" w:type="dxa"/>
            <w:gridSpan w:val="2"/>
            <w:tcBorders>
              <w:top w:val="single" w:color="000000" w:sz="4" w:space="0"/>
              <w:left w:val="single" w:color="000000" w:sz="4"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0.0 </w:t>
            </w:r>
          </w:p>
        </w:tc>
      </w:tr>
    </w:tbl>
    <w:p>
      <w:pPr>
        <w:spacing w:line="360" w:lineRule="auto"/>
        <w:rPr>
          <w:sz w:val="24"/>
        </w:rPr>
      </w:pPr>
    </w:p>
    <w:p>
      <w:pPr>
        <w:spacing w:line="360" w:lineRule="auto"/>
        <w:ind w:firstLine="480" w:firstLineChars="200"/>
        <w:rPr>
          <w:sz w:val="24"/>
        </w:rPr>
      </w:pPr>
      <w:r>
        <w:rPr>
          <w:rFonts w:hint="eastAsia"/>
          <w:sz w:val="24"/>
        </w:rPr>
        <w:t>上述金额包含了乙方提供本合同约定的产品及相应服务（如有）的全部价格，对甲方权属子公司（</w:t>
      </w:r>
      <w:r>
        <w:rPr>
          <w:rFonts w:hint="eastAsia"/>
          <w:sz w:val="24"/>
          <w:lang w:val="zh-CN"/>
        </w:rPr>
        <w:t>福建省实华生产安全评价有限责任公司、福建省实华建设监理有限责任公司等）</w:t>
      </w:r>
      <w:r>
        <w:rPr>
          <w:rFonts w:hint="eastAsia"/>
          <w:sz w:val="24"/>
        </w:rPr>
        <w:t>同样适用，除非另有约定，甲方不再承担其他费用。</w:t>
      </w:r>
    </w:p>
    <w:p>
      <w:pPr>
        <w:spacing w:line="360" w:lineRule="auto"/>
        <w:rPr>
          <w:sz w:val="24"/>
        </w:rPr>
      </w:pPr>
      <w:r>
        <w:rPr>
          <w:sz w:val="24"/>
        </w:rPr>
        <w:t>2</w:t>
      </w:r>
      <w:r>
        <w:rPr>
          <w:rFonts w:hint="eastAsia"/>
          <w:sz w:val="24"/>
        </w:rPr>
        <w:t>、交货：</w:t>
      </w:r>
      <w:r>
        <w:rPr>
          <w:sz w:val="24"/>
          <w:u w:val="single"/>
        </w:rPr>
        <w:t xml:space="preserve"> </w:t>
      </w:r>
    </w:p>
    <w:p>
      <w:pPr>
        <w:spacing w:line="360" w:lineRule="auto"/>
        <w:ind w:firstLine="360" w:firstLineChars="150"/>
        <w:rPr>
          <w:sz w:val="24"/>
        </w:rPr>
      </w:pPr>
      <w:r>
        <w:rPr>
          <w:sz w:val="24"/>
        </w:rPr>
        <w:t xml:space="preserve"> 2.1</w:t>
      </w:r>
      <w:r>
        <w:rPr>
          <w:rFonts w:hint="eastAsia"/>
          <w:sz w:val="24"/>
        </w:rPr>
        <w:t>交货方式：</w:t>
      </w:r>
      <w:r>
        <w:rPr>
          <w:sz w:val="24"/>
          <w:u w:val="single"/>
        </w:rPr>
        <w:t xml:space="preserve"> </w:t>
      </w:r>
      <w:r>
        <w:rPr>
          <w:rFonts w:hint="eastAsia"/>
          <w:sz w:val="24"/>
          <w:u w:val="single"/>
        </w:rPr>
        <w:t>货到付款</w:t>
      </w:r>
      <w:r>
        <w:rPr>
          <w:sz w:val="24"/>
          <w:u w:val="single"/>
        </w:rPr>
        <w:t xml:space="preserve">  </w:t>
      </w:r>
    </w:p>
    <w:p>
      <w:pPr>
        <w:spacing w:line="360" w:lineRule="auto"/>
        <w:ind w:firstLine="480" w:firstLineChars="200"/>
        <w:rPr>
          <w:sz w:val="24"/>
          <w:u w:val="single"/>
        </w:rPr>
      </w:pPr>
      <w:r>
        <w:rPr>
          <w:sz w:val="24"/>
        </w:rPr>
        <w:t>2.2</w:t>
      </w:r>
      <w:r>
        <w:rPr>
          <w:rFonts w:hint="eastAsia"/>
          <w:sz w:val="24"/>
        </w:rPr>
        <w:t>交货地点：运送到</w:t>
      </w:r>
      <w:r>
        <w:rPr>
          <w:sz w:val="24"/>
          <w:u w:val="single"/>
        </w:rPr>
        <w:t xml:space="preserve"> </w:t>
      </w:r>
      <w:r>
        <w:rPr>
          <w:rFonts w:hint="eastAsia"/>
          <w:sz w:val="24"/>
          <w:u w:val="single"/>
        </w:rPr>
        <w:t>（以甲方提供的送货清单和地址明细为准）</w:t>
      </w:r>
    </w:p>
    <w:p>
      <w:pPr>
        <w:spacing w:line="360" w:lineRule="auto"/>
        <w:ind w:firstLine="480" w:firstLineChars="200"/>
        <w:rPr>
          <w:sz w:val="24"/>
        </w:rPr>
      </w:pPr>
      <w:r>
        <w:rPr>
          <w:sz w:val="24"/>
        </w:rPr>
        <w:t>2.3</w:t>
      </w:r>
      <w:r>
        <w:rPr>
          <w:rFonts w:hint="eastAsia"/>
          <w:sz w:val="24"/>
        </w:rPr>
        <w:t>交货时间：</w:t>
      </w:r>
      <w:r>
        <w:rPr>
          <w:sz w:val="24"/>
          <w:u w:val="single"/>
        </w:rPr>
        <w:t xml:space="preserve">  </w:t>
      </w:r>
      <w:r>
        <w:rPr>
          <w:rFonts w:hint="eastAsia"/>
          <w:sz w:val="24"/>
          <w:u w:val="single"/>
        </w:rPr>
        <w:t xml:space="preserve">     年    月      日前到货并验收合格</w:t>
      </w:r>
      <w:r>
        <w:rPr>
          <w:sz w:val="24"/>
          <w:u w:val="single"/>
        </w:rPr>
        <w:t xml:space="preserve">       </w:t>
      </w:r>
    </w:p>
    <w:p>
      <w:pPr>
        <w:spacing w:line="360" w:lineRule="auto"/>
        <w:ind w:firstLine="480" w:firstLineChars="200"/>
        <w:rPr>
          <w:sz w:val="24"/>
        </w:rPr>
      </w:pPr>
      <w:r>
        <w:rPr>
          <w:sz w:val="24"/>
        </w:rPr>
        <w:t>2.4</w:t>
      </w:r>
      <w:r>
        <w:rPr>
          <w:rFonts w:hint="eastAsia"/>
          <w:sz w:val="24"/>
        </w:rPr>
        <w:t>乙方提供送货上门服务，并承担运输过程中发生的一切费用。在产品交付给甲方之前，相关的毁损、灭失等风险均由乙方自行承担。</w:t>
      </w:r>
    </w:p>
    <w:p>
      <w:pPr>
        <w:spacing w:line="360" w:lineRule="auto"/>
        <w:rPr>
          <w:sz w:val="24"/>
        </w:rPr>
      </w:pPr>
      <w:r>
        <w:rPr>
          <w:sz w:val="24"/>
        </w:rPr>
        <w:t>3</w:t>
      </w:r>
      <w:r>
        <w:rPr>
          <w:rFonts w:hint="eastAsia"/>
          <w:sz w:val="24"/>
        </w:rPr>
        <w:t>、付款方式与条件</w:t>
      </w:r>
    </w:p>
    <w:p>
      <w:pPr>
        <w:spacing w:line="360" w:lineRule="auto"/>
        <w:ind w:firstLine="480" w:firstLineChars="200"/>
        <w:rPr>
          <w:sz w:val="24"/>
        </w:rPr>
      </w:pPr>
      <w:r>
        <w:rPr>
          <w:sz w:val="24"/>
        </w:rPr>
        <w:t>3.1</w:t>
      </w:r>
      <w:r>
        <w:rPr>
          <w:rFonts w:hint="eastAsia"/>
          <w:sz w:val="24"/>
        </w:rPr>
        <w:t>乙方交付的产品按合同约定标准经甲方验收合格后，乙方根据甲方要求提交全额增值税专用发票（税率</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），甲方在15个工作日内向乙方支付合同价总额。</w:t>
      </w:r>
    </w:p>
    <w:p>
      <w:pPr>
        <w:spacing w:line="360" w:lineRule="auto"/>
        <w:rPr>
          <w:sz w:val="24"/>
        </w:rPr>
      </w:pPr>
      <w:r>
        <w:rPr>
          <w:sz w:val="24"/>
        </w:rPr>
        <w:t>4</w:t>
      </w:r>
      <w:r>
        <w:rPr>
          <w:rFonts w:hint="eastAsia"/>
          <w:sz w:val="24"/>
        </w:rPr>
        <w:t>、质量要求标准</w:t>
      </w:r>
    </w:p>
    <w:p>
      <w:pPr>
        <w:spacing w:line="360" w:lineRule="auto"/>
        <w:rPr>
          <w:sz w:val="24"/>
        </w:rPr>
      </w:pPr>
      <w:r>
        <w:rPr>
          <w:sz w:val="24"/>
        </w:rPr>
        <w:t xml:space="preserve">    4.1</w:t>
      </w:r>
      <w:r>
        <w:rPr>
          <w:rFonts w:hint="eastAsia"/>
          <w:sz w:val="24"/>
        </w:rPr>
        <w:t>乙方所提供的产品必须是原厂原包装（含货物质量合格证书）产品，质量必须符合国家标准或行业标准以及原厂出厂标准（以说明书为准），且乙方所提供的产品的参数必须与官方网站中所列设的参数一致，如产品不符合本合同中约定的要求，甲方有权拒绝接受。</w:t>
      </w:r>
    </w:p>
    <w:p>
      <w:pPr>
        <w:spacing w:line="360" w:lineRule="auto"/>
        <w:rPr>
          <w:sz w:val="24"/>
        </w:rPr>
      </w:pPr>
      <w:r>
        <w:rPr>
          <w:sz w:val="24"/>
        </w:rPr>
        <w:t xml:space="preserve">    4.2</w:t>
      </w:r>
      <w:r>
        <w:rPr>
          <w:rFonts w:hint="eastAsia"/>
          <w:sz w:val="24"/>
        </w:rPr>
        <w:t>乙方应保证货物是全新、未使用过的原装合格正品，并完全符合合同规定的质量、规格的要求。</w:t>
      </w:r>
    </w:p>
    <w:p>
      <w:pPr>
        <w:spacing w:line="360" w:lineRule="auto"/>
        <w:rPr>
          <w:sz w:val="24"/>
        </w:rPr>
      </w:pPr>
      <w:r>
        <w:rPr>
          <w:sz w:val="24"/>
        </w:rPr>
        <w:t xml:space="preserve">    4.3</w:t>
      </w:r>
      <w:r>
        <w:rPr>
          <w:rFonts w:hint="eastAsia"/>
          <w:sz w:val="24"/>
        </w:rPr>
        <w:t>除合同另有规定外，乙方提供的全部货物均应按甲方要求的标准采取保护措施进行包装。该包装应适应于远距离运输、防潮、防震和防野蛮装卸，以确保货物安全无损运抵指定地点。由于包装不善所引起的货物损失均由乙方承担。</w:t>
      </w:r>
    </w:p>
    <w:p>
      <w:pPr>
        <w:spacing w:line="360" w:lineRule="auto"/>
        <w:ind w:firstLine="480"/>
        <w:rPr>
          <w:sz w:val="24"/>
        </w:rPr>
      </w:pPr>
      <w:r>
        <w:rPr>
          <w:rFonts w:hint="eastAsia"/>
          <w:sz w:val="24"/>
        </w:rPr>
        <w:t>4.5乙方不按本合同约定交付产品所产生的任何费用由乙方自己承担。</w:t>
      </w:r>
    </w:p>
    <w:p>
      <w:pPr>
        <w:spacing w:line="360" w:lineRule="auto"/>
        <w:rPr>
          <w:sz w:val="24"/>
        </w:rPr>
      </w:pPr>
      <w:r>
        <w:rPr>
          <w:rFonts w:hint="eastAsia"/>
          <w:sz w:val="24"/>
        </w:rPr>
        <w:t>5、验收</w:t>
      </w:r>
    </w:p>
    <w:p>
      <w:pPr>
        <w:spacing w:line="360" w:lineRule="auto"/>
        <w:rPr>
          <w:sz w:val="24"/>
        </w:rPr>
      </w:pPr>
      <w:r>
        <w:rPr>
          <w:sz w:val="24"/>
        </w:rPr>
        <w:t xml:space="preserve">    </w:t>
      </w:r>
      <w:r>
        <w:rPr>
          <w:rFonts w:hint="eastAsia"/>
          <w:sz w:val="24"/>
        </w:rPr>
        <w:t>5</w:t>
      </w:r>
      <w:r>
        <w:rPr>
          <w:sz w:val="24"/>
        </w:rPr>
        <w:t>.1</w:t>
      </w:r>
      <w:r>
        <w:rPr>
          <w:rFonts w:hint="eastAsia"/>
          <w:sz w:val="24"/>
        </w:rPr>
        <w:t>货物的货到验收包括：型号、规格、数量、外观质量、及货物包装是否完好。</w:t>
      </w:r>
    </w:p>
    <w:p>
      <w:pPr>
        <w:spacing w:line="360" w:lineRule="auto"/>
        <w:rPr>
          <w:sz w:val="24"/>
        </w:rPr>
      </w:pPr>
      <w:r>
        <w:rPr>
          <w:sz w:val="24"/>
        </w:rPr>
        <w:t xml:space="preserve">    </w:t>
      </w:r>
      <w:r>
        <w:rPr>
          <w:rFonts w:hint="eastAsia"/>
          <w:sz w:val="24"/>
        </w:rPr>
        <w:t>5</w:t>
      </w:r>
      <w:r>
        <w:rPr>
          <w:sz w:val="24"/>
        </w:rPr>
        <w:t>.2</w:t>
      </w:r>
      <w:r>
        <w:rPr>
          <w:rFonts w:hint="eastAsia"/>
          <w:sz w:val="24"/>
        </w:rPr>
        <w:t>乙方对一次开箱不合格（产品有质量问题）的产品予以换新，承担一切与之有关的费用。</w:t>
      </w:r>
    </w:p>
    <w:p>
      <w:pPr>
        <w:spacing w:line="360" w:lineRule="auto"/>
        <w:ind w:firstLine="480" w:firstLineChars="200"/>
        <w:rPr>
          <w:sz w:val="24"/>
        </w:rPr>
      </w:pPr>
      <w:r>
        <w:rPr>
          <w:rFonts w:hint="eastAsia"/>
          <w:sz w:val="24"/>
        </w:rPr>
        <w:t>5</w:t>
      </w:r>
      <w:r>
        <w:rPr>
          <w:sz w:val="24"/>
        </w:rPr>
        <w:t>.</w:t>
      </w:r>
      <w:r>
        <w:rPr>
          <w:rFonts w:hint="eastAsia"/>
          <w:sz w:val="24"/>
        </w:rPr>
        <w:t>3</w:t>
      </w:r>
      <w:r>
        <w:rPr>
          <w:sz w:val="24"/>
        </w:rPr>
        <w:t xml:space="preserve"> </w:t>
      </w:r>
      <w:r>
        <w:rPr>
          <w:rFonts w:hint="eastAsia"/>
          <w:sz w:val="24"/>
        </w:rPr>
        <w:t>但无论采取何种验收方式，均不免除乙方按照本合同约定应承担的质量保证责任。</w:t>
      </w:r>
    </w:p>
    <w:p>
      <w:pPr>
        <w:spacing w:line="360" w:lineRule="auto"/>
        <w:rPr>
          <w:sz w:val="24"/>
        </w:rPr>
      </w:pPr>
      <w:r>
        <w:rPr>
          <w:rFonts w:hint="eastAsia"/>
          <w:sz w:val="24"/>
        </w:rPr>
        <w:t>6、质量保证</w:t>
      </w:r>
    </w:p>
    <w:p>
      <w:pPr>
        <w:spacing w:line="360" w:lineRule="auto"/>
        <w:rPr>
          <w:sz w:val="24"/>
        </w:rPr>
      </w:pPr>
      <w:r>
        <w:rPr>
          <w:sz w:val="24"/>
        </w:rPr>
        <w:t xml:space="preserve">    </w:t>
      </w:r>
      <w:r>
        <w:rPr>
          <w:rFonts w:hint="eastAsia"/>
          <w:sz w:val="24"/>
        </w:rPr>
        <w:t>除本合同另有约定外，本合同产品售后服务按厂家标准提供有关质量保证和售后服务的承诺执行，国家有规定的按国家规定执行。</w:t>
      </w:r>
    </w:p>
    <w:p>
      <w:pPr>
        <w:spacing w:line="360" w:lineRule="auto"/>
        <w:rPr>
          <w:sz w:val="24"/>
        </w:rPr>
      </w:pPr>
      <w:r>
        <w:rPr>
          <w:rFonts w:hint="eastAsia"/>
          <w:sz w:val="24"/>
        </w:rPr>
        <w:t>7、违约责任</w:t>
      </w:r>
    </w:p>
    <w:p>
      <w:pPr>
        <w:spacing w:line="360" w:lineRule="auto"/>
        <w:rPr>
          <w:sz w:val="24"/>
        </w:rPr>
      </w:pPr>
      <w:r>
        <w:rPr>
          <w:sz w:val="24"/>
        </w:rPr>
        <w:t xml:space="preserve">   </w:t>
      </w:r>
      <w:r>
        <w:rPr>
          <w:rFonts w:hint="eastAsia"/>
          <w:sz w:val="24"/>
        </w:rPr>
        <w:t>7</w:t>
      </w:r>
      <w:r>
        <w:rPr>
          <w:sz w:val="24"/>
        </w:rPr>
        <w:t>.1</w:t>
      </w:r>
      <w:r>
        <w:rPr>
          <w:rFonts w:hint="eastAsia"/>
          <w:sz w:val="24"/>
        </w:rPr>
        <w:t>乙方逾期交货的，每日按照合同总额的</w:t>
      </w:r>
      <w:r>
        <w:rPr>
          <w:sz w:val="24"/>
          <w:u w:val="single"/>
        </w:rPr>
        <w:t xml:space="preserve"> 5  </w:t>
      </w:r>
      <w:r>
        <w:rPr>
          <w:rFonts w:hint="eastAsia"/>
          <w:sz w:val="24"/>
        </w:rPr>
        <w:t>‰向甲方支付违约金，逾期超过</w:t>
      </w:r>
      <w:r>
        <w:rPr>
          <w:sz w:val="24"/>
          <w:u w:val="single"/>
        </w:rPr>
        <w:t xml:space="preserve"> 7  </w:t>
      </w:r>
      <w:r>
        <w:rPr>
          <w:rFonts w:hint="eastAsia"/>
          <w:sz w:val="24"/>
        </w:rPr>
        <w:t>日的，甲方还有权解除合同，并要求乙方一次性支付合同总额</w:t>
      </w:r>
      <w:r>
        <w:rPr>
          <w:sz w:val="24"/>
          <w:u w:val="single"/>
        </w:rPr>
        <w:t xml:space="preserve"> 10  </w:t>
      </w:r>
      <w:r>
        <w:rPr>
          <w:sz w:val="24"/>
        </w:rPr>
        <w:t>%</w:t>
      </w:r>
      <w:r>
        <w:rPr>
          <w:rFonts w:hint="eastAsia"/>
          <w:sz w:val="24"/>
        </w:rPr>
        <w:t>的违约金。乙方部分交货、交货不合格的，均按照逾期交货处理。</w:t>
      </w:r>
    </w:p>
    <w:p>
      <w:pPr>
        <w:spacing w:line="360" w:lineRule="auto"/>
        <w:rPr>
          <w:sz w:val="24"/>
        </w:rPr>
      </w:pPr>
      <w:r>
        <w:rPr>
          <w:sz w:val="24"/>
        </w:rPr>
        <w:t xml:space="preserve">   </w:t>
      </w:r>
      <w:r>
        <w:rPr>
          <w:rFonts w:hint="eastAsia"/>
          <w:sz w:val="24"/>
        </w:rPr>
        <w:t>7.</w:t>
      </w:r>
      <w:r>
        <w:rPr>
          <w:sz w:val="24"/>
        </w:rPr>
        <w:t xml:space="preserve">2 </w:t>
      </w:r>
      <w:r>
        <w:rPr>
          <w:rFonts w:hint="eastAsia"/>
          <w:sz w:val="24"/>
        </w:rPr>
        <w:t>乙方交付的产品经甲方验收不合格的，每次应向甲方支付违约金人民币</w:t>
      </w:r>
      <w:r>
        <w:rPr>
          <w:sz w:val="24"/>
          <w:u w:val="single"/>
        </w:rPr>
        <w:t xml:space="preserve">    </w:t>
      </w:r>
      <w:r>
        <w:rPr>
          <w:rFonts w:hint="eastAsia"/>
          <w:sz w:val="24"/>
        </w:rPr>
        <w:t>元，并应根据甲方要求进行修理、更换或采取其他补救措施。累计</w:t>
      </w:r>
      <w:r>
        <w:rPr>
          <w:sz w:val="24"/>
          <w:u w:val="single"/>
        </w:rPr>
        <w:t xml:space="preserve">  </w:t>
      </w:r>
      <w:r>
        <w:rPr>
          <w:rFonts w:hint="eastAsia"/>
          <w:sz w:val="24"/>
        </w:rPr>
        <w:t>次验收不合格的，甲方还有权解除合同、拒绝支付任何费用。</w:t>
      </w:r>
    </w:p>
    <w:p>
      <w:pPr>
        <w:spacing w:line="360" w:lineRule="auto"/>
        <w:rPr>
          <w:sz w:val="24"/>
        </w:rPr>
      </w:pPr>
      <w:r>
        <w:rPr>
          <w:sz w:val="24"/>
        </w:rPr>
        <w:t xml:space="preserve">   </w:t>
      </w:r>
      <w:r>
        <w:rPr>
          <w:rFonts w:hint="eastAsia"/>
          <w:sz w:val="24"/>
        </w:rPr>
        <w:t>7</w:t>
      </w:r>
      <w:r>
        <w:rPr>
          <w:sz w:val="24"/>
        </w:rPr>
        <w:t xml:space="preserve">.3 </w:t>
      </w:r>
      <w:r>
        <w:rPr>
          <w:rFonts w:hint="eastAsia"/>
          <w:sz w:val="24"/>
        </w:rPr>
        <w:t>甲方无故逾期付款的，按照银行同期贷款利率标准支付利息。</w:t>
      </w:r>
    </w:p>
    <w:p>
      <w:pPr>
        <w:spacing w:line="360" w:lineRule="auto"/>
        <w:ind w:firstLine="360" w:firstLineChars="150"/>
        <w:rPr>
          <w:sz w:val="24"/>
        </w:rPr>
      </w:pPr>
      <w:r>
        <w:rPr>
          <w:rFonts w:hint="eastAsia"/>
          <w:sz w:val="24"/>
        </w:rPr>
        <w:t>7</w:t>
      </w:r>
      <w:r>
        <w:rPr>
          <w:sz w:val="24"/>
        </w:rPr>
        <w:t xml:space="preserve">.4 </w:t>
      </w:r>
      <w:r>
        <w:rPr>
          <w:rFonts w:hint="eastAsia"/>
          <w:sz w:val="24"/>
        </w:rPr>
        <w:t>一方的违约行为给对方造成的损失超过本合同约定的违约金数额的，超出部分，违约方应予以赔偿。</w:t>
      </w:r>
    </w:p>
    <w:p>
      <w:pPr>
        <w:spacing w:line="360" w:lineRule="auto"/>
        <w:ind w:firstLine="480" w:firstLineChars="200"/>
        <w:rPr>
          <w:sz w:val="24"/>
        </w:rPr>
      </w:pPr>
      <w:r>
        <w:rPr>
          <w:rFonts w:hint="eastAsia"/>
          <w:sz w:val="24"/>
        </w:rPr>
        <w:t>8、通知</w:t>
      </w:r>
    </w:p>
    <w:p>
      <w:pPr>
        <w:spacing w:line="360" w:lineRule="auto"/>
        <w:ind w:firstLine="480" w:firstLineChars="200"/>
        <w:rPr>
          <w:sz w:val="24"/>
        </w:rPr>
      </w:pPr>
      <w:r>
        <w:rPr>
          <w:rFonts w:hint="eastAsia"/>
          <w:sz w:val="24"/>
        </w:rPr>
        <w:t>双方重要文件往来应当以书面形式（含传真、电子邮件等）进行。如以特快专递方式送达至本合同所列地址，则：双方地址在同一个地市级行政区域内的，自特快专递寄出之日起算第</w:t>
      </w:r>
      <w:r>
        <w:rPr>
          <w:sz w:val="24"/>
        </w:rPr>
        <w:t>3</w:t>
      </w:r>
      <w:r>
        <w:rPr>
          <w:rFonts w:hint="eastAsia"/>
          <w:sz w:val="24"/>
        </w:rPr>
        <w:t>日即视为已有效送达（有证据证明对方已经提前签收除外）；双方地址不在同一个地市级行政区域内的，自特快专递寄出之日起算第</w:t>
      </w:r>
      <w:r>
        <w:rPr>
          <w:sz w:val="24"/>
        </w:rPr>
        <w:t>5</w:t>
      </w:r>
      <w:r>
        <w:rPr>
          <w:rFonts w:hint="eastAsia"/>
          <w:sz w:val="24"/>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ind w:firstLine="480" w:firstLineChars="200"/>
        <w:rPr>
          <w:sz w:val="24"/>
        </w:rPr>
      </w:pPr>
      <w:r>
        <w:rPr>
          <w:sz w:val="24"/>
        </w:rPr>
        <w:t>10</w:t>
      </w:r>
      <w:r>
        <w:rPr>
          <w:rFonts w:hint="eastAsia"/>
          <w:sz w:val="24"/>
        </w:rPr>
        <w:t>、本合同一式</w:t>
      </w:r>
      <w:r>
        <w:rPr>
          <w:rFonts w:hint="eastAsia"/>
          <w:sz w:val="24"/>
          <w:lang w:eastAsia="zh-CN"/>
        </w:rPr>
        <w:t>贰</w:t>
      </w:r>
      <w:r>
        <w:rPr>
          <w:rFonts w:hint="eastAsia"/>
          <w:sz w:val="24"/>
        </w:rPr>
        <w:t>份，经双方签订后生效，甲方执</w:t>
      </w:r>
      <w:r>
        <w:rPr>
          <w:rFonts w:hint="eastAsia"/>
          <w:sz w:val="24"/>
          <w:lang w:eastAsia="zh-CN"/>
        </w:rPr>
        <w:t>一</w:t>
      </w:r>
      <w:r>
        <w:rPr>
          <w:rFonts w:hint="eastAsia"/>
          <w:sz w:val="24"/>
        </w:rPr>
        <w:t>份、乙方执一份，具有同等效力。</w:t>
      </w:r>
    </w:p>
    <w:p>
      <w:pPr>
        <w:spacing w:line="360" w:lineRule="auto"/>
        <w:rPr>
          <w:sz w:val="24"/>
        </w:rPr>
      </w:pPr>
      <w:r>
        <w:rPr>
          <w:rFonts w:hint="eastAsia"/>
          <w:sz w:val="24"/>
        </w:rPr>
        <w:t>甲方：</w:t>
      </w:r>
      <w:r>
        <w:rPr>
          <w:sz w:val="24"/>
        </w:rPr>
        <w:t xml:space="preserve">                                         </w:t>
      </w:r>
      <w:r>
        <w:rPr>
          <w:rFonts w:hint="eastAsia"/>
          <w:sz w:val="24"/>
        </w:rPr>
        <w:t>乙方：</w:t>
      </w:r>
    </w:p>
    <w:p>
      <w:pPr>
        <w:spacing w:line="360" w:lineRule="auto"/>
        <w:rPr>
          <w:sz w:val="24"/>
        </w:rPr>
      </w:pPr>
      <w:r>
        <w:rPr>
          <w:rFonts w:hint="eastAsia"/>
          <w:sz w:val="24"/>
        </w:rPr>
        <w:t>联系地址：</w:t>
      </w:r>
      <w:r>
        <w:rPr>
          <w:sz w:val="24"/>
        </w:rPr>
        <w:t xml:space="preserve">                                     </w:t>
      </w:r>
      <w:r>
        <w:rPr>
          <w:rFonts w:hint="eastAsia"/>
          <w:sz w:val="24"/>
        </w:rPr>
        <w:t>联系地址：</w:t>
      </w:r>
    </w:p>
    <w:p>
      <w:pPr>
        <w:spacing w:line="360" w:lineRule="auto"/>
        <w:rPr>
          <w:sz w:val="24"/>
        </w:rPr>
      </w:pPr>
      <w:r>
        <w:rPr>
          <w:rFonts w:hint="eastAsia"/>
          <w:sz w:val="24"/>
        </w:rPr>
        <w:t>邮编：</w:t>
      </w:r>
      <w:r>
        <w:rPr>
          <w:sz w:val="24"/>
        </w:rPr>
        <w:t xml:space="preserve">                                         </w:t>
      </w:r>
      <w:r>
        <w:rPr>
          <w:rFonts w:hint="eastAsia"/>
          <w:sz w:val="24"/>
        </w:rPr>
        <w:t>邮编：</w:t>
      </w:r>
    </w:p>
    <w:p>
      <w:pPr>
        <w:spacing w:line="360" w:lineRule="auto"/>
        <w:rPr>
          <w:sz w:val="24"/>
        </w:rPr>
      </w:pPr>
      <w:r>
        <w:rPr>
          <w:rFonts w:hint="eastAsia"/>
          <w:sz w:val="24"/>
        </w:rPr>
        <w:t>传真：</w:t>
      </w:r>
      <w:r>
        <w:rPr>
          <w:sz w:val="24"/>
        </w:rPr>
        <w:t xml:space="preserve">                                         </w:t>
      </w:r>
      <w:r>
        <w:rPr>
          <w:rFonts w:hint="eastAsia"/>
          <w:sz w:val="24"/>
        </w:rPr>
        <w:t>传真：</w:t>
      </w:r>
    </w:p>
    <w:p>
      <w:pPr>
        <w:spacing w:line="360" w:lineRule="auto"/>
        <w:rPr>
          <w:sz w:val="24"/>
        </w:rPr>
      </w:pPr>
      <w:r>
        <w:rPr>
          <w:rFonts w:hint="eastAsia"/>
          <w:sz w:val="24"/>
        </w:rPr>
        <w:t>电子邮箱：</w:t>
      </w:r>
      <w:r>
        <w:rPr>
          <w:sz w:val="24"/>
        </w:rPr>
        <w:t xml:space="preserve">                                     </w:t>
      </w:r>
      <w:r>
        <w:rPr>
          <w:rFonts w:hint="eastAsia"/>
          <w:sz w:val="24"/>
        </w:rPr>
        <w:t>电子邮箱：</w:t>
      </w:r>
    </w:p>
    <w:p>
      <w:pPr>
        <w:spacing w:line="360" w:lineRule="auto"/>
        <w:rPr>
          <w:sz w:val="24"/>
        </w:rPr>
      </w:pPr>
      <w:r>
        <w:rPr>
          <w:rFonts w:hint="eastAsia"/>
          <w:sz w:val="24"/>
        </w:rPr>
        <w:t>法人或委托代理人：</w:t>
      </w:r>
      <w:r>
        <w:rPr>
          <w:sz w:val="24"/>
        </w:rPr>
        <w:t xml:space="preserve">                      </w:t>
      </w:r>
      <w:r>
        <w:rPr>
          <w:rFonts w:hint="eastAsia"/>
          <w:sz w:val="24"/>
        </w:rPr>
        <w:t xml:space="preserve">   </w:t>
      </w:r>
      <w:r>
        <w:rPr>
          <w:sz w:val="24"/>
        </w:rPr>
        <w:t xml:space="preserve">    </w:t>
      </w:r>
      <w:r>
        <w:rPr>
          <w:rFonts w:hint="eastAsia"/>
          <w:sz w:val="24"/>
        </w:rPr>
        <w:t>法人或委托代理人：</w:t>
      </w:r>
    </w:p>
    <w:p>
      <w:pPr>
        <w:spacing w:line="360" w:lineRule="auto"/>
        <w:rPr>
          <w:sz w:val="24"/>
        </w:rPr>
      </w:pPr>
      <w:r>
        <w:rPr>
          <w:rFonts w:hint="eastAsia"/>
          <w:sz w:val="24"/>
        </w:rPr>
        <w:t>电话：</w:t>
      </w:r>
      <w:r>
        <w:rPr>
          <w:sz w:val="24"/>
        </w:rPr>
        <w:t xml:space="preserve">                                         </w:t>
      </w:r>
      <w:r>
        <w:rPr>
          <w:rFonts w:hint="eastAsia"/>
          <w:sz w:val="24"/>
        </w:rPr>
        <w:t>电话：</w:t>
      </w:r>
    </w:p>
    <w:p>
      <w:pPr>
        <w:spacing w:line="360" w:lineRule="auto"/>
        <w:rPr>
          <w:sz w:val="24"/>
        </w:rPr>
      </w:pPr>
      <w:r>
        <w:rPr>
          <w:rFonts w:hint="eastAsia"/>
          <w:sz w:val="24"/>
        </w:rPr>
        <w:t>开户银行：</w:t>
      </w:r>
      <w:r>
        <w:rPr>
          <w:sz w:val="24"/>
        </w:rPr>
        <w:t xml:space="preserve">                                     </w:t>
      </w:r>
      <w:r>
        <w:rPr>
          <w:rFonts w:hint="eastAsia"/>
          <w:sz w:val="24"/>
        </w:rPr>
        <w:t>开户银行：</w:t>
      </w:r>
    </w:p>
    <w:p>
      <w:pPr>
        <w:spacing w:line="360" w:lineRule="auto"/>
        <w:rPr>
          <w:rFonts w:hint="eastAsia"/>
          <w:sz w:val="24"/>
        </w:rPr>
      </w:pPr>
      <w:r>
        <w:rPr>
          <w:rFonts w:hint="eastAsia"/>
          <w:sz w:val="24"/>
        </w:rPr>
        <w:t>账号：</w:t>
      </w:r>
      <w:r>
        <w:rPr>
          <w:sz w:val="24"/>
        </w:rPr>
        <w:t xml:space="preserve">                                         </w:t>
      </w:r>
      <w:r>
        <w:rPr>
          <w:rFonts w:hint="eastAsia"/>
          <w:sz w:val="24"/>
        </w:rPr>
        <w:t>账号：</w:t>
      </w: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napToGrid w:val="0"/>
        <w:spacing w:line="360" w:lineRule="auto"/>
        <w:jc w:val="left"/>
        <w:rPr>
          <w:rFonts w:hint="eastAsia" w:cs="宋体" w:asciiTheme="minorEastAsia" w:hAnsiTheme="minorEastAsia" w:eastAsiaTheme="minorEastAsia"/>
          <w:sz w:val="32"/>
          <w:szCs w:val="32"/>
        </w:rPr>
      </w:pPr>
    </w:p>
    <w:p>
      <w:pPr>
        <w:snapToGrid w:val="0"/>
        <w:spacing w:line="360" w:lineRule="auto"/>
        <w:jc w:val="left"/>
        <w:rPr>
          <w:rFonts w:hint="eastAsia" w:cs="宋体" w:asciiTheme="minorEastAsia" w:hAnsiTheme="minorEastAsia" w:eastAsiaTheme="minorEastAsia"/>
          <w:sz w:val="32"/>
          <w:szCs w:val="32"/>
        </w:rPr>
      </w:pPr>
    </w:p>
    <w:p>
      <w:pPr>
        <w:spacing w:line="120" w:lineRule="auto"/>
        <w:jc w:val="left"/>
        <w:rPr>
          <w:sz w:val="32"/>
          <w:szCs w:val="32"/>
        </w:rPr>
      </w:pPr>
    </w:p>
    <w:p>
      <w:pPr>
        <w:spacing w:line="360" w:lineRule="auto"/>
        <w:rPr>
          <w:rFonts w:hint="eastAsia"/>
          <w:sz w:val="24"/>
          <w:szCs w:val="22"/>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663E3"/>
    <w:multiLevelType w:val="singleLevel"/>
    <w:tmpl w:val="58B663E3"/>
    <w:lvl w:ilvl="0" w:tentative="0">
      <w:start w:val="1"/>
      <w:numFmt w:val="decimal"/>
      <w:suff w:val="nothing"/>
      <w:lvlText w:val="%1、"/>
      <w:lvlJc w:val="left"/>
    </w:lvl>
  </w:abstractNum>
  <w:abstractNum w:abstractNumId="1">
    <w:nsid w:val="5BBC65EA"/>
    <w:multiLevelType w:val="singleLevel"/>
    <w:tmpl w:val="5BBC65EA"/>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26F39"/>
    <w:rsid w:val="000476AC"/>
    <w:rsid w:val="000528A4"/>
    <w:rsid w:val="000A4BEF"/>
    <w:rsid w:val="000B4FA4"/>
    <w:rsid w:val="000D65B4"/>
    <w:rsid w:val="00104C0E"/>
    <w:rsid w:val="00116A2F"/>
    <w:rsid w:val="00163134"/>
    <w:rsid w:val="001D015D"/>
    <w:rsid w:val="002207DC"/>
    <w:rsid w:val="00251085"/>
    <w:rsid w:val="00274E8E"/>
    <w:rsid w:val="002A3877"/>
    <w:rsid w:val="002F3C24"/>
    <w:rsid w:val="00300033"/>
    <w:rsid w:val="003100AA"/>
    <w:rsid w:val="00324D81"/>
    <w:rsid w:val="003470E5"/>
    <w:rsid w:val="003644D1"/>
    <w:rsid w:val="0038031C"/>
    <w:rsid w:val="003E46A5"/>
    <w:rsid w:val="00412899"/>
    <w:rsid w:val="00451380"/>
    <w:rsid w:val="00503348"/>
    <w:rsid w:val="00527FA6"/>
    <w:rsid w:val="006000D3"/>
    <w:rsid w:val="00645CDE"/>
    <w:rsid w:val="00740542"/>
    <w:rsid w:val="0075628A"/>
    <w:rsid w:val="007900A4"/>
    <w:rsid w:val="00883337"/>
    <w:rsid w:val="008A44B3"/>
    <w:rsid w:val="009057CC"/>
    <w:rsid w:val="00911251"/>
    <w:rsid w:val="00975D31"/>
    <w:rsid w:val="009B29EE"/>
    <w:rsid w:val="009C338E"/>
    <w:rsid w:val="009C3FE9"/>
    <w:rsid w:val="009D04DA"/>
    <w:rsid w:val="009D68F4"/>
    <w:rsid w:val="009E5019"/>
    <w:rsid w:val="009F72A5"/>
    <w:rsid w:val="00A2652C"/>
    <w:rsid w:val="00A31CFA"/>
    <w:rsid w:val="00A36E75"/>
    <w:rsid w:val="00A406B1"/>
    <w:rsid w:val="00A47BA4"/>
    <w:rsid w:val="00A81E00"/>
    <w:rsid w:val="00A9754C"/>
    <w:rsid w:val="00AA03A0"/>
    <w:rsid w:val="00AE347F"/>
    <w:rsid w:val="00AE3CC2"/>
    <w:rsid w:val="00AF3732"/>
    <w:rsid w:val="00B57F7A"/>
    <w:rsid w:val="00B63A61"/>
    <w:rsid w:val="00B801EF"/>
    <w:rsid w:val="00CB52D2"/>
    <w:rsid w:val="00CC213F"/>
    <w:rsid w:val="00CD5597"/>
    <w:rsid w:val="00CE5A4B"/>
    <w:rsid w:val="00D05711"/>
    <w:rsid w:val="00D27CAA"/>
    <w:rsid w:val="00D53A51"/>
    <w:rsid w:val="00D66583"/>
    <w:rsid w:val="00DA277E"/>
    <w:rsid w:val="00E1359E"/>
    <w:rsid w:val="00E32B85"/>
    <w:rsid w:val="00E4135E"/>
    <w:rsid w:val="00E5484E"/>
    <w:rsid w:val="00E65523"/>
    <w:rsid w:val="00F66B5F"/>
    <w:rsid w:val="00F67168"/>
    <w:rsid w:val="014D0902"/>
    <w:rsid w:val="019E5F5D"/>
    <w:rsid w:val="01F033AB"/>
    <w:rsid w:val="0246558D"/>
    <w:rsid w:val="038E44C3"/>
    <w:rsid w:val="042C6734"/>
    <w:rsid w:val="049454A9"/>
    <w:rsid w:val="070A2542"/>
    <w:rsid w:val="07A9642B"/>
    <w:rsid w:val="08FB78F8"/>
    <w:rsid w:val="090C6809"/>
    <w:rsid w:val="09937FD0"/>
    <w:rsid w:val="0A264AB8"/>
    <w:rsid w:val="0A3D55B0"/>
    <w:rsid w:val="0A416911"/>
    <w:rsid w:val="0B290B23"/>
    <w:rsid w:val="0BEF7EDE"/>
    <w:rsid w:val="0C345FB4"/>
    <w:rsid w:val="0C5A6B2E"/>
    <w:rsid w:val="0CAE2E10"/>
    <w:rsid w:val="0DC37A5D"/>
    <w:rsid w:val="0DE37B6A"/>
    <w:rsid w:val="0EE93468"/>
    <w:rsid w:val="0FA24F45"/>
    <w:rsid w:val="11875D04"/>
    <w:rsid w:val="119A70AF"/>
    <w:rsid w:val="11C10844"/>
    <w:rsid w:val="120B49D8"/>
    <w:rsid w:val="12333AA4"/>
    <w:rsid w:val="123F6791"/>
    <w:rsid w:val="15A21968"/>
    <w:rsid w:val="168814C0"/>
    <w:rsid w:val="1820390A"/>
    <w:rsid w:val="18801192"/>
    <w:rsid w:val="18EB5FF7"/>
    <w:rsid w:val="18F561CF"/>
    <w:rsid w:val="19196ACA"/>
    <w:rsid w:val="19490BF6"/>
    <w:rsid w:val="19B106AC"/>
    <w:rsid w:val="1A243E2F"/>
    <w:rsid w:val="1A58655B"/>
    <w:rsid w:val="1A596C48"/>
    <w:rsid w:val="1C6015FC"/>
    <w:rsid w:val="1D0323B2"/>
    <w:rsid w:val="1EBE145B"/>
    <w:rsid w:val="1F232CF7"/>
    <w:rsid w:val="205E4521"/>
    <w:rsid w:val="20BB66AC"/>
    <w:rsid w:val="216B7F19"/>
    <w:rsid w:val="22D04059"/>
    <w:rsid w:val="2482312E"/>
    <w:rsid w:val="250A6745"/>
    <w:rsid w:val="26DB6363"/>
    <w:rsid w:val="27870276"/>
    <w:rsid w:val="27BC0574"/>
    <w:rsid w:val="290B2799"/>
    <w:rsid w:val="2A573E90"/>
    <w:rsid w:val="2AB37D78"/>
    <w:rsid w:val="2B2D76D7"/>
    <w:rsid w:val="2B725517"/>
    <w:rsid w:val="2BFB410A"/>
    <w:rsid w:val="2FC9730E"/>
    <w:rsid w:val="30072641"/>
    <w:rsid w:val="3085788B"/>
    <w:rsid w:val="313E6846"/>
    <w:rsid w:val="31434B4E"/>
    <w:rsid w:val="32E73D54"/>
    <w:rsid w:val="335C0074"/>
    <w:rsid w:val="35303458"/>
    <w:rsid w:val="3557263D"/>
    <w:rsid w:val="358C575D"/>
    <w:rsid w:val="35DF1CA0"/>
    <w:rsid w:val="360A66C8"/>
    <w:rsid w:val="37A97B97"/>
    <w:rsid w:val="37EC505E"/>
    <w:rsid w:val="38020729"/>
    <w:rsid w:val="3A114894"/>
    <w:rsid w:val="3BB25AD6"/>
    <w:rsid w:val="3DB01C6A"/>
    <w:rsid w:val="3F645247"/>
    <w:rsid w:val="4047435A"/>
    <w:rsid w:val="42CD7427"/>
    <w:rsid w:val="461D2191"/>
    <w:rsid w:val="47D20E9A"/>
    <w:rsid w:val="481B63A7"/>
    <w:rsid w:val="48716C22"/>
    <w:rsid w:val="491417DA"/>
    <w:rsid w:val="496A2F09"/>
    <w:rsid w:val="49D658EF"/>
    <w:rsid w:val="4AF62EE3"/>
    <w:rsid w:val="4BFA0720"/>
    <w:rsid w:val="4CE91E55"/>
    <w:rsid w:val="4D00790D"/>
    <w:rsid w:val="4D047BB9"/>
    <w:rsid w:val="4DF81BA3"/>
    <w:rsid w:val="4E4D647A"/>
    <w:rsid w:val="4EA72222"/>
    <w:rsid w:val="4EB34550"/>
    <w:rsid w:val="4EEF574D"/>
    <w:rsid w:val="4F434449"/>
    <w:rsid w:val="50F23166"/>
    <w:rsid w:val="511E48DE"/>
    <w:rsid w:val="513E4E43"/>
    <w:rsid w:val="51900E6F"/>
    <w:rsid w:val="529F69CB"/>
    <w:rsid w:val="532B295C"/>
    <w:rsid w:val="534E3B2D"/>
    <w:rsid w:val="53CE114F"/>
    <w:rsid w:val="553A77AF"/>
    <w:rsid w:val="56516B4F"/>
    <w:rsid w:val="56E443F3"/>
    <w:rsid w:val="58C1470A"/>
    <w:rsid w:val="5A6410DB"/>
    <w:rsid w:val="5B605A30"/>
    <w:rsid w:val="5B631AE0"/>
    <w:rsid w:val="5C3B165F"/>
    <w:rsid w:val="5D18209E"/>
    <w:rsid w:val="5E1E4A02"/>
    <w:rsid w:val="5F37574B"/>
    <w:rsid w:val="5F8D2393"/>
    <w:rsid w:val="5F924479"/>
    <w:rsid w:val="5FAA6EB1"/>
    <w:rsid w:val="60787438"/>
    <w:rsid w:val="607F7E67"/>
    <w:rsid w:val="627D75A1"/>
    <w:rsid w:val="62820DAF"/>
    <w:rsid w:val="628C1C3F"/>
    <w:rsid w:val="62DC5A6E"/>
    <w:rsid w:val="65904C7E"/>
    <w:rsid w:val="65FD0E03"/>
    <w:rsid w:val="66751139"/>
    <w:rsid w:val="686563A5"/>
    <w:rsid w:val="68FF6FD4"/>
    <w:rsid w:val="69A768D6"/>
    <w:rsid w:val="6B4D6EF4"/>
    <w:rsid w:val="6B891C13"/>
    <w:rsid w:val="6C6E009D"/>
    <w:rsid w:val="6D35738A"/>
    <w:rsid w:val="6DAA4250"/>
    <w:rsid w:val="6EED49CF"/>
    <w:rsid w:val="6F7F64EC"/>
    <w:rsid w:val="6FAA096A"/>
    <w:rsid w:val="6FCC7288"/>
    <w:rsid w:val="702B2B25"/>
    <w:rsid w:val="707F4A9E"/>
    <w:rsid w:val="72EE0F2D"/>
    <w:rsid w:val="73134CDB"/>
    <w:rsid w:val="7356461F"/>
    <w:rsid w:val="75791C4F"/>
    <w:rsid w:val="76246C4D"/>
    <w:rsid w:val="766723FC"/>
    <w:rsid w:val="76D659D6"/>
    <w:rsid w:val="785065CB"/>
    <w:rsid w:val="7BA11FF3"/>
    <w:rsid w:val="7C2A5E22"/>
    <w:rsid w:val="7D4478BD"/>
    <w:rsid w:val="7D9A2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styleId="2">
    <w:name w:val="heading 1"/>
    <w:basedOn w:val="1"/>
    <w:next w:val="1"/>
    <w:link w:val="19"/>
    <w:qFormat/>
    <w:uiPriority w:val="0"/>
    <w:pPr>
      <w:keepNext/>
      <w:keepLines/>
      <w:adjustRightInd/>
      <w:spacing w:before="340" w:after="330" w:line="578" w:lineRule="auto"/>
      <w:textAlignment w:val="auto"/>
      <w:outlineLvl w:val="0"/>
    </w:pPr>
    <w:rPr>
      <w:b/>
      <w:bCs/>
      <w:kern w:val="44"/>
      <w:sz w:val="44"/>
      <w:szCs w:val="44"/>
      <w:lang w:val="zh-CN"/>
    </w:rPr>
  </w:style>
  <w:style w:type="character" w:default="1" w:styleId="8">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firstLineChars="200"/>
    </w:pPr>
    <w:rPr>
      <w:kern w:val="2"/>
      <w:sz w:val="21"/>
      <w:szCs w:val="24"/>
    </w:rPr>
  </w:style>
  <w:style w:type="paragraph" w:styleId="4">
    <w:name w:val="Plain Text"/>
    <w:basedOn w:val="1"/>
    <w:link w:val="18"/>
    <w:qFormat/>
    <w:uiPriority w:val="0"/>
    <w:rPr>
      <w:rFonts w:ascii="宋体" w:hAnsi="Courier New"/>
      <w:kern w:val="2"/>
      <w:sz w:val="21"/>
    </w:rPr>
  </w:style>
  <w:style w:type="paragraph" w:styleId="5">
    <w:name w:val="footer"/>
    <w:basedOn w:val="1"/>
    <w:link w:val="58"/>
    <w:unhideWhenUsed/>
    <w:uiPriority w:val="99"/>
    <w:pPr>
      <w:tabs>
        <w:tab w:val="center" w:pos="4153"/>
        <w:tab w:val="right" w:pos="8306"/>
      </w:tabs>
      <w:snapToGrid w:val="0"/>
      <w:spacing w:line="240" w:lineRule="atLeast"/>
      <w:jc w:val="left"/>
    </w:pPr>
    <w:rPr>
      <w:sz w:val="18"/>
      <w:szCs w:val="18"/>
    </w:rPr>
  </w:style>
  <w:style w:type="paragraph" w:styleId="6">
    <w:name w:val="header"/>
    <w:basedOn w:val="1"/>
    <w:link w:val="5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FollowedHyperlink"/>
    <w:basedOn w:val="8"/>
    <w:unhideWhenUsed/>
    <w:qFormat/>
    <w:uiPriority w:val="99"/>
    <w:rPr>
      <w:color w:val="007CD2"/>
      <w:sz w:val="18"/>
      <w:szCs w:val="18"/>
      <w:u w:val="none"/>
    </w:rPr>
  </w:style>
  <w:style w:type="character" w:styleId="10">
    <w:name w:val="HTML Definition"/>
    <w:basedOn w:val="8"/>
    <w:unhideWhenUsed/>
    <w:qFormat/>
    <w:uiPriority w:val="99"/>
  </w:style>
  <w:style w:type="character" w:styleId="11">
    <w:name w:val="HTML Variable"/>
    <w:basedOn w:val="8"/>
    <w:unhideWhenUsed/>
    <w:qFormat/>
    <w:uiPriority w:val="99"/>
  </w:style>
  <w:style w:type="character" w:styleId="12">
    <w:name w:val="Hyperlink"/>
    <w:basedOn w:val="8"/>
    <w:unhideWhenUsed/>
    <w:qFormat/>
    <w:uiPriority w:val="99"/>
    <w:rPr>
      <w:color w:val="007CD2"/>
      <w:sz w:val="18"/>
      <w:szCs w:val="18"/>
      <w:u w:val="none"/>
    </w:rPr>
  </w:style>
  <w:style w:type="character" w:styleId="13">
    <w:name w:val="HTML Code"/>
    <w:basedOn w:val="8"/>
    <w:unhideWhenUsed/>
    <w:qFormat/>
    <w:uiPriority w:val="99"/>
    <w:rPr>
      <w:rFonts w:ascii="微软雅黑" w:hAnsi="微软雅黑" w:eastAsia="微软雅黑" w:cs="微软雅黑"/>
      <w:sz w:val="20"/>
    </w:rPr>
  </w:style>
  <w:style w:type="character" w:styleId="14">
    <w:name w:val="HTML Cite"/>
    <w:basedOn w:val="8"/>
    <w:unhideWhenUsed/>
    <w:qFormat/>
    <w:uiPriority w:val="99"/>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正文文本缩进1"/>
    <w:basedOn w:val="1"/>
    <w:qFormat/>
    <w:uiPriority w:val="0"/>
    <w:pPr>
      <w:ind w:firstLine="630"/>
    </w:pPr>
    <w:rPr>
      <w:rFonts w:eastAsia="仿宋_GB2312"/>
      <w:sz w:val="24"/>
      <w:szCs w:val="24"/>
    </w:rPr>
  </w:style>
  <w:style w:type="character" w:customStyle="1" w:styleId="18">
    <w:name w:val="纯文本 Char"/>
    <w:basedOn w:val="8"/>
    <w:link w:val="4"/>
    <w:qFormat/>
    <w:uiPriority w:val="0"/>
    <w:rPr>
      <w:rFonts w:ascii="宋体" w:hAnsi="Courier New" w:eastAsia="宋体" w:cs="Times New Roman"/>
      <w:szCs w:val="20"/>
    </w:rPr>
  </w:style>
  <w:style w:type="character" w:customStyle="1" w:styleId="19">
    <w:name w:val="标题 1 Char"/>
    <w:basedOn w:val="8"/>
    <w:link w:val="2"/>
    <w:qFormat/>
    <w:uiPriority w:val="0"/>
    <w:rPr>
      <w:rFonts w:ascii="Times New Roman" w:hAnsi="Times New Roman" w:eastAsia="宋体" w:cs="Times New Roman"/>
      <w:b/>
      <w:bCs/>
      <w:kern w:val="44"/>
      <w:sz w:val="44"/>
      <w:szCs w:val="44"/>
      <w:lang w:val="zh-CN" w:eastAsia="zh-CN"/>
    </w:rPr>
  </w:style>
  <w:style w:type="character" w:customStyle="1" w:styleId="20">
    <w:name w:val="正文1"/>
    <w:basedOn w:val="8"/>
    <w:qFormat/>
    <w:uiPriority w:val="0"/>
  </w:style>
  <w:style w:type="character" w:customStyle="1" w:styleId="21">
    <w:name w:val="normal2"/>
    <w:basedOn w:val="8"/>
    <w:qFormat/>
    <w:uiPriority w:val="0"/>
  </w:style>
  <w:style w:type="character" w:customStyle="1" w:styleId="22">
    <w:name w:val="font01"/>
    <w:basedOn w:val="8"/>
    <w:qFormat/>
    <w:uiPriority w:val="0"/>
    <w:rPr>
      <w:rFonts w:hint="eastAsia" w:ascii="宋体" w:hAnsi="宋体" w:eastAsia="宋体" w:cs="宋体"/>
      <w:color w:val="000000"/>
      <w:sz w:val="24"/>
      <w:szCs w:val="24"/>
      <w:u w:val="none"/>
    </w:rPr>
  </w:style>
  <w:style w:type="character" w:customStyle="1" w:styleId="23">
    <w:name w:val="tmpztreemove_arrow"/>
    <w:basedOn w:val="8"/>
    <w:qFormat/>
    <w:uiPriority w:val="0"/>
  </w:style>
  <w:style w:type="character" w:customStyle="1" w:styleId="24">
    <w:name w:val="w32"/>
    <w:basedOn w:val="8"/>
    <w:qFormat/>
    <w:uiPriority w:val="0"/>
  </w:style>
  <w:style w:type="character" w:customStyle="1" w:styleId="25">
    <w:name w:val="active10"/>
    <w:basedOn w:val="8"/>
    <w:qFormat/>
    <w:uiPriority w:val="0"/>
    <w:rPr>
      <w:color w:val="00FF00"/>
      <w:shd w:val="clear" w:color="auto" w:fill="111111"/>
    </w:rPr>
  </w:style>
  <w:style w:type="character" w:customStyle="1" w:styleId="26">
    <w:name w:val="cdropleft"/>
    <w:basedOn w:val="8"/>
    <w:qFormat/>
    <w:uiPriority w:val="0"/>
  </w:style>
  <w:style w:type="character" w:customStyle="1" w:styleId="27">
    <w:name w:val="cy"/>
    <w:basedOn w:val="8"/>
    <w:qFormat/>
    <w:uiPriority w:val="0"/>
  </w:style>
  <w:style w:type="character" w:customStyle="1" w:styleId="28">
    <w:name w:val="token-input-delete-token"/>
    <w:basedOn w:val="8"/>
    <w:qFormat/>
    <w:uiPriority w:val="0"/>
    <w:rPr>
      <w:color w:val="FFFFFF"/>
    </w:rPr>
  </w:style>
  <w:style w:type="character" w:customStyle="1" w:styleId="29">
    <w:name w:val="button"/>
    <w:basedOn w:val="8"/>
    <w:qFormat/>
    <w:uiPriority w:val="0"/>
  </w:style>
  <w:style w:type="character" w:customStyle="1" w:styleId="30">
    <w:name w:val="cdropright"/>
    <w:basedOn w:val="8"/>
    <w:qFormat/>
    <w:uiPriority w:val="0"/>
  </w:style>
  <w:style w:type="character" w:customStyle="1" w:styleId="31">
    <w:name w:val="drapbtn"/>
    <w:basedOn w:val="8"/>
    <w:qFormat/>
    <w:uiPriority w:val="0"/>
  </w:style>
  <w:style w:type="character" w:customStyle="1" w:styleId="32">
    <w:name w:val="hilite6"/>
    <w:basedOn w:val="8"/>
    <w:qFormat/>
    <w:uiPriority w:val="0"/>
    <w:rPr>
      <w:color w:val="FFFFFF"/>
      <w:shd w:val="clear" w:color="auto" w:fill="666677"/>
    </w:rPr>
  </w:style>
  <w:style w:type="character" w:customStyle="1" w:styleId="33">
    <w:name w:val="pagechatarealistclose_box"/>
    <w:basedOn w:val="8"/>
    <w:qFormat/>
    <w:uiPriority w:val="0"/>
  </w:style>
  <w:style w:type="character" w:customStyle="1" w:styleId="34">
    <w:name w:val="pagechatarealistclose_box1"/>
    <w:basedOn w:val="8"/>
    <w:qFormat/>
    <w:uiPriority w:val="0"/>
  </w:style>
  <w:style w:type="character" w:customStyle="1" w:styleId="35">
    <w:name w:val="ico1654"/>
    <w:basedOn w:val="8"/>
    <w:qFormat/>
    <w:uiPriority w:val="0"/>
  </w:style>
  <w:style w:type="character" w:customStyle="1" w:styleId="36">
    <w:name w:val="ico1655"/>
    <w:basedOn w:val="8"/>
    <w:qFormat/>
    <w:uiPriority w:val="0"/>
  </w:style>
  <w:style w:type="character" w:customStyle="1" w:styleId="37">
    <w:name w:val="hilite"/>
    <w:basedOn w:val="8"/>
    <w:qFormat/>
    <w:uiPriority w:val="0"/>
    <w:rPr>
      <w:color w:val="FFFFFF"/>
      <w:shd w:val="clear" w:color="auto" w:fill="666677"/>
    </w:rPr>
  </w:style>
  <w:style w:type="character" w:customStyle="1" w:styleId="38">
    <w:name w:val="active12"/>
    <w:basedOn w:val="8"/>
    <w:qFormat/>
    <w:uiPriority w:val="0"/>
    <w:rPr>
      <w:color w:val="00FF00"/>
      <w:shd w:val="clear" w:color="auto" w:fill="111111"/>
    </w:rPr>
  </w:style>
  <w:style w:type="character" w:customStyle="1" w:styleId="39">
    <w:name w:val="ico1653"/>
    <w:basedOn w:val="8"/>
    <w:qFormat/>
    <w:uiPriority w:val="0"/>
  </w:style>
  <w:style w:type="character" w:customStyle="1" w:styleId="40">
    <w:name w:val="active"/>
    <w:basedOn w:val="8"/>
    <w:qFormat/>
    <w:uiPriority w:val="0"/>
    <w:rPr>
      <w:color w:val="00FF00"/>
      <w:shd w:val="clear" w:color="auto" w:fill="111111"/>
    </w:rPr>
  </w:style>
  <w:style w:type="character" w:customStyle="1" w:styleId="41">
    <w:name w:val="hilite5"/>
    <w:basedOn w:val="8"/>
    <w:qFormat/>
    <w:uiPriority w:val="0"/>
    <w:rPr>
      <w:color w:val="FFFFFF"/>
      <w:shd w:val="clear" w:color="auto" w:fill="666677"/>
    </w:rPr>
  </w:style>
  <w:style w:type="character" w:customStyle="1" w:styleId="42">
    <w:name w:val="active8"/>
    <w:basedOn w:val="8"/>
    <w:qFormat/>
    <w:uiPriority w:val="0"/>
    <w:rPr>
      <w:color w:val="00FF00"/>
      <w:shd w:val="clear" w:color="auto" w:fill="111111"/>
    </w:rPr>
  </w:style>
  <w:style w:type="character" w:customStyle="1" w:styleId="43">
    <w:name w:val="button2"/>
    <w:basedOn w:val="8"/>
    <w:uiPriority w:val="0"/>
  </w:style>
  <w:style w:type="character" w:customStyle="1" w:styleId="44">
    <w:name w:val="active11"/>
    <w:basedOn w:val="8"/>
    <w:qFormat/>
    <w:uiPriority w:val="0"/>
    <w:rPr>
      <w:color w:val="00FF00"/>
      <w:shd w:val="clear" w:color="auto" w:fill="111111"/>
    </w:rPr>
  </w:style>
  <w:style w:type="character" w:customStyle="1" w:styleId="45">
    <w:name w:val="browse_class&gt;label"/>
    <w:basedOn w:val="8"/>
    <w:qFormat/>
    <w:uiPriority w:val="0"/>
    <w:rPr>
      <w:shd w:val="clear" w:color="auto" w:fill="F8F8F8"/>
    </w:rPr>
  </w:style>
  <w:style w:type="character" w:customStyle="1" w:styleId="46">
    <w:name w:val="browse_class&gt;span"/>
    <w:basedOn w:val="8"/>
    <w:qFormat/>
    <w:uiPriority w:val="0"/>
    <w:rPr>
      <w:shd w:val="clear" w:color="auto" w:fill="F8F8F8"/>
    </w:rPr>
  </w:style>
  <w:style w:type="character" w:customStyle="1" w:styleId="47">
    <w:name w:val="xdrichtextbox"/>
    <w:basedOn w:val="8"/>
    <w:qFormat/>
    <w:uiPriority w:val="0"/>
    <w:rPr>
      <w:color w:val="auto"/>
      <w:sz w:val="18"/>
      <w:szCs w:val="18"/>
      <w:u w:val="none"/>
      <w:bdr w:val="single" w:color="DCDCDC" w:sz="8" w:space="0"/>
      <w:shd w:val="clear" w:color="auto" w:fill="auto"/>
    </w:rPr>
  </w:style>
  <w:style w:type="character" w:customStyle="1" w:styleId="48">
    <w:name w:val="edit_class"/>
    <w:basedOn w:val="8"/>
    <w:qFormat/>
    <w:uiPriority w:val="0"/>
  </w:style>
  <w:style w:type="character" w:customStyle="1" w:styleId="49">
    <w:name w:val="design_class"/>
    <w:basedOn w:val="8"/>
    <w:qFormat/>
    <w:uiPriority w:val="0"/>
  </w:style>
  <w:style w:type="character" w:customStyle="1" w:styleId="50">
    <w:name w:val="biggerthanmax"/>
    <w:basedOn w:val="8"/>
    <w:qFormat/>
    <w:uiPriority w:val="0"/>
    <w:rPr>
      <w:shd w:val="clear" w:color="auto" w:fill="FFFF00"/>
    </w:rPr>
  </w:style>
  <w:style w:type="character" w:customStyle="1" w:styleId="51">
    <w:name w:val="browse_class&gt;input"/>
    <w:basedOn w:val="8"/>
    <w:qFormat/>
    <w:uiPriority w:val="0"/>
    <w:rPr>
      <w:shd w:val="clear" w:color="auto" w:fill="F8F8F8"/>
    </w:rPr>
  </w:style>
  <w:style w:type="character" w:customStyle="1" w:styleId="52">
    <w:name w:val="ico16"/>
    <w:basedOn w:val="8"/>
    <w:qFormat/>
    <w:uiPriority w:val="0"/>
  </w:style>
  <w:style w:type="character" w:customStyle="1" w:styleId="53">
    <w:name w:val="ico161"/>
    <w:basedOn w:val="8"/>
    <w:qFormat/>
    <w:uiPriority w:val="0"/>
  </w:style>
  <w:style w:type="character" w:customStyle="1" w:styleId="54">
    <w:name w:val="xdrichtextbox2"/>
    <w:basedOn w:val="8"/>
    <w:qFormat/>
    <w:uiPriority w:val="0"/>
  </w:style>
  <w:style w:type="character" w:customStyle="1" w:styleId="55">
    <w:name w:val="active6"/>
    <w:basedOn w:val="8"/>
    <w:qFormat/>
    <w:uiPriority w:val="0"/>
    <w:rPr>
      <w:color w:val="00FF00"/>
      <w:shd w:val="clear" w:color="auto" w:fill="111111"/>
    </w:rPr>
  </w:style>
  <w:style w:type="character" w:customStyle="1" w:styleId="56">
    <w:name w:val="ico1652"/>
    <w:basedOn w:val="8"/>
    <w:qFormat/>
    <w:uiPriority w:val="0"/>
  </w:style>
  <w:style w:type="character" w:customStyle="1" w:styleId="57">
    <w:name w:val="页眉 Char"/>
    <w:basedOn w:val="8"/>
    <w:link w:val="6"/>
    <w:qFormat/>
    <w:uiPriority w:val="99"/>
    <w:rPr>
      <w:sz w:val="18"/>
      <w:szCs w:val="18"/>
    </w:rPr>
  </w:style>
  <w:style w:type="character" w:customStyle="1" w:styleId="58">
    <w:name w:val="页脚 Char"/>
    <w:basedOn w:val="8"/>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20</Pages>
  <Words>1136</Words>
  <Characters>6476</Characters>
  <Lines>53</Lines>
  <Paragraphs>15</Paragraphs>
  <TotalTime>6</TotalTime>
  <ScaleCrop>false</ScaleCrop>
  <LinksUpToDate>false</LinksUpToDate>
  <CharactersWithSpaces>7597</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2014-08-08T06:48:00Z</dcterms:created>
  <dc:creator>林哲宇</dc:creator>
  <cp:lastModifiedBy>王光</cp:lastModifiedBy>
  <cp:lastPrinted>2018-09-30T01:37:00Z</cp:lastPrinted>
  <dcterms:modified xsi:type="dcterms:W3CDTF">2019-10-30T02:55:39Z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