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0"/>
        </w:tabs>
        <w:spacing w:before="240" w:after="480" w:line="340" w:lineRule="exact"/>
        <w:rPr>
          <w:b w:val="0"/>
          <w:bCs/>
          <w:sz w:val="44"/>
          <w:szCs w:val="44"/>
        </w:rPr>
      </w:pPr>
      <w:r>
        <w:rPr>
          <w:rFonts w:hint="eastAsia"/>
          <w:b w:val="0"/>
          <w:bCs/>
          <w:sz w:val="44"/>
          <w:szCs w:val="44"/>
        </w:rPr>
        <w:t>比选公告</w:t>
      </w:r>
    </w:p>
    <w:p>
      <w:pPr>
        <w:widowControl/>
        <w:numPr>
          <w:ilvl w:val="0"/>
          <w:numId w:val="1"/>
        </w:numPr>
        <w:tabs>
          <w:tab w:val="left" w:pos="900"/>
          <w:tab w:val="left" w:pos="1100"/>
        </w:tabs>
        <w:adjustRightInd/>
        <w:spacing w:line="300" w:lineRule="auto"/>
        <w:textAlignment w:val="auto"/>
        <w:rPr>
          <w:rFonts w:hint="eastAsia" w:ascii="宋体"/>
          <w:b/>
          <w:sz w:val="24"/>
        </w:rPr>
      </w:pPr>
      <w:r>
        <w:rPr>
          <w:rFonts w:hint="eastAsia" w:ascii="宋体"/>
          <w:b/>
          <w:sz w:val="24"/>
        </w:rPr>
        <w:t>比选条件</w:t>
      </w:r>
    </w:p>
    <w:p>
      <w:pPr>
        <w:widowControl/>
        <w:adjustRightInd/>
        <w:spacing w:line="300" w:lineRule="auto"/>
        <w:ind w:firstLine="499" w:firstLineChars="208"/>
        <w:jc w:val="left"/>
        <w:textAlignment w:val="auto"/>
        <w:rPr>
          <w:rFonts w:hint="eastAsia" w:ascii="宋体"/>
          <w:b/>
          <w:sz w:val="24"/>
          <w:u w:val="single"/>
        </w:rPr>
      </w:pPr>
      <w:r>
        <w:rPr>
          <w:rFonts w:hint="eastAsia" w:ascii="宋体"/>
          <w:sz w:val="24"/>
        </w:rPr>
        <w:t>本比选项目</w:t>
      </w:r>
      <w:r>
        <w:rPr>
          <w:rFonts w:hint="eastAsia" w:ascii="宋体"/>
          <w:sz w:val="24"/>
          <w:u w:val="single"/>
        </w:rPr>
        <w:t>宁德市工业废物综合处置中心B1段生态边坡加固工程</w:t>
      </w:r>
      <w:r>
        <w:rPr>
          <w:rFonts w:hint="eastAsia" w:ascii="宋体"/>
          <w:sz w:val="24"/>
        </w:rPr>
        <w:t>已批准建设，比选人为</w:t>
      </w:r>
      <w:r>
        <w:rPr>
          <w:rFonts w:hint="eastAsia" w:ascii="宋体"/>
          <w:sz w:val="24"/>
          <w:u w:val="single"/>
        </w:rPr>
        <w:t>宁德市福化环保科技有限公司</w:t>
      </w:r>
      <w:r>
        <w:rPr>
          <w:rFonts w:hint="eastAsia" w:ascii="宋体"/>
          <w:sz w:val="24"/>
        </w:rPr>
        <w:t>，委托</w:t>
      </w:r>
      <w:r>
        <w:rPr>
          <w:rFonts w:hint="eastAsia" w:ascii="宋体" w:hAnsi="宋体"/>
          <w:sz w:val="24"/>
          <w:szCs w:val="24"/>
          <w:u w:val="single"/>
        </w:rPr>
        <w:t>福建宏电工程造价咨询有限公司</w:t>
      </w:r>
      <w:r>
        <w:rPr>
          <w:rFonts w:hint="eastAsia" w:ascii="宋体" w:hAnsi="宋体"/>
          <w:sz w:val="24"/>
          <w:szCs w:val="24"/>
        </w:rPr>
        <w:t>编制比选文件</w:t>
      </w:r>
      <w:r>
        <w:rPr>
          <w:rFonts w:hint="eastAsia" w:ascii="宋体"/>
          <w:sz w:val="24"/>
        </w:rPr>
        <w:t>。本项目已具备比选条件，现对该项目进行公开比选。</w:t>
      </w:r>
    </w:p>
    <w:p>
      <w:pPr>
        <w:widowControl/>
        <w:numPr>
          <w:ilvl w:val="0"/>
          <w:numId w:val="1"/>
        </w:numPr>
        <w:tabs>
          <w:tab w:val="left" w:pos="900"/>
          <w:tab w:val="left" w:pos="1100"/>
        </w:tabs>
        <w:adjustRightInd/>
        <w:spacing w:line="300" w:lineRule="auto"/>
        <w:textAlignment w:val="auto"/>
        <w:rPr>
          <w:rFonts w:hint="eastAsia" w:ascii="宋体"/>
          <w:b/>
          <w:sz w:val="24"/>
        </w:rPr>
      </w:pPr>
      <w:r>
        <w:rPr>
          <w:rFonts w:hint="eastAsia" w:ascii="宋体"/>
          <w:b/>
          <w:sz w:val="24"/>
        </w:rPr>
        <w:t>项目概况和比选范围</w:t>
      </w:r>
    </w:p>
    <w:p>
      <w:pPr>
        <w:widowControl/>
        <w:numPr>
          <w:ilvl w:val="1"/>
          <w:numId w:val="1"/>
        </w:numPr>
        <w:adjustRightInd/>
        <w:spacing w:line="300" w:lineRule="auto"/>
        <w:jc w:val="left"/>
        <w:textAlignment w:val="auto"/>
        <w:rPr>
          <w:rFonts w:hint="eastAsia" w:ascii="宋体"/>
          <w:sz w:val="24"/>
        </w:rPr>
      </w:pPr>
      <w:r>
        <w:rPr>
          <w:rFonts w:hint="eastAsia" w:ascii="宋体"/>
          <w:sz w:val="24"/>
        </w:rPr>
        <w:t>工程地点：福鼎市龙安工业园区龙湾路5号。</w:t>
      </w:r>
    </w:p>
    <w:p>
      <w:pPr>
        <w:widowControl/>
        <w:numPr>
          <w:ilvl w:val="1"/>
          <w:numId w:val="1"/>
        </w:numPr>
        <w:adjustRightInd/>
        <w:spacing w:line="300" w:lineRule="auto"/>
        <w:jc w:val="left"/>
        <w:textAlignment w:val="auto"/>
        <w:rPr>
          <w:rFonts w:hint="eastAsia" w:ascii="宋体"/>
          <w:sz w:val="24"/>
          <w:u w:val="single"/>
        </w:rPr>
      </w:pPr>
      <w:r>
        <w:rPr>
          <w:rFonts w:hint="eastAsia" w:ascii="宋体"/>
          <w:sz w:val="24"/>
        </w:rPr>
        <w:t>承包内容：</w:t>
      </w:r>
      <w:r>
        <w:rPr>
          <w:rFonts w:hint="eastAsia" w:ascii="宋体"/>
          <w:sz w:val="24"/>
          <w:u w:val="single"/>
        </w:rPr>
        <w:t xml:space="preserve"> 具体以施工图纸、编制说明及工程量清单所包含的内容为准，包括但不限于锚杆钻孔、锚杆制作与安装、锚杆注浆，泄水孔钻孔及软管安装，矩形柱、框架梁、直形墙的混凝土浇筑及钢筋制作与安装，土方回填，排水沟钢筋绑扎与混凝土浇筑，金属栏杆制作与安装，原有围墙拆除</w:t>
      </w:r>
      <w:r>
        <w:rPr>
          <w:rFonts w:hint="eastAsia" w:ascii="宋体" w:hAnsi="宋体"/>
          <w:sz w:val="24"/>
          <w:szCs w:val="24"/>
        </w:rPr>
        <w:t>。</w:t>
      </w:r>
    </w:p>
    <w:p>
      <w:pPr>
        <w:widowControl/>
        <w:numPr>
          <w:ilvl w:val="1"/>
          <w:numId w:val="1"/>
        </w:numPr>
        <w:adjustRightInd/>
        <w:spacing w:line="300" w:lineRule="auto"/>
        <w:jc w:val="left"/>
        <w:textAlignment w:val="auto"/>
        <w:rPr>
          <w:rFonts w:hint="eastAsia" w:ascii="宋体"/>
          <w:sz w:val="24"/>
        </w:rPr>
      </w:pPr>
      <w:r>
        <w:rPr>
          <w:rFonts w:hint="eastAsia" w:ascii="宋体"/>
          <w:sz w:val="24"/>
        </w:rPr>
        <w:t>承包方式：宁德市工业废物综合处置中心B1段生态边坡加固工程委托中选单位实施，包工包料、总价包干，清单中的工程量不予调整（锚杆钻孔套管、岩层厚度及岩层类别按编制说明计取，工程量不予调整），风险包干。</w:t>
      </w:r>
    </w:p>
    <w:p>
      <w:pPr>
        <w:widowControl/>
        <w:numPr>
          <w:ilvl w:val="1"/>
          <w:numId w:val="1"/>
        </w:numPr>
        <w:adjustRightInd/>
        <w:spacing w:line="300" w:lineRule="auto"/>
        <w:jc w:val="left"/>
        <w:textAlignment w:val="auto"/>
        <w:rPr>
          <w:rFonts w:hint="eastAsia" w:ascii="宋体"/>
          <w:sz w:val="24"/>
        </w:rPr>
      </w:pPr>
      <w:bookmarkStart w:id="0" w:name="_Hlk536525611"/>
      <w:r>
        <w:rPr>
          <w:rFonts w:hint="eastAsia" w:ascii="宋体"/>
          <w:sz w:val="24"/>
        </w:rPr>
        <w:t>本项目控制价为</w:t>
      </w:r>
      <w:r>
        <w:rPr>
          <w:rFonts w:hint="eastAsia" w:ascii="宋体" w:hAnsi="宋体" w:cs="宋体"/>
          <w:kern w:val="2"/>
          <w:sz w:val="24"/>
          <w:szCs w:val="24"/>
        </w:rPr>
        <w:t>106.5458万元</w:t>
      </w:r>
      <w:bookmarkEnd w:id="0"/>
      <w:r>
        <w:rPr>
          <w:rFonts w:hint="eastAsia" w:ascii="宋体"/>
          <w:sz w:val="24"/>
        </w:rPr>
        <w:t>人民币</w:t>
      </w:r>
      <w:r>
        <w:rPr>
          <w:rFonts w:hint="eastAsia" w:ascii="宋体" w:hAnsi="宋体" w:cs="宋体"/>
          <w:kern w:val="2"/>
          <w:sz w:val="24"/>
          <w:szCs w:val="24"/>
        </w:rPr>
        <w:t>（含税价，具体详见工程量清单）</w:t>
      </w:r>
      <w:r>
        <w:rPr>
          <w:rFonts w:hint="eastAsia" w:ascii="宋体"/>
          <w:sz w:val="24"/>
        </w:rPr>
        <w:t>。</w:t>
      </w:r>
    </w:p>
    <w:p>
      <w:pPr>
        <w:widowControl/>
        <w:numPr>
          <w:ilvl w:val="1"/>
          <w:numId w:val="1"/>
        </w:numPr>
        <w:adjustRightInd/>
        <w:spacing w:line="300" w:lineRule="auto"/>
        <w:jc w:val="left"/>
        <w:textAlignment w:val="auto"/>
        <w:rPr>
          <w:rFonts w:hint="eastAsia" w:ascii="宋体"/>
          <w:sz w:val="24"/>
        </w:rPr>
      </w:pPr>
      <w:r>
        <w:rPr>
          <w:rFonts w:hint="eastAsia" w:ascii="宋体"/>
          <w:sz w:val="24"/>
        </w:rPr>
        <w:t>工期要求：总工期为</w:t>
      </w:r>
      <w:r>
        <w:rPr>
          <w:rFonts w:hint="eastAsia" w:ascii="宋体"/>
          <w:sz w:val="24"/>
          <w:u w:val="single"/>
        </w:rPr>
        <w:t>40</w:t>
      </w:r>
      <w:r>
        <w:rPr>
          <w:rFonts w:hint="eastAsia" w:ascii="宋体"/>
          <w:sz w:val="24"/>
        </w:rPr>
        <w:t>个日历天，定额工期</w:t>
      </w:r>
      <w:r>
        <w:rPr>
          <w:rFonts w:hint="eastAsia" w:ascii="宋体"/>
          <w:sz w:val="24"/>
          <w:u w:val="single"/>
        </w:rPr>
        <w:t xml:space="preserve">/ </w:t>
      </w:r>
      <w:r>
        <w:rPr>
          <w:rFonts w:hint="eastAsia" w:ascii="宋体"/>
          <w:sz w:val="24"/>
        </w:rPr>
        <w:t>个日历天（适用于国家或我省对工期有规定的项目）；其中各关键节点的工期要求为（如果有）</w:t>
      </w:r>
      <w:r>
        <w:rPr>
          <w:rFonts w:hint="eastAsia" w:ascii="宋体"/>
          <w:sz w:val="24"/>
          <w:u w:val="single"/>
        </w:rPr>
        <w:t xml:space="preserve">  /    </w:t>
      </w:r>
      <w:r>
        <w:rPr>
          <w:rFonts w:hint="eastAsia" w:ascii="宋体"/>
          <w:sz w:val="24"/>
        </w:rPr>
        <w:t>。</w:t>
      </w:r>
    </w:p>
    <w:p>
      <w:pPr>
        <w:widowControl/>
        <w:numPr>
          <w:ilvl w:val="1"/>
          <w:numId w:val="1"/>
        </w:numPr>
        <w:adjustRightInd/>
        <w:spacing w:line="300" w:lineRule="auto"/>
        <w:jc w:val="left"/>
        <w:textAlignment w:val="auto"/>
        <w:rPr>
          <w:rFonts w:hint="eastAsia" w:ascii="宋体"/>
          <w:sz w:val="24"/>
        </w:rPr>
      </w:pPr>
      <w:r>
        <w:rPr>
          <w:rFonts w:hint="eastAsia" w:ascii="宋体"/>
          <w:sz w:val="24"/>
        </w:rPr>
        <w:t>质量要求：</w:t>
      </w:r>
      <w:r>
        <w:rPr>
          <w:rFonts w:hint="eastAsia" w:ascii="宋体"/>
          <w:sz w:val="24"/>
          <w:u w:val="single"/>
        </w:rPr>
        <w:t xml:space="preserve"> 符合国家现行《工程施工质量验收规范》及其它相关规范合格标准。</w:t>
      </w:r>
    </w:p>
    <w:p>
      <w:pPr>
        <w:widowControl/>
        <w:numPr>
          <w:ilvl w:val="0"/>
          <w:numId w:val="1"/>
        </w:numPr>
        <w:tabs>
          <w:tab w:val="left" w:pos="900"/>
          <w:tab w:val="left" w:pos="1100"/>
        </w:tabs>
        <w:adjustRightInd/>
        <w:spacing w:line="300" w:lineRule="auto"/>
        <w:textAlignment w:val="auto"/>
        <w:rPr>
          <w:rFonts w:hint="eastAsia" w:ascii="宋体"/>
          <w:b/>
          <w:sz w:val="24"/>
        </w:rPr>
      </w:pPr>
      <w:r>
        <w:rPr>
          <w:rFonts w:hint="eastAsia" w:ascii="宋体"/>
          <w:b/>
          <w:sz w:val="24"/>
        </w:rPr>
        <w:t>参选人资格要求及审查办法</w:t>
      </w:r>
    </w:p>
    <w:p>
      <w:pPr>
        <w:widowControl/>
        <w:numPr>
          <w:ilvl w:val="1"/>
          <w:numId w:val="1"/>
        </w:numPr>
        <w:tabs>
          <w:tab w:val="left" w:pos="900"/>
          <w:tab w:val="left" w:pos="1100"/>
        </w:tabs>
        <w:adjustRightInd/>
        <w:spacing w:line="300" w:lineRule="auto"/>
        <w:jc w:val="left"/>
        <w:textAlignment w:val="auto"/>
        <w:rPr>
          <w:rFonts w:hint="eastAsia" w:ascii="宋体" w:hAnsi="宋体"/>
          <w:bCs/>
          <w:iCs/>
          <w:sz w:val="24"/>
          <w:szCs w:val="24"/>
        </w:rPr>
      </w:pPr>
      <w:r>
        <w:rPr>
          <w:rFonts w:hint="eastAsia" w:ascii="宋体"/>
          <w:sz w:val="24"/>
          <w:szCs w:val="24"/>
        </w:rPr>
        <w:t>本比选项目要求参选人须具备有效的不低于</w:t>
      </w:r>
      <w:r>
        <w:rPr>
          <w:rFonts w:hint="eastAsia" w:ascii="宋体"/>
          <w:sz w:val="24"/>
          <w:szCs w:val="24"/>
          <w:u w:val="single"/>
        </w:rPr>
        <w:t>叁</w:t>
      </w:r>
      <w:r>
        <w:rPr>
          <w:rFonts w:hint="eastAsia" w:ascii="宋体"/>
          <w:sz w:val="24"/>
          <w:szCs w:val="24"/>
        </w:rPr>
        <w:t>级</w:t>
      </w:r>
      <w:r>
        <w:rPr>
          <w:rFonts w:hint="eastAsia" w:ascii="宋体" w:hAnsi="宋体"/>
          <w:sz w:val="24"/>
          <w:szCs w:val="24"/>
          <w:u w:val="single"/>
        </w:rPr>
        <w:t>地基基础工程专业承包</w:t>
      </w:r>
      <w:r>
        <w:rPr>
          <w:rFonts w:hint="eastAsia" w:ascii="宋体"/>
          <w:sz w:val="24"/>
          <w:szCs w:val="24"/>
        </w:rPr>
        <w:t>资质和《施工企业安全生产许可证》；</w:t>
      </w:r>
    </w:p>
    <w:p>
      <w:pPr>
        <w:widowControl/>
        <w:numPr>
          <w:ilvl w:val="1"/>
          <w:numId w:val="1"/>
        </w:numPr>
        <w:tabs>
          <w:tab w:val="left" w:pos="900"/>
          <w:tab w:val="left" w:pos="1100"/>
        </w:tabs>
        <w:adjustRightInd/>
        <w:spacing w:line="300" w:lineRule="auto"/>
        <w:jc w:val="left"/>
        <w:textAlignment w:val="auto"/>
        <w:rPr>
          <w:rFonts w:hint="eastAsia" w:ascii="宋体"/>
          <w:sz w:val="24"/>
          <w:szCs w:val="24"/>
        </w:rPr>
      </w:pPr>
      <w:r>
        <w:rPr>
          <w:rFonts w:hint="eastAsia" w:ascii="宋体"/>
          <w:sz w:val="24"/>
          <w:szCs w:val="24"/>
        </w:rPr>
        <w:t>参选人拟担任本比选项目的项目负责人（即项目经理，下同）须具备有效的不低于</w:t>
      </w:r>
      <w:r>
        <w:rPr>
          <w:rFonts w:hint="eastAsia" w:ascii="宋体"/>
          <w:sz w:val="24"/>
          <w:szCs w:val="24"/>
          <w:u w:val="single"/>
        </w:rPr>
        <w:t>贰</w:t>
      </w:r>
      <w:r>
        <w:rPr>
          <w:rFonts w:hint="eastAsia" w:ascii="宋体"/>
          <w:sz w:val="24"/>
          <w:szCs w:val="24"/>
        </w:rPr>
        <w:t>级</w:t>
      </w:r>
      <w:r>
        <w:rPr>
          <w:rFonts w:hint="eastAsia" w:ascii="宋体" w:hAnsi="宋体"/>
          <w:sz w:val="24"/>
          <w:szCs w:val="24"/>
          <w:u w:val="single"/>
        </w:rPr>
        <w:t xml:space="preserve"> 市政公用工程 </w:t>
      </w:r>
      <w:r>
        <w:rPr>
          <w:rFonts w:hint="eastAsia" w:ascii="宋体"/>
          <w:sz w:val="24"/>
          <w:szCs w:val="24"/>
        </w:rPr>
        <w:t>专业注册建造师执业资格（或建造师临时执业资格），并具备有效的安全生产考核合格证书（B证）。</w:t>
      </w:r>
    </w:p>
    <w:p>
      <w:pPr>
        <w:widowControl/>
        <w:tabs>
          <w:tab w:val="left" w:pos="900"/>
          <w:tab w:val="left" w:pos="1100"/>
        </w:tabs>
        <w:adjustRightInd/>
        <w:spacing w:line="300" w:lineRule="auto"/>
        <w:ind w:firstLine="482" w:firstLineChars="200"/>
        <w:jc w:val="left"/>
        <w:textAlignment w:val="auto"/>
        <w:rPr>
          <w:rFonts w:hint="eastAsia" w:ascii="宋体"/>
          <w:sz w:val="24"/>
          <w:szCs w:val="24"/>
        </w:rPr>
      </w:pPr>
      <w:r>
        <w:rPr>
          <w:rFonts w:hint="eastAsia" w:ascii="宋体"/>
          <w:b/>
          <w:bCs/>
          <w:sz w:val="24"/>
          <w:szCs w:val="24"/>
        </w:rPr>
        <w:t>注：依据建市施函[2017]24号文规定：本工程项目负责人若为一级临时注册建造师的应满足以下要求，否则按资格审查不合格处理：2017年9月15日前一级建造师临时执业证书延续注册到期的人员，应于2017年8月31日前提出再次延续注册申请。2017年9月16日后一级建造师临时执业证书延续注册到期的人员，应在延续注册有效期届满30日前提出再次延续注册申请。依据闽建许[2015]274号文规定：若为一级建造师，参选人因办理相关注册业务无法提供注册证书原件的，应在参选文件中附有省住房和城乡建设厅行政服务中心出具的《福建省建设类执业资格注册证书有效性证明》，否则按资格审查不合格处理。</w:t>
      </w:r>
    </w:p>
    <w:p>
      <w:pPr>
        <w:pStyle w:val="2"/>
        <w:spacing w:line="300" w:lineRule="auto"/>
        <w:ind w:firstLine="480" w:firstLineChars="200"/>
        <w:jc w:val="left"/>
        <w:rPr>
          <w:rFonts w:hint="eastAsia" w:ascii="宋体"/>
          <w:b w:val="0"/>
          <w:bCs/>
          <w:sz w:val="24"/>
          <w:szCs w:val="24"/>
        </w:rPr>
      </w:pPr>
      <w:r>
        <w:rPr>
          <w:rFonts w:hint="eastAsia" w:ascii="宋体"/>
          <w:b w:val="0"/>
          <w:bCs/>
          <w:sz w:val="24"/>
          <w:szCs w:val="24"/>
        </w:rPr>
        <w:t>3.3本项目业绩要求：无。</w:t>
      </w:r>
    </w:p>
    <w:p>
      <w:pPr>
        <w:pStyle w:val="4"/>
        <w:snapToGrid w:val="0"/>
        <w:spacing w:line="300" w:lineRule="auto"/>
        <w:ind w:firstLine="480" w:firstLineChars="200"/>
        <w:rPr>
          <w:rFonts w:hint="eastAsia" w:ascii="宋体"/>
          <w:b/>
          <w:bCs/>
          <w:kern w:val="0"/>
          <w:sz w:val="24"/>
          <w:szCs w:val="24"/>
          <w:highlight w:val="magenta"/>
        </w:rPr>
      </w:pPr>
      <w:r>
        <w:rPr>
          <w:rFonts w:hint="eastAsia" w:ascii="宋体"/>
          <w:kern w:val="0"/>
          <w:sz w:val="24"/>
          <w:szCs w:val="24"/>
        </w:rPr>
        <w:t>3.4参选人拟担任</w:t>
      </w:r>
      <w:r>
        <w:rPr>
          <w:rFonts w:hint="eastAsia" w:ascii="宋体"/>
          <w:sz w:val="24"/>
          <w:szCs w:val="24"/>
        </w:rPr>
        <w:t>本比选项目的项目技术负责人需具备市政公用工程专业工程师及以上职称（</w:t>
      </w:r>
      <w:r>
        <w:rPr>
          <w:rFonts w:hint="eastAsia" w:ascii="宋体"/>
          <w:b/>
          <w:bCs/>
          <w:kern w:val="0"/>
          <w:sz w:val="24"/>
          <w:szCs w:val="24"/>
        </w:rPr>
        <w:t>拟派出项目技术负责人须附上其职称证书、毕业证书以及能够证明其资格符合比选文件要求的相关证明材料复印件并加盖参选人单位公章。专业以有权部门颁发的职称证书上标注的为准，若职称证书上无专业的，以毕业证书上的专业为准。拟派出项目技术负责人必须为独立参选人本企业在岗人员，以建设主管部门颁发的注册执业证书扫描件或社保管理部门出具的自本比选项目参选截止之日的上一个月为始点并往前追溯连续缴费累计六个月及以上扫描件所署单位为准。社保由上级单位统筹缴纳的，还应提供上级单位出具的统筹缴纳证明。</w:t>
      </w:r>
    </w:p>
    <w:p>
      <w:pPr>
        <w:widowControl/>
        <w:tabs>
          <w:tab w:val="left" w:pos="900"/>
          <w:tab w:val="left" w:pos="1100"/>
        </w:tabs>
        <w:adjustRightInd/>
        <w:spacing w:line="300" w:lineRule="auto"/>
        <w:ind w:left="510"/>
        <w:jc w:val="left"/>
        <w:textAlignment w:val="auto"/>
        <w:rPr>
          <w:rFonts w:hint="eastAsia" w:ascii="宋体"/>
          <w:sz w:val="24"/>
          <w:szCs w:val="24"/>
          <w:u w:val="double"/>
        </w:rPr>
      </w:pPr>
      <w:r>
        <w:rPr>
          <w:rFonts w:hint="eastAsia" w:ascii="宋体"/>
          <w:sz w:val="24"/>
          <w:szCs w:val="24"/>
        </w:rPr>
        <w:t>备注：</w:t>
      </w:r>
      <w:r>
        <w:rPr>
          <w:rFonts w:hint="eastAsia" w:ascii="宋体"/>
          <w:sz w:val="24"/>
          <w:szCs w:val="24"/>
          <w:u w:val="double"/>
        </w:rPr>
        <w:t xml:space="preserve"> “市政公用工程”专业包括“市政工程、市政、路桥、道路、桥梁、桥隧、隧道、给排水、市政施工、道路桥梁、城市道路、道路与桥梁、土建给排水、土建、市政工程管理、市政建筑施工管理等”专业。</w:t>
      </w:r>
    </w:p>
    <w:p>
      <w:pPr>
        <w:widowControl/>
        <w:numPr>
          <w:ilvl w:val="1"/>
          <w:numId w:val="2"/>
        </w:numPr>
        <w:tabs>
          <w:tab w:val="left" w:pos="900"/>
          <w:tab w:val="left" w:pos="1100"/>
        </w:tabs>
        <w:adjustRightInd/>
        <w:spacing w:line="300" w:lineRule="auto"/>
        <w:jc w:val="left"/>
        <w:textAlignment w:val="auto"/>
        <w:rPr>
          <w:rFonts w:hint="eastAsia" w:ascii="宋体"/>
          <w:sz w:val="24"/>
          <w:szCs w:val="24"/>
        </w:rPr>
      </w:pPr>
      <w:r>
        <w:rPr>
          <w:rFonts w:hint="eastAsia" w:ascii="宋体"/>
          <w:sz w:val="24"/>
          <w:szCs w:val="24"/>
        </w:rPr>
        <w:t>本比选项目</w:t>
      </w:r>
      <w:r>
        <w:rPr>
          <w:rFonts w:hint="eastAsia" w:ascii="宋体"/>
          <w:sz w:val="24"/>
          <w:szCs w:val="24"/>
          <w:u w:val="single"/>
        </w:rPr>
        <w:t xml:space="preserve">不接受 </w:t>
      </w:r>
      <w:r>
        <w:rPr>
          <w:rFonts w:hint="eastAsia" w:ascii="宋体"/>
          <w:sz w:val="24"/>
          <w:szCs w:val="24"/>
        </w:rPr>
        <w:t>联合体参选。</w:t>
      </w:r>
    </w:p>
    <w:p>
      <w:pPr>
        <w:widowControl/>
        <w:numPr>
          <w:ilvl w:val="1"/>
          <w:numId w:val="2"/>
        </w:numPr>
        <w:tabs>
          <w:tab w:val="left" w:pos="900"/>
          <w:tab w:val="left" w:pos="1100"/>
        </w:tabs>
        <w:adjustRightInd/>
        <w:spacing w:line="300" w:lineRule="auto"/>
        <w:jc w:val="left"/>
        <w:textAlignment w:val="auto"/>
        <w:rPr>
          <w:rFonts w:hint="eastAsia" w:ascii="宋体"/>
          <w:sz w:val="24"/>
          <w:szCs w:val="24"/>
        </w:rPr>
      </w:pPr>
      <w:r>
        <w:rPr>
          <w:rFonts w:hint="eastAsia" w:ascii="宋体"/>
          <w:sz w:val="24"/>
          <w:szCs w:val="24"/>
        </w:rPr>
        <w:t>本比选项目</w:t>
      </w:r>
      <w:r>
        <w:rPr>
          <w:rFonts w:hint="eastAsia" w:ascii="宋体"/>
          <w:sz w:val="24"/>
          <w:szCs w:val="24"/>
          <w:u w:val="single"/>
        </w:rPr>
        <w:t>应用</w:t>
      </w:r>
      <w:r>
        <w:rPr>
          <w:rFonts w:hint="eastAsia" w:ascii="宋体"/>
          <w:sz w:val="24"/>
          <w:szCs w:val="24"/>
        </w:rPr>
        <w:t>福建省建筑施工企业信用综合评价分值。应用福建省建筑施工企业信用综合评价分值的项目，参选人的企业季度信用得分为</w:t>
      </w:r>
      <w:r>
        <w:rPr>
          <w:rFonts w:hint="eastAsia" w:ascii="宋体"/>
          <w:sz w:val="24"/>
          <w:szCs w:val="24"/>
          <w:u w:val="single"/>
        </w:rPr>
        <w:t>市政公用</w:t>
      </w:r>
      <w:r>
        <w:rPr>
          <w:rFonts w:hint="eastAsia" w:ascii="宋体"/>
          <w:sz w:val="24"/>
          <w:szCs w:val="24"/>
        </w:rPr>
        <w:t>类。应用福建省建筑施工企业信用综合评价分值的，参选人的企业季度信用得分不得低于60分；参选人的企业季度信用得分，可通过福建省建筑施工企业信用综合评价系统（从福建住房和城乡建设网的“福建省住房和城乡建设综合监管服务平台”登录）查询。</w:t>
      </w:r>
    </w:p>
    <w:p>
      <w:pPr>
        <w:widowControl/>
        <w:numPr>
          <w:ilvl w:val="1"/>
          <w:numId w:val="2"/>
        </w:numPr>
        <w:tabs>
          <w:tab w:val="left" w:pos="900"/>
          <w:tab w:val="left" w:pos="1100"/>
        </w:tabs>
        <w:adjustRightInd/>
        <w:spacing w:line="300" w:lineRule="auto"/>
        <w:jc w:val="left"/>
        <w:textAlignment w:val="auto"/>
        <w:rPr>
          <w:rFonts w:hint="eastAsia" w:ascii="宋体"/>
          <w:sz w:val="24"/>
          <w:szCs w:val="24"/>
        </w:rPr>
      </w:pPr>
      <w:r>
        <w:rPr>
          <w:rFonts w:hint="eastAsia" w:ascii="宋体"/>
          <w:sz w:val="24"/>
          <w:szCs w:val="24"/>
        </w:rPr>
        <w:t>其他资格要求：</w:t>
      </w:r>
      <w:r>
        <w:rPr>
          <w:rFonts w:ascii="宋体"/>
          <w:sz w:val="24"/>
          <w:szCs w:val="24"/>
        </w:rPr>
        <w:t>I</w:t>
      </w:r>
      <w:r>
        <w:rPr>
          <w:rFonts w:hint="eastAsia" w:ascii="宋体"/>
          <w:sz w:val="24"/>
          <w:szCs w:val="24"/>
          <w:u w:val="single"/>
        </w:rPr>
        <w:t>（1）参选时，参选人和拟派本工程项目管理班子成员没有因违法违规被有关行政监督部门取消或限制本比选项目的参选；（2）参选人没有因不再符合相应建筑业企业资质标准要求条件被资质许可机关责令限期改正的，参选人在整改期间以责令限期改正有关的资质参与参选。（3）</w:t>
      </w:r>
      <w:r>
        <w:rPr>
          <w:rFonts w:hint="eastAsia" w:ascii="宋体" w:hAnsi="宋体" w:cs="宋体"/>
          <w:sz w:val="24"/>
          <w:szCs w:val="24"/>
          <w:u w:val="single"/>
        </w:rPr>
        <w:t>未出现参选人因被闽建筑[2018]38号文列入建筑市场主体“黑名单”的情形。</w:t>
      </w:r>
    </w:p>
    <w:p>
      <w:pPr>
        <w:widowControl/>
        <w:numPr>
          <w:ilvl w:val="0"/>
          <w:numId w:val="2"/>
        </w:numPr>
        <w:tabs>
          <w:tab w:val="left" w:pos="900"/>
          <w:tab w:val="left" w:pos="1100"/>
        </w:tabs>
        <w:adjustRightInd/>
        <w:spacing w:line="300" w:lineRule="auto"/>
        <w:textAlignment w:val="auto"/>
        <w:rPr>
          <w:rFonts w:hint="eastAsia" w:ascii="宋体"/>
          <w:b/>
          <w:sz w:val="24"/>
        </w:rPr>
      </w:pPr>
      <w:r>
        <w:rPr>
          <w:rFonts w:hint="eastAsia" w:ascii="宋体"/>
          <w:b/>
          <w:sz w:val="24"/>
        </w:rPr>
        <w:t>比选文件的获取</w:t>
      </w:r>
    </w:p>
    <w:p>
      <w:pPr>
        <w:widowControl/>
        <w:numPr>
          <w:ilvl w:val="1"/>
          <w:numId w:val="2"/>
        </w:numPr>
        <w:tabs>
          <w:tab w:val="left" w:pos="900"/>
          <w:tab w:val="left" w:pos="1100"/>
        </w:tabs>
        <w:adjustRightInd/>
        <w:spacing w:line="300" w:lineRule="auto"/>
        <w:textAlignment w:val="auto"/>
        <w:rPr>
          <w:rFonts w:hint="eastAsia" w:ascii="宋体"/>
          <w:sz w:val="24"/>
        </w:rPr>
      </w:pPr>
      <w:r>
        <w:rPr>
          <w:rFonts w:hint="eastAsia" w:ascii="宋体"/>
          <w:sz w:val="24"/>
        </w:rPr>
        <w:t xml:space="preserve">凡有意参加参选者，请于2019年  8 月 </w:t>
      </w:r>
      <w:r>
        <w:rPr>
          <w:rFonts w:hint="eastAsia" w:ascii="宋体"/>
          <w:sz w:val="24"/>
          <w:lang w:val="en-US" w:eastAsia="zh-CN"/>
        </w:rPr>
        <w:t>12</w:t>
      </w:r>
      <w:r>
        <w:rPr>
          <w:rFonts w:hint="eastAsia" w:ascii="宋体"/>
          <w:sz w:val="24"/>
        </w:rPr>
        <w:t xml:space="preserve"> 日至2019年  8 月 1</w:t>
      </w:r>
      <w:r>
        <w:rPr>
          <w:rFonts w:hint="eastAsia" w:ascii="宋体"/>
          <w:sz w:val="24"/>
          <w:lang w:val="en-US" w:eastAsia="zh-CN"/>
        </w:rPr>
        <w:t>8</w:t>
      </w:r>
      <w:r>
        <w:rPr>
          <w:rFonts w:hint="eastAsia" w:ascii="宋体"/>
          <w:sz w:val="24"/>
        </w:rPr>
        <w:t xml:space="preserve">  日（法定公休日、法定节假日除外），每天上午8时 30 分至 11时30分，下午 14 时30 分至 17 时 30 分（北京时间，下同），到福鼎市龙安工业园区龙湾路5号（宁德市福化环保科技有限公司办公楼三楼生产技术部）领取比选文件。比选文件每份售价</w:t>
      </w:r>
      <w:r>
        <w:rPr>
          <w:rFonts w:hint="eastAsia" w:ascii="宋体"/>
          <w:sz w:val="24"/>
          <w:u w:val="single"/>
        </w:rPr>
        <w:t xml:space="preserve"> 200 </w:t>
      </w:r>
      <w:r>
        <w:rPr>
          <w:rFonts w:hint="eastAsia" w:ascii="宋体"/>
          <w:sz w:val="24"/>
        </w:rPr>
        <w:t>元，售后不退。</w:t>
      </w:r>
    </w:p>
    <w:p>
      <w:pPr>
        <w:widowControl/>
        <w:numPr>
          <w:ilvl w:val="0"/>
          <w:numId w:val="2"/>
        </w:numPr>
        <w:tabs>
          <w:tab w:val="left" w:pos="900"/>
          <w:tab w:val="left" w:pos="1100"/>
        </w:tabs>
        <w:adjustRightInd/>
        <w:spacing w:line="300" w:lineRule="auto"/>
        <w:textAlignment w:val="auto"/>
        <w:rPr>
          <w:rFonts w:hint="eastAsia" w:ascii="宋体"/>
          <w:b/>
          <w:sz w:val="24"/>
        </w:rPr>
      </w:pPr>
      <w:r>
        <w:rPr>
          <w:rFonts w:hint="eastAsia" w:ascii="宋体"/>
          <w:b/>
          <w:sz w:val="24"/>
          <w:lang w:eastAsia="zh-CN"/>
        </w:rPr>
        <w:t>评审</w:t>
      </w:r>
      <w:r>
        <w:rPr>
          <w:rFonts w:hint="eastAsia" w:ascii="宋体"/>
          <w:b/>
          <w:sz w:val="24"/>
        </w:rPr>
        <w:t>办法</w:t>
      </w:r>
    </w:p>
    <w:p>
      <w:pPr>
        <w:widowControl/>
        <w:tabs>
          <w:tab w:val="left" w:pos="0"/>
          <w:tab w:val="left" w:pos="900"/>
          <w:tab w:val="left" w:pos="1100"/>
        </w:tabs>
        <w:adjustRightInd/>
        <w:spacing w:line="300" w:lineRule="auto"/>
        <w:ind w:firstLine="510"/>
        <w:jc w:val="left"/>
        <w:textAlignment w:val="auto"/>
        <w:rPr>
          <w:rFonts w:hint="eastAsia" w:ascii="宋体"/>
          <w:sz w:val="24"/>
        </w:rPr>
      </w:pPr>
      <w:r>
        <w:rPr>
          <w:rFonts w:hint="eastAsia" w:ascii="宋体"/>
          <w:sz w:val="24"/>
        </w:rPr>
        <w:t>本比选项目采用的</w:t>
      </w:r>
      <w:r>
        <w:rPr>
          <w:rFonts w:hint="eastAsia" w:ascii="宋体"/>
          <w:sz w:val="24"/>
          <w:lang w:eastAsia="zh-CN"/>
        </w:rPr>
        <w:t>评审</w:t>
      </w:r>
      <w:r>
        <w:rPr>
          <w:rFonts w:hint="eastAsia" w:ascii="宋体"/>
          <w:sz w:val="24"/>
        </w:rPr>
        <w:t>办法：</w:t>
      </w:r>
      <w:r>
        <w:rPr>
          <w:rFonts w:hint="eastAsia" w:ascii="宋体" w:hAnsi="宋体" w:cs="宋体"/>
          <w:sz w:val="24"/>
          <w:szCs w:val="24"/>
          <w:u w:val="single"/>
        </w:rPr>
        <w:t xml:space="preserve"> 经评审的最低价中选法</w:t>
      </w:r>
      <w:r>
        <w:rPr>
          <w:rFonts w:hint="eastAsia" w:ascii="宋体"/>
          <w:sz w:val="24"/>
        </w:rPr>
        <w:t>。</w:t>
      </w:r>
    </w:p>
    <w:p>
      <w:pPr>
        <w:widowControl/>
        <w:tabs>
          <w:tab w:val="left" w:pos="900"/>
          <w:tab w:val="left" w:pos="1100"/>
        </w:tabs>
        <w:adjustRightInd/>
        <w:spacing w:line="300" w:lineRule="auto"/>
        <w:ind w:left="510"/>
        <w:textAlignment w:val="auto"/>
        <w:rPr>
          <w:rFonts w:hint="eastAsia" w:ascii="宋体"/>
          <w:sz w:val="24"/>
          <w:u w:val="single"/>
        </w:rPr>
      </w:pPr>
      <w:r>
        <w:rPr>
          <w:rFonts w:hint="eastAsia" w:ascii="宋体"/>
          <w:b/>
          <w:sz w:val="24"/>
        </w:rPr>
        <w:t>6.参选保证金的提交</w:t>
      </w:r>
    </w:p>
    <w:p>
      <w:pPr>
        <w:widowControl/>
        <w:tabs>
          <w:tab w:val="left" w:pos="900"/>
          <w:tab w:val="left" w:pos="1100"/>
        </w:tabs>
        <w:adjustRightInd/>
        <w:spacing w:line="300" w:lineRule="auto"/>
        <w:ind w:left="510"/>
        <w:jc w:val="left"/>
        <w:textAlignment w:val="auto"/>
        <w:rPr>
          <w:rFonts w:hint="eastAsia" w:ascii="宋体"/>
          <w:sz w:val="24"/>
        </w:rPr>
      </w:pPr>
      <w:r>
        <w:rPr>
          <w:rFonts w:hint="eastAsia" w:ascii="宋体"/>
          <w:sz w:val="24"/>
        </w:rPr>
        <w:t>6.1.参选保证金提交的时间：</w:t>
      </w:r>
      <w:r>
        <w:rPr>
          <w:rFonts w:hint="eastAsia" w:ascii="宋体" w:hAnsi="宋体"/>
          <w:sz w:val="24"/>
          <w:szCs w:val="21"/>
          <w:u w:val="single"/>
        </w:rPr>
        <w:t>在参选截止时间之前</w:t>
      </w:r>
      <w:r>
        <w:rPr>
          <w:rFonts w:hint="eastAsia" w:ascii="宋体"/>
          <w:sz w:val="24"/>
        </w:rPr>
        <w:t>。</w:t>
      </w:r>
    </w:p>
    <w:p>
      <w:pPr>
        <w:widowControl/>
        <w:tabs>
          <w:tab w:val="left" w:pos="900"/>
          <w:tab w:val="left" w:pos="1100"/>
        </w:tabs>
        <w:adjustRightInd/>
        <w:spacing w:line="300" w:lineRule="auto"/>
        <w:ind w:left="510"/>
        <w:jc w:val="left"/>
        <w:textAlignment w:val="auto"/>
        <w:rPr>
          <w:rFonts w:hint="eastAsia" w:ascii="宋体"/>
          <w:sz w:val="24"/>
        </w:rPr>
      </w:pPr>
      <w:r>
        <w:rPr>
          <w:rFonts w:hint="eastAsia" w:ascii="宋体"/>
          <w:sz w:val="24"/>
        </w:rPr>
        <w:t>6.2.参选保证金提交的金额：</w:t>
      </w:r>
      <w:r>
        <w:rPr>
          <w:rFonts w:hint="eastAsia" w:ascii="宋体" w:hAnsi="宋体"/>
          <w:sz w:val="24"/>
          <w:u w:val="single"/>
        </w:rPr>
        <w:t>人民币15000</w:t>
      </w:r>
      <w:r>
        <w:rPr>
          <w:rFonts w:hint="eastAsia" w:ascii="宋体" w:hAnsi="宋体"/>
          <w:sz w:val="24"/>
          <w:u w:val="single"/>
          <w:shd w:val="clear" w:color="auto" w:fill="FFFFFF"/>
        </w:rPr>
        <w:t>元整</w:t>
      </w:r>
      <w:r>
        <w:rPr>
          <w:rFonts w:hint="eastAsia" w:ascii="宋体"/>
          <w:sz w:val="24"/>
        </w:rPr>
        <w:t>。</w:t>
      </w:r>
    </w:p>
    <w:p>
      <w:pPr>
        <w:widowControl/>
        <w:tabs>
          <w:tab w:val="left" w:pos="900"/>
          <w:tab w:val="left" w:pos="1100"/>
        </w:tabs>
        <w:adjustRightInd/>
        <w:spacing w:line="300" w:lineRule="auto"/>
        <w:ind w:firstLine="510"/>
        <w:jc w:val="left"/>
        <w:textAlignment w:val="auto"/>
        <w:rPr>
          <w:rFonts w:hint="eastAsia" w:ascii="宋体"/>
          <w:sz w:val="24"/>
          <w:u w:val="single"/>
        </w:rPr>
      </w:pPr>
      <w:r>
        <w:rPr>
          <w:rFonts w:hint="eastAsia" w:ascii="宋体"/>
          <w:sz w:val="24"/>
        </w:rPr>
        <w:t xml:space="preserve">6.3.参选保证金提交的方式： </w:t>
      </w:r>
      <w:r>
        <w:rPr>
          <w:rFonts w:hint="eastAsia" w:ascii="宋体"/>
          <w:sz w:val="24"/>
          <w:u w:val="single"/>
        </w:rPr>
        <w:t>（1）应在参选截止时间之前从参选人所在地企业基本账户银行以电汇或银行转账的形式，一次性汇达比选人指定的参选保证金账户；（2）或银行保函形式；（3）或按福建省建筑业龙头企业相关规定交存年度参选保证金 。</w:t>
      </w:r>
    </w:p>
    <w:p>
      <w:pPr>
        <w:widowControl/>
        <w:tabs>
          <w:tab w:val="left" w:pos="900"/>
          <w:tab w:val="left" w:pos="1100"/>
        </w:tabs>
        <w:adjustRightInd/>
        <w:spacing w:line="300" w:lineRule="auto"/>
        <w:ind w:firstLine="510"/>
        <w:jc w:val="left"/>
        <w:textAlignment w:val="auto"/>
        <w:rPr>
          <w:rFonts w:hint="eastAsia" w:ascii="宋体"/>
          <w:sz w:val="24"/>
          <w:u w:val="single"/>
        </w:rPr>
      </w:pPr>
      <w:r>
        <w:rPr>
          <w:rFonts w:hint="eastAsia" w:ascii="宋体"/>
          <w:sz w:val="24"/>
          <w:u w:val="single"/>
        </w:rPr>
        <w:t>注：（1）以电汇或银行转账形式提交参选保证金的应在汇款凭证上注明 “******（比选编号）参选保证金”。参选单位在银行办理参选保证金相关业务时，应在转账或电汇票据的用途栏或备注栏中填写本项目项目比选编号，并告知银行应将项目比选编号进行相关录入。如因参选人汇款凭证未注明项目比选编号造成银行无法识别参选保证金到账情况或识别错误的，其责任由参选人自行承担。</w:t>
      </w:r>
    </w:p>
    <w:p>
      <w:pPr>
        <w:tabs>
          <w:tab w:val="left" w:pos="900"/>
          <w:tab w:val="left" w:pos="1260"/>
          <w:tab w:val="left" w:pos="1620"/>
          <w:tab w:val="left" w:pos="5760"/>
        </w:tabs>
        <w:spacing w:line="300" w:lineRule="auto"/>
        <w:ind w:firstLine="480" w:firstLineChars="200"/>
        <w:rPr>
          <w:rFonts w:hint="eastAsia" w:ascii="宋体" w:hAnsi="宋体"/>
          <w:sz w:val="24"/>
        </w:rPr>
      </w:pPr>
      <w:r>
        <w:rPr>
          <w:rFonts w:hint="eastAsia" w:ascii="宋体" w:hAnsi="宋体"/>
          <w:sz w:val="24"/>
        </w:rPr>
        <w:t>7.参选文件递交</w:t>
      </w:r>
      <w:r>
        <w:rPr>
          <w:rFonts w:ascii="宋体" w:hAnsi="宋体"/>
          <w:sz w:val="24"/>
        </w:rPr>
        <w:t>:</w:t>
      </w:r>
    </w:p>
    <w:p>
      <w:pPr>
        <w:tabs>
          <w:tab w:val="left" w:pos="900"/>
          <w:tab w:val="left" w:pos="1260"/>
          <w:tab w:val="left" w:pos="1620"/>
          <w:tab w:val="left" w:pos="5760"/>
        </w:tabs>
        <w:spacing w:line="300" w:lineRule="auto"/>
        <w:ind w:firstLine="720" w:firstLineChars="300"/>
        <w:rPr>
          <w:rFonts w:hint="eastAsia" w:ascii="宋体" w:hAnsi="宋体"/>
          <w:sz w:val="24"/>
        </w:rPr>
      </w:pPr>
      <w:r>
        <w:rPr>
          <w:rFonts w:hint="eastAsia" w:ascii="宋体" w:hAnsi="宋体"/>
          <w:sz w:val="24"/>
        </w:rPr>
        <w:t>7.1递交截止时间</w:t>
      </w:r>
      <w:r>
        <w:rPr>
          <w:rFonts w:ascii="宋体" w:hAnsi="宋体"/>
          <w:sz w:val="24"/>
        </w:rPr>
        <w:t>:</w:t>
      </w:r>
      <w:r>
        <w:rPr>
          <w:rFonts w:hint="eastAsia" w:ascii="宋体" w:hAnsi="宋体"/>
          <w:sz w:val="24"/>
        </w:rPr>
        <w:t xml:space="preserve"> 2019年  8 月  2</w:t>
      </w:r>
      <w:r>
        <w:rPr>
          <w:rFonts w:hint="eastAsia" w:ascii="宋体" w:hAnsi="宋体"/>
          <w:sz w:val="24"/>
          <w:lang w:val="en-US" w:eastAsia="zh-CN"/>
        </w:rPr>
        <w:t>9</w:t>
      </w:r>
      <w:r>
        <w:rPr>
          <w:rFonts w:hint="eastAsia" w:ascii="宋体" w:hAnsi="宋体"/>
          <w:sz w:val="24"/>
        </w:rPr>
        <w:t xml:space="preserve">  日上午10：30时</w:t>
      </w:r>
    </w:p>
    <w:p>
      <w:pPr>
        <w:widowControl/>
        <w:tabs>
          <w:tab w:val="left" w:pos="900"/>
          <w:tab w:val="left" w:pos="1100"/>
        </w:tabs>
        <w:adjustRightInd/>
        <w:spacing w:line="300" w:lineRule="auto"/>
        <w:ind w:firstLine="676" w:firstLineChars="282"/>
        <w:jc w:val="left"/>
        <w:textAlignment w:val="auto"/>
        <w:rPr>
          <w:rFonts w:hint="eastAsia" w:ascii="宋体"/>
          <w:sz w:val="24"/>
        </w:rPr>
      </w:pPr>
      <w:r>
        <w:rPr>
          <w:rFonts w:hint="eastAsia" w:ascii="宋体" w:hAnsi="宋体"/>
          <w:sz w:val="24"/>
        </w:rPr>
        <w:t>7.2递交地点</w:t>
      </w:r>
      <w:r>
        <w:rPr>
          <w:rFonts w:ascii="宋体" w:hAnsi="宋体"/>
          <w:sz w:val="24"/>
        </w:rPr>
        <w:t>:</w:t>
      </w:r>
      <w:r>
        <w:rPr>
          <w:rFonts w:hint="eastAsia" w:ascii="宋体" w:hAnsi="宋体"/>
          <w:sz w:val="24"/>
        </w:rPr>
        <w:t>福鼎市龙安工业园区龙湾路5号（宁德市福化环保科技有限公司办公楼三楼生产技术部）（若有变动另行通知）</w:t>
      </w:r>
    </w:p>
    <w:p>
      <w:pPr>
        <w:widowControl/>
        <w:tabs>
          <w:tab w:val="left" w:pos="900"/>
          <w:tab w:val="left" w:pos="1100"/>
        </w:tabs>
        <w:adjustRightInd/>
        <w:spacing w:line="300" w:lineRule="auto"/>
        <w:ind w:firstLine="676" w:firstLineChars="282"/>
        <w:jc w:val="left"/>
        <w:textAlignment w:val="auto"/>
        <w:rPr>
          <w:rFonts w:hint="eastAsia" w:ascii="宋体"/>
          <w:sz w:val="24"/>
        </w:rPr>
      </w:pPr>
      <w:r>
        <w:rPr>
          <w:rFonts w:hint="eastAsia" w:ascii="宋体"/>
          <w:sz w:val="24"/>
        </w:rPr>
        <w:t>7.3逾期送达的或未送达指定地点的或不按照比选文件要求密封的参选文件，比选人将不予接受。</w:t>
      </w:r>
    </w:p>
    <w:p>
      <w:pPr>
        <w:widowControl/>
        <w:tabs>
          <w:tab w:val="left" w:pos="900"/>
          <w:tab w:val="left" w:pos="1100"/>
        </w:tabs>
        <w:adjustRightInd/>
        <w:spacing w:line="300" w:lineRule="auto"/>
        <w:ind w:left="510"/>
        <w:textAlignment w:val="auto"/>
        <w:rPr>
          <w:rFonts w:hint="eastAsia" w:ascii="宋体"/>
          <w:b/>
          <w:sz w:val="24"/>
        </w:rPr>
      </w:pPr>
      <w:r>
        <w:rPr>
          <w:rFonts w:hint="eastAsia" w:ascii="宋体"/>
          <w:b/>
          <w:sz w:val="24"/>
        </w:rPr>
        <w:t>8.发布公告的媒介</w:t>
      </w:r>
    </w:p>
    <w:p>
      <w:pPr>
        <w:widowControl/>
        <w:tabs>
          <w:tab w:val="left" w:pos="900"/>
          <w:tab w:val="left" w:pos="1100"/>
        </w:tabs>
        <w:adjustRightInd/>
        <w:spacing w:line="300" w:lineRule="auto"/>
        <w:jc w:val="left"/>
        <w:textAlignment w:val="auto"/>
        <w:rPr>
          <w:rFonts w:hint="eastAsia" w:ascii="宋体"/>
          <w:sz w:val="24"/>
        </w:rPr>
      </w:pPr>
      <w:r>
        <w:rPr>
          <w:rFonts w:hint="eastAsia" w:ascii="宋体"/>
          <w:sz w:val="24"/>
        </w:rPr>
        <w:t xml:space="preserve">    本次比选公告在</w:t>
      </w:r>
      <w:r>
        <w:rPr>
          <w:rFonts w:hint="eastAsia" w:ascii="宋体" w:hAnsi="宋体" w:cs="宋体"/>
          <w:sz w:val="24"/>
          <w:szCs w:val="24"/>
        </w:rPr>
        <w:t>福建石油化工集团有限责任公司（www.fjpec.com.cn）</w:t>
      </w:r>
      <w:r>
        <w:rPr>
          <w:rFonts w:hint="eastAsia" w:ascii="宋体"/>
          <w:sz w:val="24"/>
        </w:rPr>
        <w:t>上发布。</w:t>
      </w:r>
    </w:p>
    <w:p>
      <w:pPr>
        <w:widowControl/>
        <w:tabs>
          <w:tab w:val="left" w:pos="900"/>
          <w:tab w:val="left" w:pos="1100"/>
        </w:tabs>
        <w:adjustRightInd/>
        <w:spacing w:line="300" w:lineRule="auto"/>
        <w:ind w:left="510"/>
        <w:textAlignment w:val="auto"/>
        <w:rPr>
          <w:rFonts w:hint="eastAsia" w:ascii="宋体"/>
          <w:b/>
          <w:sz w:val="24"/>
        </w:rPr>
      </w:pPr>
      <w:r>
        <w:rPr>
          <w:rFonts w:hint="eastAsia" w:ascii="宋体"/>
          <w:b/>
          <w:sz w:val="24"/>
        </w:rPr>
        <w:t>9.联系方式</w:t>
      </w:r>
    </w:p>
    <w:p>
      <w:pPr>
        <w:pStyle w:val="4"/>
        <w:snapToGrid w:val="0"/>
        <w:spacing w:line="300" w:lineRule="auto"/>
        <w:ind w:firstLine="480" w:firstLineChars="200"/>
        <w:rPr>
          <w:rFonts w:hint="eastAsia" w:ascii="宋体"/>
          <w:sz w:val="24"/>
        </w:rPr>
      </w:pPr>
      <w:r>
        <w:rPr>
          <w:rFonts w:hint="eastAsia" w:ascii="宋体"/>
          <w:sz w:val="24"/>
        </w:rPr>
        <w:t>比选人：</w:t>
      </w:r>
      <w:r>
        <w:rPr>
          <w:rFonts w:hint="eastAsia" w:ascii="宋体"/>
          <w:sz w:val="24"/>
          <w:u w:val="single"/>
        </w:rPr>
        <w:t>宁德市福化环保科技有限公司</w:t>
      </w:r>
    </w:p>
    <w:p>
      <w:pPr>
        <w:pStyle w:val="4"/>
        <w:snapToGrid w:val="0"/>
        <w:spacing w:line="300" w:lineRule="auto"/>
        <w:ind w:firstLine="480" w:firstLineChars="200"/>
        <w:rPr>
          <w:rFonts w:hint="eastAsia" w:ascii="宋体"/>
          <w:sz w:val="24"/>
        </w:rPr>
      </w:pPr>
      <w:r>
        <w:rPr>
          <w:rFonts w:hint="eastAsia" w:ascii="宋体"/>
          <w:sz w:val="24"/>
        </w:rPr>
        <w:t>地址：</w:t>
      </w:r>
      <w:r>
        <w:rPr>
          <w:rFonts w:hint="eastAsia" w:ascii="宋体"/>
          <w:sz w:val="24"/>
          <w:u w:val="single"/>
        </w:rPr>
        <w:t>福鼎市龙安</w:t>
      </w:r>
      <w:r>
        <w:rPr>
          <w:rFonts w:hint="eastAsia" w:ascii="宋体"/>
          <w:sz w:val="24"/>
          <w:u w:val="single"/>
          <w:lang w:val="en-US" w:eastAsia="zh-CN"/>
        </w:rPr>
        <w:t>开发区</w:t>
      </w:r>
      <w:r>
        <w:rPr>
          <w:rFonts w:hint="eastAsia" w:ascii="宋体"/>
          <w:sz w:val="24"/>
          <w:u w:val="single"/>
        </w:rPr>
        <w:t>龙湾路5号</w:t>
      </w:r>
      <w:r>
        <w:rPr>
          <w:rFonts w:hint="eastAsia" w:ascii="宋体"/>
          <w:sz w:val="24"/>
        </w:rPr>
        <w:t xml:space="preserve">    </w:t>
      </w:r>
      <w:bookmarkStart w:id="1" w:name="_GoBack"/>
      <w:bookmarkEnd w:id="1"/>
    </w:p>
    <w:p>
      <w:pPr>
        <w:pStyle w:val="4"/>
        <w:snapToGrid w:val="0"/>
        <w:spacing w:line="300" w:lineRule="auto"/>
        <w:ind w:firstLine="480" w:firstLineChars="200"/>
        <w:rPr>
          <w:rFonts w:hint="eastAsia"/>
        </w:rPr>
      </w:pPr>
      <w:r>
        <w:rPr>
          <w:rFonts w:hint="eastAsia" w:ascii="宋体"/>
          <w:sz w:val="24"/>
        </w:rPr>
        <w:t>电话：</w:t>
      </w:r>
      <w:r>
        <w:rPr>
          <w:rFonts w:hint="eastAsia" w:ascii="宋体" w:hAnsi="宋体"/>
          <w:sz w:val="24"/>
          <w:szCs w:val="24"/>
          <w:u w:val="single"/>
        </w:rPr>
        <w:t xml:space="preserve">  13950423859 </w:t>
      </w:r>
      <w:r>
        <w:rPr>
          <w:rFonts w:hint="eastAsia" w:ascii="宋体"/>
          <w:sz w:val="24"/>
        </w:rPr>
        <w:t>，传真：</w:t>
      </w:r>
      <w:r>
        <w:rPr>
          <w:rFonts w:hint="eastAsia" w:ascii="宋体"/>
          <w:sz w:val="24"/>
          <w:u w:val="single"/>
        </w:rPr>
        <w:t>/</w:t>
      </w:r>
      <w:r>
        <w:rPr>
          <w:rFonts w:hint="eastAsia"/>
        </w:rPr>
        <w:t xml:space="preserve">      </w:t>
      </w:r>
    </w:p>
    <w:p>
      <w:pPr>
        <w:pStyle w:val="4"/>
        <w:snapToGrid w:val="0"/>
        <w:spacing w:line="300" w:lineRule="auto"/>
        <w:ind w:firstLine="480" w:firstLineChars="200"/>
        <w:rPr>
          <w:rFonts w:hint="eastAsia" w:ascii="宋体"/>
          <w:sz w:val="24"/>
          <w:u w:val="single"/>
        </w:rPr>
      </w:pPr>
      <w:r>
        <w:rPr>
          <w:rFonts w:hint="eastAsia" w:ascii="宋体"/>
          <w:sz w:val="24"/>
        </w:rPr>
        <w:t>联系人：</w:t>
      </w:r>
      <w:r>
        <w:rPr>
          <w:rFonts w:hint="eastAsia" w:ascii="宋体"/>
          <w:sz w:val="24"/>
          <w:u w:val="single"/>
        </w:rPr>
        <w:t>潘先生</w:t>
      </w:r>
    </w:p>
    <w:p>
      <w:pPr>
        <w:pStyle w:val="4"/>
        <w:snapToGrid w:val="0"/>
        <w:spacing w:line="300" w:lineRule="auto"/>
        <w:ind w:firstLine="480" w:firstLineChars="200"/>
        <w:rPr>
          <w:rFonts w:hint="eastAsia" w:ascii="宋体"/>
          <w:sz w:val="24"/>
          <w:u w:val="single"/>
          <w:lang w:val="en-US" w:eastAsia="zh-CN"/>
        </w:rPr>
      </w:pPr>
      <w:r>
        <w:rPr>
          <w:rFonts w:hint="eastAsia" w:ascii="宋体"/>
          <w:sz w:val="24"/>
          <w:u w:val="single"/>
          <w:lang w:val="en-US" w:eastAsia="zh-CN"/>
        </w:rPr>
        <w:t>纪检监督：郑女士</w:t>
      </w:r>
    </w:p>
    <w:p>
      <w:pPr>
        <w:pStyle w:val="4"/>
        <w:snapToGrid w:val="0"/>
        <w:spacing w:line="300" w:lineRule="auto"/>
        <w:ind w:firstLine="480" w:firstLineChars="200"/>
        <w:rPr>
          <w:rFonts w:hint="default" w:ascii="宋体"/>
          <w:sz w:val="24"/>
          <w:u w:val="single"/>
          <w:lang w:val="en-US" w:eastAsia="zh-CN"/>
        </w:rPr>
      </w:pPr>
      <w:r>
        <w:rPr>
          <w:rFonts w:hint="eastAsia" w:ascii="宋体"/>
          <w:sz w:val="24"/>
          <w:u w:val="single"/>
          <w:lang w:val="en-US" w:eastAsia="zh-CN"/>
        </w:rPr>
        <w:t>联系电话：0591-87868165</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B"/>
    <w:lvl w:ilvl="0" w:tentative="0">
      <w:start w:val="1"/>
      <w:numFmt w:val="decimal"/>
      <w:lvlText w:val="%1."/>
      <w:lvlJc w:val="left"/>
      <w:pPr>
        <w:tabs>
          <w:tab w:val="left" w:pos="510"/>
        </w:tabs>
        <w:ind w:left="0" w:firstLine="510"/>
      </w:pPr>
      <w:rPr>
        <w:rFonts w:hint="eastAsia"/>
        <w:i w:val="0"/>
        <w:sz w:val="24"/>
      </w:rPr>
    </w:lvl>
    <w:lvl w:ilvl="1" w:tentative="0">
      <w:start w:val="1"/>
      <w:numFmt w:val="decimal"/>
      <w:lvlText w:val="%1.%2."/>
      <w:lvlJc w:val="left"/>
      <w:pPr>
        <w:tabs>
          <w:tab w:val="left" w:pos="510"/>
        </w:tabs>
        <w:ind w:left="0" w:firstLine="510"/>
      </w:pPr>
      <w:rPr>
        <w:rFonts w:hint="eastAsia" w:ascii="宋体" w:hAnsi="宋体" w:eastAsia="宋体"/>
        <w:i w:val="0"/>
      </w:rPr>
    </w:lvl>
    <w:lvl w:ilvl="2" w:tentative="0">
      <w:start w:val="1"/>
      <w:numFmt w:val="decimal"/>
      <w:lvlText w:val="%1.%2.%3."/>
      <w:lvlJc w:val="left"/>
      <w:pPr>
        <w:tabs>
          <w:tab w:val="left" w:pos="510"/>
        </w:tabs>
        <w:ind w:left="0" w:firstLine="510"/>
      </w:pPr>
      <w:rPr>
        <w:rFonts w:hint="eastAsia"/>
      </w:rPr>
    </w:lvl>
    <w:lvl w:ilvl="3" w:tentative="0">
      <w:start w:val="1"/>
      <w:numFmt w:val="decimal"/>
      <w:lvlText w:val="%1.%2.%3.%4."/>
      <w:lvlJc w:val="left"/>
      <w:pPr>
        <w:tabs>
          <w:tab w:val="left" w:pos="510"/>
        </w:tabs>
        <w:ind w:left="0" w:firstLine="510"/>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5F587643"/>
    <w:multiLevelType w:val="multilevel"/>
    <w:tmpl w:val="5F587643"/>
    <w:lvl w:ilvl="0" w:tentative="0">
      <w:start w:val="3"/>
      <w:numFmt w:val="decimal"/>
      <w:lvlText w:val="%1."/>
      <w:lvlJc w:val="left"/>
      <w:pPr>
        <w:tabs>
          <w:tab w:val="left" w:pos="510"/>
        </w:tabs>
        <w:ind w:left="0" w:firstLine="510"/>
      </w:pPr>
      <w:rPr>
        <w:rFonts w:hint="eastAsia"/>
        <w:i w:val="0"/>
        <w:sz w:val="24"/>
      </w:rPr>
    </w:lvl>
    <w:lvl w:ilvl="1" w:tentative="0">
      <w:start w:val="5"/>
      <w:numFmt w:val="decimal"/>
      <w:lvlText w:val="%1.%2."/>
      <w:lvlJc w:val="left"/>
      <w:pPr>
        <w:tabs>
          <w:tab w:val="left" w:pos="510"/>
        </w:tabs>
        <w:ind w:left="0" w:firstLine="510"/>
      </w:pPr>
      <w:rPr>
        <w:rFonts w:hint="eastAsia" w:ascii="宋体" w:hAnsi="宋体" w:eastAsia="宋体"/>
        <w:i w:val="0"/>
      </w:rPr>
    </w:lvl>
    <w:lvl w:ilvl="2" w:tentative="0">
      <w:start w:val="1"/>
      <w:numFmt w:val="decimal"/>
      <w:lvlText w:val="%1.%2.%3."/>
      <w:lvlJc w:val="left"/>
      <w:pPr>
        <w:tabs>
          <w:tab w:val="left" w:pos="510"/>
        </w:tabs>
        <w:ind w:left="0" w:firstLine="510"/>
      </w:pPr>
      <w:rPr>
        <w:rFonts w:hint="eastAsia"/>
      </w:rPr>
    </w:lvl>
    <w:lvl w:ilvl="3" w:tentative="0">
      <w:start w:val="1"/>
      <w:numFmt w:val="decimal"/>
      <w:lvlText w:val="%1.%2.%3.%4."/>
      <w:lvlJc w:val="left"/>
      <w:pPr>
        <w:tabs>
          <w:tab w:val="left" w:pos="510"/>
        </w:tabs>
        <w:ind w:left="0" w:firstLine="510"/>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B45846"/>
    <w:rsid w:val="10B45846"/>
    <w:rsid w:val="634A4A7D"/>
    <w:rsid w:val="78571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12" w:lineRule="atLeast"/>
      <w:jc w:val="both"/>
      <w:textAlignment w:val="baseline"/>
    </w:pPr>
    <w:rPr>
      <w:rFonts w:ascii="Times New Roman" w:hAnsi="Times New Roman" w:eastAsia="宋体" w:cs="Times New Roman"/>
      <w:sz w:val="28"/>
      <w:lang w:val="en-US" w:eastAsia="zh-CN" w:bidi="ar-SA"/>
    </w:rPr>
  </w:style>
  <w:style w:type="paragraph" w:styleId="3">
    <w:name w:val="heading 2"/>
    <w:basedOn w:val="1"/>
    <w:next w:val="4"/>
    <w:qFormat/>
    <w:uiPriority w:val="0"/>
    <w:pPr>
      <w:keepNext/>
      <w:keepLines/>
      <w:adjustRightInd/>
      <w:spacing w:before="260" w:after="260" w:line="416" w:lineRule="auto"/>
      <w:jc w:val="center"/>
      <w:textAlignment w:val="auto"/>
      <w:outlineLvl w:val="1"/>
    </w:pPr>
    <w:rPr>
      <w:rFonts w:ascii="隶书" w:hAnsi="Arial" w:eastAsia="隶书"/>
      <w:b/>
      <w:kern w:val="2"/>
      <w:sz w:val="36"/>
    </w:rPr>
  </w:style>
  <w:style w:type="character" w:default="1" w:styleId="6">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pPr>
      <w:adjustRightInd/>
      <w:spacing w:line="240" w:lineRule="auto"/>
      <w:jc w:val="center"/>
      <w:textAlignment w:val="auto"/>
    </w:pPr>
    <w:rPr>
      <w:b/>
      <w:kern w:val="2"/>
      <w:sz w:val="48"/>
    </w:rPr>
  </w:style>
  <w:style w:type="paragraph" w:styleId="4">
    <w:name w:val="Normal Indent"/>
    <w:basedOn w:val="1"/>
    <w:qFormat/>
    <w:uiPriority w:val="0"/>
    <w:pPr>
      <w:adjustRightInd/>
      <w:spacing w:line="240" w:lineRule="auto"/>
      <w:ind w:firstLine="420"/>
      <w:textAlignment w:val="auto"/>
    </w:pPr>
    <w:rPr>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2019-07-31T08:02:00Z</dcterms:created>
  <dc:creator>佳美科技</dc:creator>
  <cp:lastModifiedBy>佳美科技</cp:lastModifiedBy>
  <dcterms:modified xsi:type="dcterms:W3CDTF">2019-08-09T00:55:44Z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