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bCs/>
          <w:sz w:val="52"/>
          <w:szCs w:val="52"/>
        </w:rPr>
      </w:pPr>
      <w:r>
        <w:rPr>
          <w:rFonts w:hint="eastAsia" w:ascii="宋体" w:hAnsi="宋体" w:cs="黑体"/>
          <w:b/>
          <w:bCs/>
          <w:sz w:val="52"/>
          <w:szCs w:val="52"/>
        </w:rPr>
        <w:t>福建省福二化有限公司</w:t>
      </w:r>
    </w:p>
    <w:p>
      <w:pPr>
        <w:jc w:val="center"/>
        <w:rPr>
          <w:rFonts w:hint="eastAsia" w:ascii="宋体" w:hAnsi="宋体" w:cs="宋体"/>
          <w:b/>
          <w:bCs/>
          <w:sz w:val="52"/>
          <w:szCs w:val="52"/>
        </w:rPr>
      </w:pPr>
      <w:r>
        <w:rPr>
          <w:rFonts w:hint="eastAsia" w:ascii="宋体" w:hAnsi="宋体" w:cs="宋体"/>
          <w:b/>
          <w:bCs/>
          <w:sz w:val="52"/>
          <w:szCs w:val="52"/>
        </w:rPr>
        <w:t>福州生活区电表后改造</w:t>
      </w:r>
    </w:p>
    <w:p>
      <w:pPr>
        <w:rPr>
          <w:rFonts w:ascii="宋体" w:hAnsi="宋体" w:cs="黑体"/>
          <w:b/>
          <w:bCs/>
          <w:sz w:val="52"/>
          <w:szCs w:val="52"/>
        </w:rPr>
      </w:pPr>
    </w:p>
    <w:p>
      <w:pPr>
        <w:jc w:val="center"/>
        <w:rPr>
          <w:rFonts w:hint="eastAsia" w:ascii="宋体" w:hAnsi="宋体" w:cs="黑体"/>
          <w:b/>
          <w:bCs/>
          <w:sz w:val="52"/>
          <w:szCs w:val="52"/>
        </w:rPr>
      </w:pPr>
      <w:r>
        <w:rPr>
          <w:rFonts w:hint="eastAsia" w:ascii="宋体" w:hAnsi="宋体" w:cs="黑体"/>
          <w:b/>
          <w:bCs/>
          <w:sz w:val="52"/>
          <w:szCs w:val="52"/>
        </w:rPr>
        <w:t>技术规格书</w:t>
      </w: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ascii="宋体" w:hAnsi="宋体" w:cs="宋体"/>
          <w:b/>
          <w:sz w:val="36"/>
          <w:szCs w:val="36"/>
        </w:rPr>
      </w:pPr>
    </w:p>
    <w:p>
      <w:pPr>
        <w:jc w:val="center"/>
        <w:rPr>
          <w:b/>
          <w:sz w:val="36"/>
          <w:szCs w:val="36"/>
        </w:rPr>
      </w:pPr>
      <w:r>
        <w:rPr>
          <w:rFonts w:hint="eastAsia" w:ascii="宋体" w:hAnsi="宋体" w:cs="宋体"/>
          <w:b/>
          <w:sz w:val="36"/>
          <w:szCs w:val="36"/>
        </w:rPr>
        <w:t>2019年4月1日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8"/>
          <w:szCs w:val="28"/>
        </w:rPr>
      </w:pPr>
      <w:r>
        <w:rPr>
          <w:rFonts w:hint="eastAsia" w:ascii="宋体" w:hAnsi="宋体"/>
          <w:b/>
          <w:sz w:val="28"/>
          <w:szCs w:val="28"/>
        </w:rPr>
        <w:t>一、概况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本项目适用于福建省福二化有限公司福州生活区电表后改造，福州生活区新装一台800kVA箱变为联福1#、2#、3#楼及一区25#、26#、27#楼供电，电表前由供电局负责施工，本项目完成电表后的改造。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Calibri"/>
          <w:b/>
          <w:sz w:val="28"/>
          <w:szCs w:val="28"/>
        </w:rPr>
      </w:pPr>
      <w:r>
        <w:rPr>
          <w:rFonts w:hint="eastAsia" w:ascii="Calibri" w:hAnsi="Calibri"/>
          <w:b/>
          <w:sz w:val="28"/>
          <w:szCs w:val="28"/>
        </w:rPr>
        <w:t>二</w:t>
      </w:r>
      <w:r>
        <w:rPr>
          <w:rFonts w:hint="eastAsia" w:ascii="宋体" w:hAnsi="宋体"/>
          <w:b/>
          <w:sz w:val="28"/>
          <w:szCs w:val="28"/>
        </w:rPr>
        <w:t>、技术方案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rPr>
      </w:pPr>
      <w:r>
        <w:rPr>
          <w:rFonts w:hint="eastAsia" w:ascii="宋体" w:hAnsi="宋体" w:cs="宋体"/>
          <w:sz w:val="28"/>
          <w:szCs w:val="28"/>
        </w:rPr>
        <w:t>1、26#、27#楼供电局新电表箱安装在原电表箱旁，乙方只需将原电表箱各住户出线一一拆下接至新电表箱各住户出线处即可。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rPr>
      </w:pPr>
      <w:r>
        <w:rPr>
          <w:rFonts w:hint="eastAsia" w:ascii="宋体" w:hAnsi="宋体" w:cs="宋体"/>
          <w:sz w:val="28"/>
          <w:szCs w:val="28"/>
        </w:rPr>
        <w:t>2.1、25#楼一楼墙根下供电局安装一个三相电表计量箱，乙方需从此处分别埋地敷设两条ZR-YJV-0.6/1KV-5×10电缆至消防泵水箱及26#楼配电房（预埋管已敷设）。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rPr>
      </w:pPr>
      <w:r>
        <w:rPr>
          <w:rFonts w:hint="eastAsia" w:ascii="宋体" w:hAnsi="宋体" w:cs="宋体"/>
          <w:sz w:val="28"/>
          <w:szCs w:val="28"/>
        </w:rPr>
        <w:t>2.2、25#楼2层、3层、4层楼梯拐角处供电局新装电表箱，乙方需用2×4²mm双排线利用80*50PVC线槽将旧电表箱各住户出线延长至新电表箱各住户出线处。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rPr>
      </w:pPr>
      <w:r>
        <w:rPr>
          <w:rFonts w:hint="eastAsia" w:ascii="宋体" w:hAnsi="宋体" w:cs="宋体"/>
          <w:sz w:val="28"/>
          <w:szCs w:val="28"/>
        </w:rPr>
        <w:t>3.1、联福1#楼1号梯、5号梯在楼梯拐角处供电局新装电表箱，乙方需用2×4²mm双排线利用80*50PVC线槽将旧电表箱各住户出线延长至新电表箱各住户出线处。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rPr>
      </w:pPr>
      <w:r>
        <w:rPr>
          <w:rFonts w:hint="eastAsia" w:ascii="宋体" w:hAnsi="宋体" w:cs="宋体"/>
          <w:sz w:val="28"/>
          <w:szCs w:val="28"/>
        </w:rPr>
        <w:t>3.2、联福1#楼2号梯、3号梯、4号梯供电局将新电表箱安装在原电表箱位，乙方需配合供电局将原电表箱临时移位，待新电表箱安装就位后将原电表箱各住户出线一一拆下接至新电表箱各住户出线处。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3.3、联福2#楼、3#楼，每座楼各2个梯位，</w:t>
      </w:r>
      <w:r>
        <w:rPr>
          <w:rFonts w:hint="eastAsia" w:ascii="宋体" w:hAnsi="宋体" w:cs="宋体"/>
          <w:sz w:val="28"/>
          <w:szCs w:val="28"/>
          <w:lang w:eastAsia="zh-CN"/>
        </w:rPr>
        <w:t>因</w:t>
      </w:r>
      <w:r>
        <w:rPr>
          <w:rFonts w:hint="eastAsia" w:ascii="宋体" w:hAnsi="宋体" w:cs="宋体"/>
          <w:sz w:val="28"/>
          <w:szCs w:val="28"/>
        </w:rPr>
        <w:t>供电局将新电表箱安装在原电表箱</w:t>
      </w:r>
      <w:r>
        <w:rPr>
          <w:rFonts w:hint="eastAsia" w:ascii="宋体" w:hAnsi="宋体" w:cs="宋体"/>
          <w:sz w:val="28"/>
          <w:szCs w:val="28"/>
          <w:lang w:eastAsia="zh-CN"/>
        </w:rPr>
        <w:t>外</w:t>
      </w:r>
      <w:r>
        <w:rPr>
          <w:rFonts w:hint="eastAsia" w:ascii="宋体" w:hAnsi="宋体" w:cs="宋体"/>
          <w:sz w:val="28"/>
          <w:szCs w:val="28"/>
          <w:lang w:val="en-US" w:eastAsia="zh-CN"/>
        </w:rPr>
        <w:t>40m处</w:t>
      </w:r>
      <w:r>
        <w:rPr>
          <w:rFonts w:hint="eastAsia" w:ascii="宋体" w:hAnsi="宋体" w:cs="宋体"/>
          <w:sz w:val="28"/>
          <w:szCs w:val="28"/>
        </w:rPr>
        <w:t>，乙方需用2×4²mm双排线利用80*50PVC线槽将旧电表箱各住户出线延长至新电表箱各住户出线处。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rPr>
      </w:pPr>
      <w:r>
        <w:rPr>
          <w:rFonts w:hint="eastAsia" w:ascii="宋体" w:hAnsi="宋体" w:cs="宋体"/>
          <w:sz w:val="28"/>
          <w:szCs w:val="28"/>
        </w:rPr>
        <w:t>4、各梯位路灯电源采用2×2.5²mm双排线敷设。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总计需ZR-YJV-0.6/1KV-5×10电缆160米，2×4²mm双排线1110米，2×2.5²mm双排线60米。PVC线槽80*50，70米，电缆及电线推荐品牌：上海南大集团有限公司、福建南平太阳电缆股份有限公司、湖北航天电缆有限公司。</w:t>
      </w:r>
    </w:p>
    <w:p>
      <w:pPr>
        <w:rPr>
          <w:rFonts w:hint="eastAsia" w:ascii="宋体" w:hAnsi="宋体" w:cs="宋体"/>
          <w:sz w:val="24"/>
        </w:rPr>
      </w:pPr>
      <w:r>
        <w:rPr>
          <w:rFonts w:hint="eastAsia" w:ascii="宋体" w:hAnsi="宋体" w:cs="宋体"/>
          <w:sz w:val="24"/>
        </w:rPr>
        <w:t>主要材料清单如下：</w:t>
      </w:r>
    </w:p>
    <w:tbl>
      <w:tblPr>
        <w:tblStyle w:val="2"/>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707"/>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名称</w:t>
            </w:r>
          </w:p>
        </w:tc>
        <w:tc>
          <w:tcPr>
            <w:tcW w:w="2707" w:type="dxa"/>
          </w:tcPr>
          <w:p>
            <w:pPr>
              <w:jc w:val="center"/>
              <w:rPr>
                <w:rFonts w:ascii="宋体" w:hAnsi="宋体" w:cs="宋体"/>
                <w:sz w:val="24"/>
                <w:szCs w:val="22"/>
              </w:rPr>
            </w:pPr>
            <w:r>
              <w:rPr>
                <w:rFonts w:hint="eastAsia" w:ascii="宋体" w:hAnsi="宋体" w:cs="宋体"/>
                <w:sz w:val="24"/>
                <w:szCs w:val="22"/>
              </w:rPr>
              <w:t>规格</w:t>
            </w:r>
          </w:p>
        </w:tc>
        <w:tc>
          <w:tcPr>
            <w:tcW w:w="900" w:type="dxa"/>
          </w:tcPr>
          <w:p>
            <w:pPr>
              <w:jc w:val="center"/>
              <w:rPr>
                <w:rFonts w:ascii="宋体" w:hAnsi="宋体" w:cs="宋体"/>
                <w:sz w:val="24"/>
                <w:szCs w:val="22"/>
              </w:rPr>
            </w:pPr>
            <w:r>
              <w:rPr>
                <w:rFonts w:hint="eastAsia" w:ascii="宋体" w:hAnsi="宋体" w:cs="宋体"/>
                <w:sz w:val="24"/>
                <w:szCs w:val="22"/>
              </w:rPr>
              <w:t>数量</w:t>
            </w:r>
          </w:p>
        </w:tc>
        <w:tc>
          <w:tcPr>
            <w:tcW w:w="3780" w:type="dxa"/>
          </w:tcPr>
          <w:p>
            <w:pPr>
              <w:jc w:val="center"/>
              <w:rPr>
                <w:rFonts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消防泵水箱电源</w:t>
            </w:r>
          </w:p>
        </w:tc>
        <w:tc>
          <w:tcPr>
            <w:tcW w:w="2707" w:type="dxa"/>
          </w:tcPr>
          <w:p>
            <w:pPr>
              <w:jc w:val="center"/>
              <w:rPr>
                <w:rFonts w:ascii="宋体" w:hAnsi="宋体" w:cs="宋体"/>
                <w:sz w:val="24"/>
                <w:szCs w:val="22"/>
              </w:rPr>
            </w:pPr>
            <w:r>
              <w:rPr>
                <w:rFonts w:hint="eastAsia" w:ascii="宋体" w:hAnsi="宋体" w:cs="宋体"/>
                <w:sz w:val="24"/>
                <w:szCs w:val="22"/>
              </w:rPr>
              <w:t>ZR-YJV-0.6/1KV-5×10电缆</w:t>
            </w:r>
          </w:p>
        </w:tc>
        <w:tc>
          <w:tcPr>
            <w:tcW w:w="900" w:type="dxa"/>
          </w:tcPr>
          <w:p>
            <w:pPr>
              <w:jc w:val="center"/>
              <w:rPr>
                <w:rFonts w:ascii="宋体" w:hAnsi="宋体" w:cs="宋体"/>
                <w:sz w:val="24"/>
                <w:szCs w:val="22"/>
              </w:rPr>
            </w:pPr>
            <w:r>
              <w:rPr>
                <w:rFonts w:hint="eastAsia" w:ascii="宋体" w:hAnsi="宋体" w:cs="宋体"/>
                <w:sz w:val="24"/>
                <w:szCs w:val="22"/>
              </w:rPr>
              <w:t>85米</w:t>
            </w:r>
          </w:p>
        </w:tc>
        <w:tc>
          <w:tcPr>
            <w:tcW w:w="3780" w:type="dxa"/>
          </w:tcPr>
          <w:p>
            <w:pPr>
              <w:jc w:val="center"/>
              <w:rPr>
                <w:rFonts w:ascii="宋体" w:hAnsi="宋体" w:cs="宋体"/>
                <w:sz w:val="24"/>
                <w:szCs w:val="22"/>
              </w:rPr>
            </w:pPr>
            <w:r>
              <w:rPr>
                <w:rFonts w:hint="eastAsia" w:ascii="宋体" w:hAnsi="宋体" w:cs="宋体"/>
                <w:sz w:val="24"/>
                <w:szCs w:val="22"/>
              </w:rPr>
              <w:t>25#楼一楼墙根下至消防泵水箱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26#楼办公室3相电源</w:t>
            </w:r>
          </w:p>
        </w:tc>
        <w:tc>
          <w:tcPr>
            <w:tcW w:w="2707" w:type="dxa"/>
          </w:tcPr>
          <w:p>
            <w:pPr>
              <w:jc w:val="center"/>
              <w:rPr>
                <w:rFonts w:ascii="宋体" w:hAnsi="宋体" w:cs="宋体"/>
                <w:sz w:val="24"/>
                <w:szCs w:val="22"/>
              </w:rPr>
            </w:pPr>
            <w:r>
              <w:rPr>
                <w:rFonts w:hint="eastAsia" w:ascii="宋体" w:hAnsi="宋体" w:cs="宋体"/>
                <w:sz w:val="24"/>
                <w:szCs w:val="22"/>
              </w:rPr>
              <w:t>ZR-YJV-0.6/1KV-4×25+1×10电缆</w:t>
            </w:r>
          </w:p>
        </w:tc>
        <w:tc>
          <w:tcPr>
            <w:tcW w:w="900" w:type="dxa"/>
          </w:tcPr>
          <w:p>
            <w:pPr>
              <w:jc w:val="center"/>
              <w:rPr>
                <w:rFonts w:ascii="宋体" w:hAnsi="宋体" w:cs="宋体"/>
                <w:sz w:val="24"/>
                <w:szCs w:val="22"/>
              </w:rPr>
            </w:pPr>
            <w:r>
              <w:rPr>
                <w:rFonts w:hint="eastAsia" w:ascii="宋体" w:hAnsi="宋体" w:cs="宋体"/>
                <w:sz w:val="24"/>
                <w:szCs w:val="22"/>
              </w:rPr>
              <w:t>75米</w:t>
            </w:r>
          </w:p>
        </w:tc>
        <w:tc>
          <w:tcPr>
            <w:tcW w:w="3780" w:type="dxa"/>
          </w:tcPr>
          <w:p>
            <w:pPr>
              <w:jc w:val="center"/>
              <w:rPr>
                <w:rFonts w:ascii="宋体" w:hAnsi="宋体" w:cs="宋体"/>
                <w:sz w:val="24"/>
                <w:szCs w:val="22"/>
              </w:rPr>
            </w:pPr>
            <w:r>
              <w:rPr>
                <w:rFonts w:hint="eastAsia" w:ascii="宋体" w:hAnsi="宋体" w:cs="宋体"/>
                <w:sz w:val="24"/>
                <w:szCs w:val="22"/>
              </w:rPr>
              <w:t>25#楼一楼墙根下至26#楼配电房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704" w:type="dxa"/>
          </w:tcPr>
          <w:p>
            <w:pPr>
              <w:jc w:val="center"/>
              <w:rPr>
                <w:rFonts w:ascii="宋体" w:hAnsi="宋体" w:cs="宋体"/>
                <w:sz w:val="24"/>
                <w:szCs w:val="22"/>
              </w:rPr>
            </w:pPr>
            <w:r>
              <w:rPr>
                <w:rFonts w:hint="eastAsia" w:ascii="宋体" w:hAnsi="宋体" w:cs="宋体"/>
                <w:sz w:val="24"/>
                <w:szCs w:val="22"/>
              </w:rPr>
              <w:t>27#楼</w:t>
            </w:r>
          </w:p>
        </w:tc>
        <w:tc>
          <w:tcPr>
            <w:tcW w:w="2707" w:type="dxa"/>
          </w:tcPr>
          <w:p>
            <w:pPr>
              <w:jc w:val="center"/>
              <w:rPr>
                <w:rFonts w:ascii="宋体" w:hAnsi="宋体" w:cs="宋体"/>
                <w:sz w:val="24"/>
                <w:szCs w:val="22"/>
              </w:rPr>
            </w:pPr>
            <w:r>
              <w:rPr>
                <w:rFonts w:hint="eastAsia" w:ascii="宋体" w:hAnsi="宋体" w:cs="宋体"/>
                <w:sz w:val="24"/>
                <w:szCs w:val="22"/>
              </w:rPr>
              <w:t>10㎡单芯线</w:t>
            </w:r>
          </w:p>
        </w:tc>
        <w:tc>
          <w:tcPr>
            <w:tcW w:w="900" w:type="dxa"/>
          </w:tcPr>
          <w:p>
            <w:pPr>
              <w:jc w:val="center"/>
              <w:rPr>
                <w:rFonts w:ascii="宋体" w:hAnsi="宋体" w:cs="宋体"/>
                <w:sz w:val="24"/>
                <w:szCs w:val="22"/>
              </w:rPr>
            </w:pPr>
            <w:r>
              <w:rPr>
                <w:rFonts w:hint="eastAsia" w:ascii="宋体" w:hAnsi="宋体" w:cs="宋体"/>
                <w:sz w:val="24"/>
                <w:szCs w:val="22"/>
              </w:rPr>
              <w:t>45米</w:t>
            </w:r>
          </w:p>
        </w:tc>
        <w:tc>
          <w:tcPr>
            <w:tcW w:w="3780" w:type="dxa"/>
          </w:tcPr>
          <w:p>
            <w:pPr>
              <w:jc w:val="center"/>
              <w:rPr>
                <w:rFonts w:ascii="宋体" w:hAnsi="宋体" w:cs="宋体"/>
                <w:sz w:val="24"/>
                <w:szCs w:val="22"/>
              </w:rPr>
            </w:pPr>
            <w:r>
              <w:rPr>
                <w:rFonts w:hint="eastAsia" w:ascii="宋体" w:hAnsi="宋体" w:cs="宋体"/>
                <w:sz w:val="24"/>
                <w:szCs w:val="22"/>
              </w:rPr>
              <w:t>15戶电源（每户3米）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25#楼2层住户入户电源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210米</w:t>
            </w:r>
          </w:p>
        </w:tc>
        <w:tc>
          <w:tcPr>
            <w:tcW w:w="3780" w:type="dxa"/>
          </w:tcPr>
          <w:p>
            <w:pPr>
              <w:jc w:val="center"/>
              <w:rPr>
                <w:rFonts w:ascii="宋体" w:hAnsi="宋体" w:cs="宋体"/>
                <w:sz w:val="24"/>
                <w:szCs w:val="22"/>
              </w:rPr>
            </w:pPr>
            <w:r>
              <w:rPr>
                <w:rFonts w:hint="eastAsia" w:ascii="宋体" w:hAnsi="宋体" w:cs="宋体"/>
                <w:sz w:val="24"/>
                <w:szCs w:val="22"/>
              </w:rPr>
              <w:t>14戶电源（每户15米）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04" w:type="dxa"/>
          </w:tcPr>
          <w:p>
            <w:pPr>
              <w:jc w:val="center"/>
              <w:rPr>
                <w:rFonts w:ascii="宋体" w:hAnsi="宋体" w:cs="宋体"/>
                <w:sz w:val="24"/>
                <w:szCs w:val="22"/>
              </w:rPr>
            </w:pPr>
            <w:r>
              <w:rPr>
                <w:rFonts w:hint="eastAsia" w:ascii="宋体" w:hAnsi="宋体" w:cs="宋体"/>
                <w:sz w:val="24"/>
                <w:szCs w:val="22"/>
              </w:rPr>
              <w:t>25#楼3层住户入户电源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210米</w:t>
            </w:r>
          </w:p>
        </w:tc>
        <w:tc>
          <w:tcPr>
            <w:tcW w:w="3780" w:type="dxa"/>
          </w:tcPr>
          <w:p>
            <w:pPr>
              <w:jc w:val="center"/>
              <w:rPr>
                <w:rFonts w:ascii="宋体" w:hAnsi="宋体" w:cs="宋体"/>
                <w:sz w:val="24"/>
                <w:szCs w:val="22"/>
              </w:rPr>
            </w:pPr>
            <w:r>
              <w:rPr>
                <w:rFonts w:hint="eastAsia" w:ascii="宋体" w:hAnsi="宋体" w:cs="宋体"/>
                <w:sz w:val="24"/>
                <w:szCs w:val="22"/>
              </w:rPr>
              <w:t>14戶电源（每户15米）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25#楼4层以上住户入户电源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330米</w:t>
            </w:r>
          </w:p>
        </w:tc>
        <w:tc>
          <w:tcPr>
            <w:tcW w:w="3780" w:type="dxa"/>
          </w:tcPr>
          <w:p>
            <w:pPr>
              <w:jc w:val="center"/>
              <w:rPr>
                <w:rFonts w:ascii="宋体" w:hAnsi="宋体" w:cs="宋体"/>
                <w:sz w:val="24"/>
                <w:szCs w:val="22"/>
              </w:rPr>
            </w:pPr>
            <w:r>
              <w:rPr>
                <w:rFonts w:hint="eastAsia" w:ascii="宋体" w:hAnsi="宋体" w:cs="宋体"/>
                <w:sz w:val="24"/>
                <w:szCs w:val="22"/>
              </w:rPr>
              <w:t>33戶电源（每户10米）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联福1#楼1梯住户入户电源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360米</w:t>
            </w:r>
          </w:p>
        </w:tc>
        <w:tc>
          <w:tcPr>
            <w:tcW w:w="3780" w:type="dxa"/>
          </w:tcPr>
          <w:p>
            <w:pPr>
              <w:jc w:val="center"/>
              <w:rPr>
                <w:rFonts w:ascii="宋体" w:hAnsi="宋体" w:cs="宋体"/>
                <w:sz w:val="24"/>
                <w:szCs w:val="22"/>
              </w:rPr>
            </w:pPr>
            <w:r>
              <w:rPr>
                <w:rFonts w:hint="eastAsia" w:ascii="宋体" w:hAnsi="宋体" w:cs="宋体"/>
                <w:sz w:val="24"/>
                <w:szCs w:val="22"/>
              </w:rPr>
              <w:t>18戶电源（每户20米）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704" w:type="dxa"/>
          </w:tcPr>
          <w:p>
            <w:pPr>
              <w:jc w:val="center"/>
              <w:rPr>
                <w:rFonts w:ascii="宋体" w:hAnsi="宋体" w:cs="宋体"/>
                <w:sz w:val="24"/>
                <w:szCs w:val="22"/>
              </w:rPr>
            </w:pPr>
            <w:r>
              <w:rPr>
                <w:rFonts w:hint="eastAsia" w:ascii="宋体" w:hAnsi="宋体" w:cs="宋体"/>
                <w:sz w:val="24"/>
                <w:szCs w:val="22"/>
              </w:rPr>
              <w:t>联福1#楼2梯、3梯、4梯住户入户电源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72米</w:t>
            </w:r>
          </w:p>
        </w:tc>
        <w:tc>
          <w:tcPr>
            <w:tcW w:w="3780" w:type="dxa"/>
          </w:tcPr>
          <w:p>
            <w:pPr>
              <w:jc w:val="center"/>
              <w:rPr>
                <w:rFonts w:ascii="宋体" w:hAnsi="宋体" w:cs="宋体"/>
                <w:sz w:val="24"/>
                <w:szCs w:val="22"/>
              </w:rPr>
            </w:pPr>
            <w:r>
              <w:rPr>
                <w:rFonts w:hint="eastAsia" w:ascii="宋体" w:hAnsi="宋体" w:cs="宋体"/>
                <w:sz w:val="24"/>
                <w:szCs w:val="22"/>
              </w:rPr>
              <w:t>36戶电源（每户2米）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联福1#楼5梯住户入户电源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450米</w:t>
            </w:r>
          </w:p>
        </w:tc>
        <w:tc>
          <w:tcPr>
            <w:tcW w:w="3780" w:type="dxa"/>
          </w:tcPr>
          <w:p>
            <w:pPr>
              <w:jc w:val="center"/>
              <w:rPr>
                <w:rFonts w:ascii="宋体" w:hAnsi="宋体" w:cs="宋体"/>
                <w:sz w:val="24"/>
                <w:szCs w:val="22"/>
              </w:rPr>
            </w:pPr>
            <w:r>
              <w:rPr>
                <w:rFonts w:hint="eastAsia" w:ascii="宋体" w:hAnsi="宋体" w:cs="宋体"/>
                <w:sz w:val="24"/>
                <w:szCs w:val="22"/>
              </w:rPr>
              <w:t>18戶电源（每户25米）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联福2#楼、3#楼住户入户电源</w:t>
            </w:r>
          </w:p>
        </w:tc>
        <w:tc>
          <w:tcPr>
            <w:tcW w:w="2707" w:type="dxa"/>
          </w:tcPr>
          <w:p>
            <w:pPr>
              <w:jc w:val="center"/>
              <w:rPr>
                <w:rFonts w:ascii="宋体" w:hAnsi="宋体" w:cs="宋体"/>
                <w:sz w:val="24"/>
                <w:szCs w:val="22"/>
              </w:rPr>
            </w:pPr>
            <w:r>
              <w:rPr>
                <w:rFonts w:hint="eastAsia" w:ascii="宋体" w:hAnsi="宋体" w:cs="宋体"/>
                <w:sz w:val="24"/>
                <w:szCs w:val="22"/>
              </w:rPr>
              <w:t>2×4²mm双排线</w:t>
            </w:r>
          </w:p>
        </w:tc>
        <w:tc>
          <w:tcPr>
            <w:tcW w:w="900" w:type="dxa"/>
          </w:tcPr>
          <w:p>
            <w:pPr>
              <w:jc w:val="center"/>
              <w:rPr>
                <w:rFonts w:ascii="宋体" w:hAnsi="宋体" w:cs="宋体"/>
                <w:sz w:val="24"/>
                <w:szCs w:val="22"/>
              </w:rPr>
            </w:pPr>
            <w:r>
              <w:rPr>
                <w:rFonts w:hint="eastAsia" w:ascii="宋体" w:hAnsi="宋体" w:cs="宋体"/>
                <w:sz w:val="24"/>
                <w:szCs w:val="22"/>
              </w:rPr>
              <w:t>1080米</w:t>
            </w:r>
          </w:p>
        </w:tc>
        <w:tc>
          <w:tcPr>
            <w:tcW w:w="3780" w:type="dxa"/>
          </w:tcPr>
          <w:p>
            <w:pPr>
              <w:jc w:val="center"/>
              <w:rPr>
                <w:rFonts w:ascii="宋体" w:hAnsi="宋体" w:cs="宋体"/>
                <w:sz w:val="24"/>
                <w:szCs w:val="22"/>
              </w:rPr>
            </w:pPr>
            <w:r>
              <w:rPr>
                <w:rFonts w:hint="eastAsia" w:ascii="宋体" w:hAnsi="宋体" w:cs="宋体"/>
                <w:sz w:val="24"/>
                <w:szCs w:val="22"/>
              </w:rPr>
              <w:t>72戶电源（每户15米）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PVC线槽</w:t>
            </w:r>
          </w:p>
        </w:tc>
        <w:tc>
          <w:tcPr>
            <w:tcW w:w="2707" w:type="dxa"/>
          </w:tcPr>
          <w:p>
            <w:pPr>
              <w:jc w:val="center"/>
              <w:rPr>
                <w:rFonts w:ascii="宋体" w:hAnsi="宋体" w:cs="宋体"/>
                <w:sz w:val="24"/>
                <w:szCs w:val="22"/>
              </w:rPr>
            </w:pPr>
            <w:r>
              <w:rPr>
                <w:rFonts w:hint="eastAsia" w:ascii="宋体" w:hAnsi="宋体" w:cs="宋体"/>
                <w:sz w:val="24"/>
                <w:szCs w:val="22"/>
              </w:rPr>
              <w:t>80*50</w:t>
            </w:r>
          </w:p>
        </w:tc>
        <w:tc>
          <w:tcPr>
            <w:tcW w:w="900" w:type="dxa"/>
          </w:tcPr>
          <w:p>
            <w:pPr>
              <w:jc w:val="center"/>
              <w:rPr>
                <w:rFonts w:ascii="宋体" w:hAnsi="宋体" w:cs="宋体"/>
                <w:sz w:val="24"/>
                <w:szCs w:val="22"/>
              </w:rPr>
            </w:pPr>
            <w:r>
              <w:rPr>
                <w:rFonts w:hint="eastAsia" w:ascii="宋体" w:hAnsi="宋体" w:cs="宋体"/>
                <w:sz w:val="24"/>
                <w:szCs w:val="22"/>
              </w:rPr>
              <w:t>210米</w:t>
            </w:r>
          </w:p>
        </w:tc>
        <w:tc>
          <w:tcPr>
            <w:tcW w:w="3780" w:type="dxa"/>
          </w:tcPr>
          <w:p>
            <w:pPr>
              <w:jc w:val="center"/>
              <w:rPr>
                <w:rFonts w:ascii="宋体" w:hAnsi="宋体" w:cs="宋体"/>
                <w:sz w:val="24"/>
                <w:szCs w:val="22"/>
              </w:rPr>
            </w:pPr>
            <w:r>
              <w:rPr>
                <w:rFonts w:hint="eastAsia" w:ascii="宋体" w:hAnsi="宋体" w:cs="宋体"/>
                <w:sz w:val="24"/>
                <w:szCs w:val="22"/>
              </w:rPr>
              <w:t>25#楼4楼以上住户入户电源走两根线槽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路灯电源</w:t>
            </w:r>
          </w:p>
        </w:tc>
        <w:tc>
          <w:tcPr>
            <w:tcW w:w="2707" w:type="dxa"/>
          </w:tcPr>
          <w:p>
            <w:pPr>
              <w:jc w:val="center"/>
              <w:rPr>
                <w:rFonts w:ascii="宋体" w:hAnsi="宋体" w:cs="宋体"/>
                <w:sz w:val="24"/>
                <w:szCs w:val="22"/>
              </w:rPr>
            </w:pPr>
            <w:r>
              <w:rPr>
                <w:rFonts w:hint="eastAsia" w:ascii="宋体" w:hAnsi="宋体" w:cs="宋体"/>
                <w:sz w:val="24"/>
                <w:szCs w:val="22"/>
              </w:rPr>
              <w:t>2×2.5²mm双排线</w:t>
            </w:r>
          </w:p>
        </w:tc>
        <w:tc>
          <w:tcPr>
            <w:tcW w:w="900" w:type="dxa"/>
          </w:tcPr>
          <w:p>
            <w:pPr>
              <w:jc w:val="center"/>
              <w:rPr>
                <w:rFonts w:ascii="宋体" w:hAnsi="宋体" w:cs="宋体"/>
                <w:sz w:val="24"/>
                <w:szCs w:val="22"/>
              </w:rPr>
            </w:pPr>
            <w:r>
              <w:rPr>
                <w:rFonts w:hint="eastAsia" w:ascii="宋体" w:hAnsi="宋体" w:cs="宋体"/>
                <w:sz w:val="24"/>
                <w:szCs w:val="22"/>
              </w:rPr>
              <w:t>200米</w:t>
            </w:r>
          </w:p>
        </w:tc>
        <w:tc>
          <w:tcPr>
            <w:tcW w:w="3780" w:type="dxa"/>
          </w:tcPr>
          <w:p>
            <w:pPr>
              <w:ind w:firstLine="480" w:firstLineChars="200"/>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Fonts w:ascii="宋体" w:hAnsi="宋体" w:cs="宋体"/>
                <w:sz w:val="24"/>
                <w:szCs w:val="22"/>
              </w:rPr>
            </w:pPr>
            <w:r>
              <w:rPr>
                <w:rFonts w:hint="eastAsia" w:ascii="宋体" w:hAnsi="宋体" w:cs="宋体"/>
                <w:sz w:val="24"/>
                <w:szCs w:val="22"/>
              </w:rPr>
              <w:t>电表雨遮</w:t>
            </w:r>
          </w:p>
        </w:tc>
        <w:tc>
          <w:tcPr>
            <w:tcW w:w="2707" w:type="dxa"/>
          </w:tcPr>
          <w:p>
            <w:pPr>
              <w:jc w:val="center"/>
              <w:rPr>
                <w:rFonts w:ascii="宋体" w:hAnsi="宋体" w:cs="宋体"/>
                <w:sz w:val="24"/>
                <w:szCs w:val="22"/>
              </w:rPr>
            </w:pPr>
            <w:r>
              <w:rPr>
                <w:rFonts w:hint="eastAsia" w:ascii="宋体" w:hAnsi="宋体" w:cs="宋体"/>
                <w:sz w:val="24"/>
                <w:szCs w:val="22"/>
              </w:rPr>
              <w:t>0.5m宽，按实施工</w:t>
            </w:r>
          </w:p>
        </w:tc>
        <w:tc>
          <w:tcPr>
            <w:tcW w:w="900" w:type="dxa"/>
          </w:tcPr>
          <w:p>
            <w:pPr>
              <w:jc w:val="center"/>
              <w:rPr>
                <w:rFonts w:ascii="宋体" w:hAnsi="宋体" w:cs="宋体"/>
                <w:sz w:val="24"/>
                <w:szCs w:val="22"/>
              </w:rPr>
            </w:pPr>
            <w:r>
              <w:rPr>
                <w:rFonts w:hint="eastAsia" w:ascii="宋体" w:hAnsi="宋体" w:cs="宋体"/>
                <w:sz w:val="24"/>
                <w:szCs w:val="22"/>
              </w:rPr>
              <w:t>5处</w:t>
            </w:r>
          </w:p>
        </w:tc>
        <w:tc>
          <w:tcPr>
            <w:tcW w:w="3780" w:type="dxa"/>
          </w:tcPr>
          <w:p>
            <w:pPr>
              <w:rPr>
                <w:rFonts w:ascii="宋体" w:hAnsi="宋体" w:cs="宋体"/>
                <w:sz w:val="24"/>
                <w:szCs w:val="22"/>
              </w:rPr>
            </w:pPr>
            <w:r>
              <w:rPr>
                <w:rFonts w:hint="eastAsia" w:ascii="宋体" w:hAnsi="宋体" w:cs="宋体"/>
                <w:sz w:val="24"/>
                <w:szCs w:val="22"/>
              </w:rPr>
              <w:t>壁厚2mm厚度的304不锈钢方管制作骨架，覆面为阳光板5mm。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04" w:type="dxa"/>
          </w:tcPr>
          <w:p>
            <w:pPr>
              <w:jc w:val="center"/>
              <w:rPr>
                <w:rFonts w:ascii="宋体" w:hAnsi="宋体" w:cs="宋体"/>
                <w:sz w:val="24"/>
                <w:szCs w:val="22"/>
              </w:rPr>
            </w:pPr>
            <w:r>
              <w:rPr>
                <w:rFonts w:hint="eastAsia" w:ascii="宋体" w:hAnsi="宋体" w:cs="宋体"/>
                <w:sz w:val="24"/>
                <w:szCs w:val="22"/>
              </w:rPr>
              <w:t>26#楼办公室</w:t>
            </w:r>
          </w:p>
        </w:tc>
        <w:tc>
          <w:tcPr>
            <w:tcW w:w="2707" w:type="dxa"/>
          </w:tcPr>
          <w:p>
            <w:pPr>
              <w:jc w:val="center"/>
              <w:rPr>
                <w:rFonts w:ascii="宋体" w:hAnsi="宋体" w:cs="宋体"/>
                <w:sz w:val="24"/>
                <w:szCs w:val="22"/>
              </w:rPr>
            </w:pPr>
            <w:r>
              <w:rPr>
                <w:rFonts w:hint="eastAsia" w:ascii="宋体" w:hAnsi="宋体" w:cs="宋体"/>
                <w:sz w:val="24"/>
                <w:szCs w:val="22"/>
              </w:rPr>
              <w:t>控制箱1个，100A空开2个</w:t>
            </w:r>
          </w:p>
        </w:tc>
        <w:tc>
          <w:tcPr>
            <w:tcW w:w="900" w:type="dxa"/>
          </w:tcPr>
          <w:p>
            <w:pPr>
              <w:jc w:val="center"/>
              <w:rPr>
                <w:rFonts w:ascii="宋体" w:hAnsi="宋体" w:cs="宋体"/>
                <w:sz w:val="24"/>
                <w:szCs w:val="22"/>
              </w:rPr>
            </w:pPr>
          </w:p>
        </w:tc>
        <w:tc>
          <w:tcPr>
            <w:tcW w:w="3780" w:type="dxa"/>
          </w:tcPr>
          <w:p>
            <w:pPr>
              <w:rPr>
                <w:rFonts w:ascii="宋体" w:hAnsi="宋体" w:cs="宋体"/>
                <w:sz w:val="24"/>
                <w:szCs w:val="22"/>
              </w:rPr>
            </w:pPr>
            <w:r>
              <w:rPr>
                <w:rFonts w:hint="eastAsia" w:ascii="宋体" w:hAnsi="宋体" w:cs="宋体"/>
                <w:sz w:val="24"/>
                <w:szCs w:val="22"/>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04" w:type="dxa"/>
          </w:tcPr>
          <w:p>
            <w:pPr>
              <w:jc w:val="center"/>
              <w:rPr>
                <w:rFonts w:hint="eastAsia" w:ascii="宋体" w:hAnsi="宋体" w:cs="宋体"/>
                <w:sz w:val="24"/>
                <w:szCs w:val="22"/>
              </w:rPr>
            </w:pPr>
            <w:r>
              <w:rPr>
                <w:rFonts w:hint="eastAsia" w:ascii="宋体" w:hAnsi="宋体" w:cs="宋体"/>
                <w:sz w:val="24"/>
                <w:szCs w:val="22"/>
              </w:rPr>
              <w:t>取洞</w:t>
            </w:r>
          </w:p>
        </w:tc>
        <w:tc>
          <w:tcPr>
            <w:tcW w:w="2707" w:type="dxa"/>
          </w:tcPr>
          <w:p>
            <w:pPr>
              <w:jc w:val="center"/>
              <w:rPr>
                <w:rFonts w:hint="eastAsia" w:ascii="宋体" w:hAnsi="宋体" w:cs="宋体"/>
                <w:sz w:val="24"/>
                <w:szCs w:val="22"/>
              </w:rPr>
            </w:pPr>
          </w:p>
        </w:tc>
        <w:tc>
          <w:tcPr>
            <w:tcW w:w="900" w:type="dxa"/>
          </w:tcPr>
          <w:p>
            <w:pPr>
              <w:jc w:val="center"/>
              <w:rPr>
                <w:rFonts w:ascii="宋体" w:hAnsi="宋体" w:cs="宋体"/>
                <w:sz w:val="24"/>
                <w:szCs w:val="22"/>
              </w:rPr>
            </w:pPr>
            <w:r>
              <w:rPr>
                <w:rFonts w:hint="eastAsia" w:ascii="宋体" w:hAnsi="宋体" w:cs="宋体"/>
                <w:sz w:val="24"/>
                <w:szCs w:val="22"/>
              </w:rPr>
              <w:t>9处</w:t>
            </w:r>
          </w:p>
        </w:tc>
        <w:tc>
          <w:tcPr>
            <w:tcW w:w="3780" w:type="dxa"/>
          </w:tcPr>
          <w:p>
            <w:pPr>
              <w:rPr>
                <w:rFonts w:hint="eastAsia" w:ascii="宋体" w:hAnsi="宋体" w:cs="宋体"/>
                <w:sz w:val="24"/>
                <w:szCs w:val="22"/>
              </w:rPr>
            </w:pPr>
          </w:p>
        </w:tc>
      </w:tr>
    </w:tbl>
    <w:p>
      <w:pPr>
        <w:keepNext w:val="0"/>
        <w:keepLines w:val="0"/>
        <w:pageBreakBefore w:val="0"/>
        <w:tabs>
          <w:tab w:val="left" w:pos="709"/>
        </w:tabs>
        <w:kinsoku/>
        <w:wordWrap/>
        <w:overflowPunct/>
        <w:topLinePunct w:val="0"/>
        <w:bidi w:val="0"/>
        <w:adjustRightInd/>
        <w:snapToGrid/>
        <w:spacing w:line="60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5、本项目实施内容：</w:t>
      </w:r>
      <w:bookmarkStart w:id="0" w:name="_GoBack"/>
      <w:bookmarkEnd w:id="0"/>
    </w:p>
    <w:p>
      <w:pPr>
        <w:keepNext w:val="0"/>
        <w:keepLines w:val="0"/>
        <w:pageBreakBefore w:val="0"/>
        <w:tabs>
          <w:tab w:val="left" w:pos="709"/>
        </w:tabs>
        <w:kinsoku/>
        <w:wordWrap/>
        <w:overflowPunct/>
        <w:topLinePunct w:val="0"/>
        <w:bidi w:val="0"/>
        <w:adjustRightInd/>
        <w:snapToGrid/>
        <w:spacing w:line="60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本招标项目实行包工、包料、包工期、包安全、包质量的总承包制，招标文件、技术任务书内容均在招标范围内，但不局限上述工作。投标方需事先对现场进行勘察，对上述工程量进行复核如有异议可及时向招标方确认。</w:t>
      </w:r>
    </w:p>
    <w:p>
      <w:pPr>
        <w:keepNext w:val="0"/>
        <w:keepLines w:val="0"/>
        <w:pageBreakBefore w:val="0"/>
        <w:kinsoku/>
        <w:wordWrap/>
        <w:overflowPunct/>
        <w:topLinePunct w:val="0"/>
        <w:autoSpaceDE w:val="0"/>
        <w:autoSpaceDN w:val="0"/>
        <w:bidi w:val="0"/>
        <w:adjustRightInd/>
        <w:snapToGrid/>
        <w:spacing w:before="156" w:beforeLines="50" w:after="156" w:afterLines="50" w:line="600" w:lineRule="exact"/>
        <w:textAlignment w:val="auto"/>
        <w:rPr>
          <w:rFonts w:hint="eastAsia" w:ascii="宋体" w:hAnsi="宋体"/>
          <w:b/>
          <w:sz w:val="28"/>
          <w:szCs w:val="22"/>
        </w:rPr>
      </w:pPr>
      <w:r>
        <w:rPr>
          <w:rFonts w:hint="eastAsia" w:ascii="宋体" w:hAnsi="宋体"/>
          <w:b/>
          <w:sz w:val="28"/>
          <w:szCs w:val="22"/>
        </w:rPr>
        <w:t>三、技术标准</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sz w:val="28"/>
          <w:szCs w:val="28"/>
        </w:rPr>
      </w:pPr>
      <w:r>
        <w:rPr>
          <w:rFonts w:hint="eastAsia" w:ascii="宋体" w:hAnsi="宋体"/>
          <w:sz w:val="28"/>
          <w:szCs w:val="28"/>
        </w:rPr>
        <w:t>本技术协议提供的材料及施工，应遵循下列标准的最新版本或修改版本，但不局限这些标准。</w:t>
      </w:r>
    </w:p>
    <w:p>
      <w:pPr>
        <w:keepNext w:val="0"/>
        <w:keepLines w:val="0"/>
        <w:pageBreakBefore w:val="0"/>
        <w:widowControl/>
        <w:kinsoku/>
        <w:wordWrap/>
        <w:overflowPunct/>
        <w:topLinePunct w:val="0"/>
        <w:bidi w:val="0"/>
        <w:adjustRightInd/>
        <w:snapToGrid/>
        <w:spacing w:before="150" w:line="600" w:lineRule="exact"/>
        <w:ind w:firstLine="560" w:firstLineChars="200"/>
        <w:jc w:val="left"/>
        <w:textAlignment w:val="auto"/>
        <w:outlineLvl w:val="0"/>
        <w:rPr>
          <w:rFonts w:ascii="Arial" w:hAnsi="Arial" w:cs="Arial"/>
          <w:bCs/>
          <w:color w:val="000000"/>
          <w:kern w:val="44"/>
          <w:sz w:val="28"/>
          <w:szCs w:val="28"/>
        </w:rPr>
      </w:pPr>
      <w:r>
        <w:rPr>
          <w:rFonts w:ascii="宋体" w:hAnsi="宋体" w:cs="宋体"/>
          <w:bCs/>
          <w:kern w:val="44"/>
          <w:sz w:val="28"/>
          <w:szCs w:val="28"/>
        </w:rPr>
        <w:t>GB50168-2006</w:t>
      </w:r>
      <w:r>
        <w:rPr>
          <w:rFonts w:hint="eastAsia" w:ascii="宋体" w:hAnsi="宋体" w:cs="宋体"/>
          <w:bCs/>
          <w:kern w:val="44"/>
          <w:sz w:val="28"/>
          <w:szCs w:val="28"/>
        </w:rPr>
        <w:t xml:space="preserve"> </w:t>
      </w:r>
      <w:r>
        <w:rPr>
          <w:rFonts w:ascii="Arial" w:hAnsi="Arial" w:cs="Arial"/>
          <w:bCs/>
          <w:color w:val="000000"/>
          <w:kern w:val="44"/>
          <w:sz w:val="28"/>
          <w:szCs w:val="28"/>
        </w:rPr>
        <w:t>《电气装置安装工程电缆线路施工及验收规范》</w:t>
      </w:r>
    </w:p>
    <w:p>
      <w:pPr>
        <w:keepNext w:val="0"/>
        <w:keepLines w:val="0"/>
        <w:pageBreakBefore w:val="0"/>
        <w:widowControl/>
        <w:shd w:val="clear" w:color="auto" w:fill="FFFFFF"/>
        <w:kinsoku/>
        <w:wordWrap/>
        <w:overflowPunct/>
        <w:topLinePunct w:val="0"/>
        <w:bidi w:val="0"/>
        <w:adjustRightInd/>
        <w:snapToGrid/>
        <w:spacing w:after="45" w:line="600" w:lineRule="exact"/>
        <w:ind w:firstLine="560" w:firstLineChars="200"/>
        <w:jc w:val="left"/>
        <w:textAlignment w:val="auto"/>
        <w:outlineLvl w:val="2"/>
        <w:rPr>
          <w:rFonts w:hint="eastAsia" w:ascii="宋体" w:hAnsi="宋体" w:cs="宋体"/>
          <w:bCs/>
          <w:kern w:val="0"/>
          <w:sz w:val="28"/>
          <w:szCs w:val="28"/>
          <w:shd w:val="clear" w:color="auto" w:fill="FFFFFF"/>
        </w:rPr>
      </w:pPr>
      <w:r>
        <w:rPr>
          <w:rFonts w:hint="eastAsia" w:ascii="宋体" w:hAnsi="宋体" w:cs="宋体"/>
          <w:bCs/>
          <w:kern w:val="0"/>
          <w:sz w:val="28"/>
          <w:szCs w:val="28"/>
          <w:shd w:val="clear" w:color="auto" w:fill="FFFFFF"/>
        </w:rPr>
        <w:fldChar w:fldCharType="begin"/>
      </w:r>
      <w:r>
        <w:rPr>
          <w:rFonts w:hint="eastAsia" w:ascii="宋体" w:hAnsi="宋体" w:cs="宋体"/>
          <w:bCs/>
          <w:kern w:val="0"/>
          <w:sz w:val="28"/>
          <w:szCs w:val="28"/>
          <w:shd w:val="clear" w:color="auto" w:fill="FFFFFF"/>
        </w:rPr>
        <w:instrText xml:space="preserve"> HYPERLINK "http://www.so.com/link?m=a7DxgnVUsQJnwBr7wUiop9Wi+IuofiHZ3Q8swFKoXzQPmbFV45ps2kQVwoYNRPiuqtIjAiWLCKPbrPMI8GoGyBHsKNRPkllqi6gwSeUzhZR0Wu8RcqZ/U4soQRpF1DDOY+jxa55RMNjwM9wm/PfYK+agdkpfz+FMyVMVHMpv2cuhQ44Aosh1ZAH180Yv5f2/z" \t "https://www.so.com/_blank" </w:instrText>
      </w:r>
      <w:r>
        <w:rPr>
          <w:rFonts w:hint="eastAsia" w:ascii="宋体" w:hAnsi="宋体" w:cs="宋体"/>
          <w:bCs/>
          <w:kern w:val="0"/>
          <w:sz w:val="28"/>
          <w:szCs w:val="28"/>
          <w:shd w:val="clear" w:color="auto" w:fill="FFFFFF"/>
        </w:rPr>
        <w:fldChar w:fldCharType="separate"/>
      </w:r>
      <w:r>
        <w:rPr>
          <w:rFonts w:hint="eastAsia" w:ascii="宋体" w:hAnsi="宋体" w:cs="宋体"/>
          <w:bCs/>
          <w:kern w:val="0"/>
          <w:sz w:val="28"/>
          <w:szCs w:val="28"/>
          <w:shd w:val="clear" w:color="auto" w:fill="FFFFFF"/>
        </w:rPr>
        <w:t>GB_50217-2007电力电缆敷设规范</w:t>
      </w:r>
      <w:r>
        <w:rPr>
          <w:rFonts w:hint="eastAsia" w:ascii="宋体" w:hAnsi="宋体" w:cs="宋体"/>
          <w:bCs/>
          <w:kern w:val="0"/>
          <w:sz w:val="28"/>
          <w:szCs w:val="28"/>
          <w:shd w:val="clear" w:color="auto" w:fill="FFFFFF"/>
        </w:rPr>
        <w:fldChar w:fldCharType="end"/>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cs="宋体"/>
          <w:sz w:val="28"/>
          <w:szCs w:val="28"/>
        </w:rPr>
      </w:pPr>
      <w:r>
        <w:rPr>
          <w:rFonts w:hint="eastAsia" w:ascii="宋体" w:hAnsi="宋体" w:cs="宋体"/>
          <w:sz w:val="28"/>
          <w:szCs w:val="28"/>
          <w:shd w:val="clear" w:color="auto" w:fill="FFFFFF"/>
        </w:rPr>
        <w:t>GB50303-2015 《建筑电气工程施工质量验收规范》</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sz w:val="28"/>
          <w:szCs w:val="28"/>
        </w:rPr>
      </w:pPr>
      <w:r>
        <w:rPr>
          <w:rFonts w:hint="eastAsia" w:ascii="宋体" w:hAnsi="宋体"/>
          <w:sz w:val="28"/>
          <w:szCs w:val="28"/>
        </w:rPr>
        <w:t>IEC439—1    《低压成套开关设备》</w:t>
      </w:r>
    </w:p>
    <w:p>
      <w:pPr>
        <w:keepNext w:val="0"/>
        <w:keepLines w:val="0"/>
        <w:pageBreakBefore w:val="0"/>
        <w:kinsoku/>
        <w:wordWrap/>
        <w:overflowPunct/>
        <w:topLinePunct w:val="0"/>
        <w:bidi w:val="0"/>
        <w:adjustRightInd/>
        <w:snapToGrid/>
        <w:spacing w:line="600" w:lineRule="exact"/>
        <w:textAlignment w:val="auto"/>
        <w:rPr>
          <w:rFonts w:hint="eastAsia" w:ascii="宋体" w:hAnsi="宋体"/>
          <w:bCs/>
          <w:sz w:val="28"/>
          <w:szCs w:val="28"/>
        </w:rPr>
      </w:pPr>
      <w:r>
        <w:rPr>
          <w:rFonts w:hint="eastAsia" w:ascii="宋体" w:hAnsi="宋体"/>
          <w:color w:val="000000"/>
          <w:sz w:val="28"/>
          <w:szCs w:val="28"/>
        </w:rPr>
        <w:t xml:space="preserve">    GB50171-92  《电气装置安装工程盘、柜及二次回路结线施工及验收规范》</w:t>
      </w:r>
      <w:r>
        <w:rPr>
          <w:rFonts w:hint="eastAsia" w:ascii="宋体" w:hAnsi="宋体"/>
          <w:color w:val="000000"/>
          <w:sz w:val="28"/>
          <w:szCs w:val="28"/>
        </w:rPr>
        <w:br w:type="textWrapping"/>
      </w:r>
      <w:r>
        <w:rPr>
          <w:rFonts w:hint="eastAsia" w:ascii="宋体" w:hAnsi="宋体"/>
          <w:b/>
          <w:sz w:val="28"/>
          <w:szCs w:val="28"/>
        </w:rPr>
        <w:t>四、技术要求</w:t>
      </w:r>
    </w:p>
    <w:p>
      <w:pPr>
        <w:keepNext w:val="0"/>
        <w:keepLines w:val="0"/>
        <w:pageBreakBefore w:val="0"/>
        <w:kinsoku/>
        <w:wordWrap/>
        <w:overflowPunct/>
        <w:topLinePunct w:val="0"/>
        <w:autoSpaceDE w:val="0"/>
        <w:autoSpaceDN w:val="0"/>
        <w:bidi w:val="0"/>
        <w:adjustRightInd/>
        <w:snapToGrid/>
        <w:spacing w:before="156" w:beforeLines="50" w:after="156" w:afterLines="50" w:line="600" w:lineRule="exact"/>
        <w:ind w:firstLine="560" w:firstLineChars="200"/>
        <w:textAlignment w:val="auto"/>
        <w:rPr>
          <w:rFonts w:hint="eastAsia" w:ascii="宋体" w:hAnsi="宋体"/>
          <w:bCs/>
          <w:sz w:val="28"/>
          <w:szCs w:val="22"/>
        </w:rPr>
      </w:pPr>
      <w:r>
        <w:rPr>
          <w:rFonts w:hint="eastAsia" w:ascii="宋体" w:hAnsi="宋体"/>
          <w:bCs/>
          <w:sz w:val="28"/>
          <w:szCs w:val="22"/>
        </w:rPr>
        <w:t>1、绝缘电线的型号、规格、电压等级必须符合设计要求，并有产品出厂合格证和安全认证标志</w:t>
      </w:r>
    </w:p>
    <w:p>
      <w:pPr>
        <w:keepNext w:val="0"/>
        <w:keepLines w:val="0"/>
        <w:pageBreakBefore w:val="0"/>
        <w:kinsoku/>
        <w:wordWrap/>
        <w:overflowPunct/>
        <w:topLinePunct w:val="0"/>
        <w:autoSpaceDE w:val="0"/>
        <w:autoSpaceDN w:val="0"/>
        <w:bidi w:val="0"/>
        <w:adjustRightInd/>
        <w:snapToGrid/>
        <w:spacing w:before="156" w:beforeLines="50" w:after="156" w:afterLines="50" w:line="600" w:lineRule="exact"/>
        <w:ind w:firstLine="560" w:firstLineChars="200"/>
        <w:textAlignment w:val="auto"/>
        <w:rPr>
          <w:rFonts w:hint="eastAsia" w:ascii="宋体" w:hAnsi="宋体"/>
          <w:bCs/>
          <w:sz w:val="28"/>
          <w:szCs w:val="22"/>
        </w:rPr>
      </w:pPr>
      <w:r>
        <w:rPr>
          <w:rFonts w:hint="eastAsia" w:ascii="宋体" w:hAnsi="宋体"/>
          <w:bCs/>
          <w:sz w:val="28"/>
          <w:szCs w:val="22"/>
        </w:rPr>
        <w:t>2、电缆的型号、规格、电压等级必须符合设计要求，并有产品出厂合格证。</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3、电线的绝缘层应完整无损，厚度应均匀；电缆无压扁、扭曲、机械损伤等缺陷，铠装不松卷、无锈蚀，橡套及塑料电缆外皮及绝缘层无老化及裂纹。耐热、阻燃的电线、电缆外护层有明显标识和制造厂标。</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4、现场抽样检测绝缘层厚度和圆形线芯的直径，线芯直径误差应不大于标称直径的1％。</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5、现场抽样检测绝缘层厚度和圆形线芯的直径，线芯直径误差应不大于标称直径的1％。</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6、线槽敷线前应清除槽内的杂物、积水。 </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7、电线拉直、捋顺，盘成大圈或放在放线架上，从始端到终端（先干线，后支线）边放边整理，不应出现挤压、背扣、扭结、损伤电线等现象。每个分支应绑扎成束，绑扎时应采用尼龙绑扎带，不允许使用金属电线进行绑扎。</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8、每个分支应绑扎成束，绑扎时应采用尼龙绑扎带，不允许使用金属电线进行绑扎。</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bCs/>
          <w:sz w:val="28"/>
          <w:szCs w:val="22"/>
        </w:rPr>
      </w:pPr>
      <w:r>
        <w:rPr>
          <w:rFonts w:hint="eastAsia" w:ascii="宋体" w:hAnsi="宋体"/>
          <w:bCs/>
          <w:sz w:val="28"/>
          <w:szCs w:val="22"/>
        </w:rPr>
        <w:t>9、线槽内电线的规格和数量应符合设计规定；当设计无规定时，包括绝缘层在内的电线总截面积不应大于线槽截面积的60％。</w:t>
      </w:r>
    </w:p>
    <w:p>
      <w:pPr>
        <w:keepNext w:val="0"/>
        <w:keepLines w:val="0"/>
        <w:pageBreakBefore w:val="0"/>
        <w:kinsoku/>
        <w:wordWrap/>
        <w:overflowPunct/>
        <w:topLinePunct w:val="0"/>
        <w:bidi w:val="0"/>
        <w:adjustRightInd/>
        <w:snapToGrid/>
        <w:spacing w:line="600" w:lineRule="exact"/>
        <w:textAlignment w:val="auto"/>
        <w:rPr>
          <w:rFonts w:ascii="宋体"/>
          <w:b/>
          <w:sz w:val="28"/>
          <w:szCs w:val="28"/>
        </w:rPr>
      </w:pPr>
      <w:r>
        <w:rPr>
          <w:rFonts w:hint="eastAsia" w:ascii="宋体" w:hAnsi="宋体"/>
          <w:b/>
          <w:sz w:val="28"/>
          <w:szCs w:val="28"/>
        </w:rPr>
        <w:t>五、改造要求</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sz w:val="28"/>
          <w:szCs w:val="28"/>
        </w:rPr>
      </w:pPr>
      <w:r>
        <w:rPr>
          <w:rFonts w:ascii="宋体" w:hAnsi="宋体"/>
          <w:sz w:val="28"/>
          <w:szCs w:val="28"/>
        </w:rPr>
        <w:t>1</w:t>
      </w:r>
      <w:r>
        <w:rPr>
          <w:rFonts w:hint="eastAsia" w:ascii="宋体" w:hAnsi="宋体"/>
          <w:sz w:val="28"/>
          <w:szCs w:val="28"/>
        </w:rPr>
        <w:t>、改造后的电表与对应用户应准确无误。</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sz w:val="28"/>
          <w:szCs w:val="28"/>
        </w:rPr>
      </w:pPr>
      <w:r>
        <w:rPr>
          <w:rFonts w:hint="eastAsia" w:ascii="宋体" w:hAnsi="宋体"/>
          <w:sz w:val="28"/>
          <w:szCs w:val="28"/>
        </w:rPr>
        <w:t>2、改造后的线路应符合供电局的验收标准，并配合甲方做好供电局验收工作。</w:t>
      </w:r>
    </w:p>
    <w:p>
      <w:pPr>
        <w:keepNext w:val="0"/>
        <w:keepLines w:val="0"/>
        <w:pageBreakBefore w:val="0"/>
        <w:kinsoku/>
        <w:wordWrap/>
        <w:overflowPunct/>
        <w:topLinePunct w:val="0"/>
        <w:bidi w:val="0"/>
        <w:adjustRightInd/>
        <w:snapToGrid/>
        <w:spacing w:line="600" w:lineRule="exact"/>
        <w:ind w:firstLine="560" w:firstLineChars="200"/>
        <w:textAlignment w:val="auto"/>
        <w:rPr>
          <w:rFonts w:ascii="宋体"/>
          <w:sz w:val="28"/>
          <w:szCs w:val="28"/>
        </w:rPr>
      </w:pPr>
      <w:r>
        <w:rPr>
          <w:rFonts w:hint="eastAsia" w:ascii="宋体" w:hAnsi="宋体"/>
          <w:sz w:val="28"/>
          <w:szCs w:val="28"/>
        </w:rPr>
        <w:t>3、负责改造施工的人员必须有相关电气作业资格证书，在改造工作开始前投标方必须提供作业人员资格证书。</w:t>
      </w:r>
    </w:p>
    <w:p>
      <w:pPr>
        <w:keepNext w:val="0"/>
        <w:keepLines w:val="0"/>
        <w:pageBreakBefore w:val="0"/>
        <w:kinsoku/>
        <w:wordWrap/>
        <w:overflowPunct/>
        <w:topLinePunct w:val="0"/>
        <w:bidi w:val="0"/>
        <w:adjustRightInd/>
        <w:snapToGrid/>
        <w:spacing w:line="600" w:lineRule="exact"/>
        <w:ind w:firstLine="560" w:firstLineChars="200"/>
        <w:textAlignment w:val="auto"/>
        <w:rPr>
          <w:rFonts w:ascii="宋体"/>
          <w:sz w:val="28"/>
          <w:szCs w:val="28"/>
        </w:rPr>
      </w:pPr>
      <w:r>
        <w:rPr>
          <w:rFonts w:hint="eastAsia" w:ascii="宋体" w:hAnsi="宋体"/>
          <w:sz w:val="28"/>
          <w:szCs w:val="28"/>
        </w:rPr>
        <w:t>4、现场施工人员必须服从招标方管理，若不服从管理，即刻终止现场作业，造成一切后果由投标方负责。</w:t>
      </w:r>
    </w:p>
    <w:p>
      <w:pPr>
        <w:keepNext w:val="0"/>
        <w:keepLines w:val="0"/>
        <w:pageBreakBefore w:val="0"/>
        <w:kinsoku/>
        <w:wordWrap/>
        <w:overflowPunct/>
        <w:topLinePunct w:val="0"/>
        <w:bidi w:val="0"/>
        <w:adjustRightInd/>
        <w:snapToGrid/>
        <w:spacing w:line="600" w:lineRule="exact"/>
        <w:textAlignment w:val="auto"/>
        <w:rPr>
          <w:rFonts w:ascii="宋体"/>
          <w:b/>
          <w:sz w:val="28"/>
          <w:szCs w:val="28"/>
        </w:rPr>
      </w:pPr>
      <w:r>
        <w:rPr>
          <w:rFonts w:hint="eastAsia" w:ascii="宋体" w:hAnsi="宋体"/>
          <w:b/>
          <w:sz w:val="28"/>
          <w:szCs w:val="28"/>
        </w:rPr>
        <w:t>六、质量保证</w:t>
      </w:r>
    </w:p>
    <w:p>
      <w:pPr>
        <w:keepNext w:val="0"/>
        <w:keepLines w:val="0"/>
        <w:pageBreakBefore w:val="0"/>
        <w:kinsoku/>
        <w:wordWrap/>
        <w:overflowPunct/>
        <w:topLinePunct w:val="0"/>
        <w:bidi w:val="0"/>
        <w:adjustRightInd/>
        <w:snapToGrid/>
        <w:spacing w:line="600" w:lineRule="exact"/>
        <w:ind w:firstLine="560" w:firstLineChars="200"/>
        <w:textAlignment w:val="auto"/>
        <w:rPr>
          <w:rFonts w:hint="eastAsia" w:ascii="宋体" w:hAnsi="宋体"/>
          <w:sz w:val="28"/>
          <w:szCs w:val="28"/>
        </w:rPr>
      </w:pPr>
      <w:r>
        <w:rPr>
          <w:rFonts w:ascii="宋体" w:hAnsi="宋体"/>
          <w:sz w:val="28"/>
          <w:szCs w:val="28"/>
        </w:rPr>
        <w:t>1</w:t>
      </w:r>
      <w:r>
        <w:rPr>
          <w:rFonts w:hint="eastAsia" w:ascii="宋体" w:hAnsi="宋体"/>
          <w:sz w:val="28"/>
          <w:szCs w:val="28"/>
        </w:rPr>
        <w:t>、设备投入连续运行后由招标方组织验收，验收合格后质保期开始，质保期为12个月；</w:t>
      </w:r>
    </w:p>
    <w:p>
      <w:pPr>
        <w:keepNext w:val="0"/>
        <w:keepLines w:val="0"/>
        <w:pageBreakBefore w:val="0"/>
        <w:kinsoku/>
        <w:wordWrap/>
        <w:overflowPunct/>
        <w:topLinePunct w:val="0"/>
        <w:bidi w:val="0"/>
        <w:adjustRightInd/>
        <w:snapToGrid/>
        <w:spacing w:line="600" w:lineRule="exact"/>
        <w:ind w:firstLine="560" w:firstLineChars="200"/>
        <w:textAlignment w:val="auto"/>
        <w:rPr>
          <w:rFonts w:ascii="宋体" w:hAnsi="宋体"/>
          <w:sz w:val="28"/>
          <w:szCs w:val="28"/>
        </w:rPr>
      </w:pPr>
      <w:r>
        <w:rPr>
          <w:rFonts w:ascii="宋体" w:hAnsi="宋体"/>
          <w:sz w:val="28"/>
          <w:szCs w:val="28"/>
        </w:rPr>
        <w:t>2</w:t>
      </w:r>
      <w:r>
        <w:rPr>
          <w:rFonts w:hint="eastAsia" w:ascii="宋体" w:hAnsi="宋体"/>
          <w:sz w:val="28"/>
          <w:szCs w:val="28"/>
        </w:rPr>
        <w:t>、在质保期内，线路免费保修；</w:t>
      </w:r>
    </w:p>
    <w:p>
      <w:pPr>
        <w:keepNext w:val="0"/>
        <w:keepLines w:val="0"/>
        <w:pageBreakBefore w:val="0"/>
        <w:kinsoku/>
        <w:wordWrap/>
        <w:overflowPunct/>
        <w:topLinePunct w:val="0"/>
        <w:bidi w:val="0"/>
        <w:adjustRightInd/>
        <w:snapToGrid/>
        <w:spacing w:line="600" w:lineRule="exact"/>
        <w:ind w:firstLine="560" w:firstLineChars="200"/>
        <w:textAlignment w:val="auto"/>
        <w:rPr>
          <w:rFonts w:ascii="宋体"/>
          <w:sz w:val="28"/>
          <w:szCs w:val="28"/>
        </w:rPr>
      </w:pPr>
      <w:r>
        <w:rPr>
          <w:rFonts w:hint="eastAsia" w:ascii="宋体" w:hAnsi="宋体"/>
          <w:sz w:val="28"/>
          <w:szCs w:val="28"/>
        </w:rPr>
        <w:t>3、</w:t>
      </w:r>
      <w:r>
        <w:rPr>
          <w:rFonts w:hint="eastAsia" w:ascii="宋体" w:hAnsi="宋体"/>
          <w:kern w:val="0"/>
          <w:sz w:val="28"/>
          <w:szCs w:val="28"/>
        </w:rPr>
        <w:t>设备调试完成投入使用后，投标方必须向招标方移交完整的图纸资料。</w:t>
      </w: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pPr>
        <w:snapToGrid w:val="0"/>
        <w:spacing w:line="300" w:lineRule="auto"/>
        <w:jc w:val="center"/>
        <w:rPr>
          <w:rFonts w:hint="eastAsia" w:hAnsi="宋体" w:cs="宋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62505"/>
    <w:rsid w:val="26A45159"/>
    <w:rsid w:val="3CC6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2019-06-27T12:00:00Z</dcterms:created>
  <dc:creator>yk</dc:creator>
  <cp:lastModifiedBy>yk</cp:lastModifiedBy>
  <dcterms:modified xsi:type="dcterms:W3CDTF">2019-07-09T00:48:48Z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