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黑体"/>
          <w:b/>
          <w:bCs/>
          <w:sz w:val="52"/>
          <w:szCs w:val="52"/>
        </w:rPr>
      </w:pPr>
      <w:r>
        <w:rPr>
          <w:rFonts w:hint="eastAsia" w:ascii="宋体" w:hAnsi="宋体" w:cs="黑体"/>
          <w:b/>
          <w:bCs/>
          <w:sz w:val="52"/>
          <w:szCs w:val="52"/>
        </w:rPr>
        <w:t>福建省福二化有限公司</w:t>
      </w:r>
    </w:p>
    <w:p>
      <w:pPr>
        <w:jc w:val="center"/>
        <w:rPr>
          <w:rFonts w:hint="eastAsia" w:ascii="宋体" w:hAnsi="宋体" w:cs="宋体"/>
          <w:b/>
          <w:bCs/>
          <w:sz w:val="52"/>
          <w:szCs w:val="52"/>
        </w:rPr>
      </w:pPr>
      <w:r>
        <w:rPr>
          <w:rFonts w:hint="eastAsia" w:ascii="宋体" w:hAnsi="宋体" w:cs="宋体"/>
          <w:b/>
          <w:bCs/>
          <w:sz w:val="52"/>
          <w:szCs w:val="52"/>
        </w:rPr>
        <w:t>福州生活区电表后改造</w:t>
      </w:r>
    </w:p>
    <w:p>
      <w:pPr>
        <w:rPr>
          <w:rFonts w:ascii="宋体" w:hAnsi="宋体" w:cs="黑体"/>
          <w:b/>
          <w:bCs/>
          <w:sz w:val="52"/>
          <w:szCs w:val="52"/>
        </w:rPr>
      </w:pPr>
    </w:p>
    <w:p>
      <w:pPr>
        <w:jc w:val="center"/>
        <w:rPr>
          <w:rFonts w:hint="eastAsia" w:ascii="宋体" w:hAnsi="宋体" w:cs="黑体"/>
          <w:b/>
          <w:bCs/>
          <w:sz w:val="52"/>
          <w:szCs w:val="52"/>
        </w:rPr>
      </w:pPr>
      <w:r>
        <w:rPr>
          <w:rFonts w:hint="eastAsia" w:ascii="宋体" w:hAnsi="宋体" w:cs="黑体"/>
          <w:b/>
          <w:bCs/>
          <w:sz w:val="52"/>
          <w:szCs w:val="52"/>
        </w:rPr>
        <w:t>技术规格书</w:t>
      </w: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bookmarkStart w:id="0" w:name="_GoBack"/>
      <w:bookmarkEnd w:id="0"/>
    </w:p>
    <w:p>
      <w:pPr>
        <w:jc w:val="center"/>
        <w:rPr>
          <w:b/>
          <w:sz w:val="36"/>
          <w:szCs w:val="36"/>
        </w:rPr>
      </w:pPr>
      <w:r>
        <w:rPr>
          <w:rFonts w:hint="eastAsia" w:ascii="宋体" w:hAnsi="宋体" w:cs="宋体"/>
          <w:b/>
          <w:sz w:val="36"/>
          <w:szCs w:val="36"/>
        </w:rPr>
        <w:t>2019年4月1日</w:t>
      </w:r>
    </w:p>
    <w:p>
      <w:pPr>
        <w:spacing w:line="360" w:lineRule="auto"/>
        <w:rPr>
          <w:b/>
          <w:sz w:val="28"/>
          <w:szCs w:val="28"/>
        </w:rPr>
      </w:pPr>
      <w:r>
        <w:rPr>
          <w:rFonts w:hint="eastAsia" w:ascii="宋体" w:hAnsi="宋体"/>
          <w:b/>
          <w:sz w:val="28"/>
          <w:szCs w:val="28"/>
        </w:rPr>
        <w:t>一、概况</w:t>
      </w:r>
    </w:p>
    <w:p>
      <w:pPr>
        <w:ind w:firstLine="560" w:firstLineChars="200"/>
        <w:rPr>
          <w:rFonts w:hint="eastAsia" w:ascii="宋体" w:hAnsi="宋体" w:cs="宋体"/>
          <w:sz w:val="28"/>
          <w:szCs w:val="28"/>
        </w:rPr>
      </w:pPr>
      <w:r>
        <w:rPr>
          <w:rFonts w:hint="eastAsia" w:ascii="宋体" w:hAnsi="宋体" w:cs="宋体"/>
          <w:sz w:val="28"/>
          <w:szCs w:val="28"/>
        </w:rPr>
        <w:t>本项目适用于福建省福二化有限公司福州生活区电表后改造，福州生活区新装一台800kVA箱变为联福1#、2#、3#楼及一区25#、26#、27#楼供电，电表前由供电局负责施工，本项目完成电表后的改造。</w:t>
      </w:r>
    </w:p>
    <w:p>
      <w:pPr>
        <w:rPr>
          <w:rFonts w:ascii="宋体" w:hAnsi="Calibri"/>
          <w:b/>
          <w:sz w:val="28"/>
          <w:szCs w:val="28"/>
        </w:rPr>
      </w:pPr>
      <w:r>
        <w:rPr>
          <w:rFonts w:hint="eastAsia" w:ascii="Calibri" w:hAnsi="Calibri"/>
          <w:b/>
          <w:sz w:val="28"/>
          <w:szCs w:val="28"/>
        </w:rPr>
        <w:t>二</w:t>
      </w:r>
      <w:r>
        <w:rPr>
          <w:rFonts w:hint="eastAsia" w:ascii="宋体" w:hAnsi="宋体"/>
          <w:b/>
          <w:sz w:val="28"/>
          <w:szCs w:val="28"/>
        </w:rPr>
        <w:t>、技术方案</w:t>
      </w:r>
    </w:p>
    <w:p>
      <w:pPr>
        <w:ind w:firstLine="560" w:firstLineChars="200"/>
        <w:rPr>
          <w:rFonts w:ascii="宋体" w:hAnsi="宋体" w:cs="宋体"/>
          <w:sz w:val="28"/>
          <w:szCs w:val="28"/>
        </w:rPr>
      </w:pPr>
      <w:r>
        <w:rPr>
          <w:rFonts w:hint="eastAsia" w:ascii="宋体" w:hAnsi="宋体" w:cs="宋体"/>
          <w:sz w:val="28"/>
          <w:szCs w:val="28"/>
        </w:rPr>
        <w:t>1、26#、27#楼供电局新电表箱安装在原电表箱旁，乙方只需将原电表箱各住户出线一一拆下接至新电表箱各住户出线处即可。</w:t>
      </w:r>
    </w:p>
    <w:p>
      <w:pPr>
        <w:ind w:firstLine="560" w:firstLineChars="200"/>
        <w:rPr>
          <w:rFonts w:ascii="宋体" w:hAnsi="宋体" w:cs="宋体"/>
          <w:sz w:val="28"/>
          <w:szCs w:val="28"/>
        </w:rPr>
      </w:pPr>
      <w:r>
        <w:rPr>
          <w:rFonts w:hint="eastAsia" w:ascii="宋体" w:hAnsi="宋体" w:cs="宋体"/>
          <w:sz w:val="28"/>
          <w:szCs w:val="28"/>
        </w:rPr>
        <w:t>2.1、25#楼一楼墙根下供电局安装一个三相电表计量箱，乙方需从此处分别埋地敷设两条ZR-YJV-0.6/1KV-5×10电缆至消防泵水箱及26#楼配电房（预埋管已敷设）。</w:t>
      </w:r>
    </w:p>
    <w:p>
      <w:pPr>
        <w:ind w:firstLine="560" w:firstLineChars="200"/>
        <w:rPr>
          <w:rFonts w:ascii="宋体" w:hAnsi="宋体" w:cs="宋体"/>
          <w:sz w:val="28"/>
          <w:szCs w:val="28"/>
        </w:rPr>
      </w:pPr>
      <w:r>
        <w:rPr>
          <w:rFonts w:hint="eastAsia" w:ascii="宋体" w:hAnsi="宋体" w:cs="宋体"/>
          <w:sz w:val="28"/>
          <w:szCs w:val="28"/>
        </w:rPr>
        <w:t>2.2、25#楼2层、3层、4层楼梯拐角处供电局新装电表箱，乙方需用2×4²mm双排线利用80*50PVC线槽将旧电表箱各住户出线延长至新电表箱各住户出线处。</w:t>
      </w:r>
    </w:p>
    <w:p>
      <w:pPr>
        <w:ind w:firstLine="560" w:firstLineChars="200"/>
        <w:rPr>
          <w:rFonts w:ascii="宋体" w:hAnsi="宋体" w:cs="宋体"/>
          <w:sz w:val="28"/>
          <w:szCs w:val="28"/>
        </w:rPr>
      </w:pPr>
      <w:r>
        <w:rPr>
          <w:rFonts w:hint="eastAsia" w:ascii="宋体" w:hAnsi="宋体" w:cs="宋体"/>
          <w:sz w:val="28"/>
          <w:szCs w:val="28"/>
        </w:rPr>
        <w:t>3.1、联福1#楼1号梯、5号梯在楼梯拐角处供电局新装电表箱，乙方需用2×4²mm双排线利用80*50PVC线槽将旧电表箱各住户出线延长至新电表箱各住户出线处。</w:t>
      </w:r>
    </w:p>
    <w:p>
      <w:pPr>
        <w:ind w:firstLine="560" w:firstLineChars="200"/>
        <w:rPr>
          <w:rFonts w:ascii="宋体" w:hAnsi="宋体" w:cs="宋体"/>
          <w:sz w:val="28"/>
          <w:szCs w:val="28"/>
        </w:rPr>
      </w:pPr>
      <w:r>
        <w:rPr>
          <w:rFonts w:hint="eastAsia" w:ascii="宋体" w:hAnsi="宋体" w:cs="宋体"/>
          <w:sz w:val="28"/>
          <w:szCs w:val="28"/>
        </w:rPr>
        <w:t>3.2、联福1#楼2号梯、3号梯、4号梯供电局将新电表箱安装在原电表箱位，乙方需配合供电局将原电表箱临时移位，待新电表箱安装就位后将原电表箱各住户出线一一拆下接至新电表箱各住户出线处。</w:t>
      </w:r>
    </w:p>
    <w:p>
      <w:pPr>
        <w:ind w:firstLine="560" w:firstLineChars="200"/>
        <w:rPr>
          <w:rFonts w:hint="eastAsia" w:ascii="宋体" w:hAnsi="宋体" w:cs="宋体"/>
          <w:sz w:val="28"/>
          <w:szCs w:val="28"/>
        </w:rPr>
      </w:pPr>
      <w:r>
        <w:rPr>
          <w:rFonts w:hint="eastAsia" w:ascii="宋体" w:hAnsi="宋体" w:cs="宋体"/>
          <w:sz w:val="28"/>
          <w:szCs w:val="28"/>
        </w:rPr>
        <w:t>3.3、联福2#楼、3#楼，每座楼各2个梯位，</w:t>
      </w:r>
      <w:r>
        <w:rPr>
          <w:rFonts w:hint="eastAsia" w:ascii="宋体" w:hAnsi="宋体" w:cs="宋体"/>
          <w:sz w:val="28"/>
          <w:szCs w:val="28"/>
          <w:lang w:eastAsia="zh-CN"/>
        </w:rPr>
        <w:t>因</w:t>
      </w:r>
      <w:r>
        <w:rPr>
          <w:rFonts w:hint="eastAsia" w:ascii="宋体" w:hAnsi="宋体" w:cs="宋体"/>
          <w:sz w:val="28"/>
          <w:szCs w:val="28"/>
        </w:rPr>
        <w:t>供电局将新电表箱安装在原电表箱</w:t>
      </w:r>
      <w:r>
        <w:rPr>
          <w:rFonts w:hint="eastAsia" w:ascii="宋体" w:hAnsi="宋体" w:cs="宋体"/>
          <w:sz w:val="28"/>
          <w:szCs w:val="28"/>
          <w:lang w:eastAsia="zh-CN"/>
        </w:rPr>
        <w:t>外</w:t>
      </w:r>
      <w:r>
        <w:rPr>
          <w:rFonts w:hint="eastAsia" w:ascii="宋体" w:hAnsi="宋体" w:cs="宋体"/>
          <w:sz w:val="28"/>
          <w:szCs w:val="28"/>
          <w:lang w:val="en-US" w:eastAsia="zh-CN"/>
        </w:rPr>
        <w:t>40m处</w:t>
      </w:r>
      <w:r>
        <w:rPr>
          <w:rFonts w:hint="eastAsia" w:ascii="宋体" w:hAnsi="宋体" w:cs="宋体"/>
          <w:sz w:val="28"/>
          <w:szCs w:val="28"/>
        </w:rPr>
        <w:t>，乙方需用2×4²mm双排线利用80*50PVC线槽将旧电表箱各住户出线延长至新电表箱各住户出线处。</w:t>
      </w:r>
    </w:p>
    <w:p>
      <w:pPr>
        <w:ind w:firstLine="560" w:firstLineChars="200"/>
        <w:rPr>
          <w:rFonts w:ascii="宋体" w:hAnsi="宋体" w:cs="宋体"/>
          <w:sz w:val="28"/>
          <w:szCs w:val="28"/>
        </w:rPr>
      </w:pPr>
      <w:r>
        <w:rPr>
          <w:rFonts w:hint="eastAsia" w:ascii="宋体" w:hAnsi="宋体" w:cs="宋体"/>
          <w:sz w:val="28"/>
          <w:szCs w:val="28"/>
        </w:rPr>
        <w:t>4、各梯位路灯电源采用2×2.5²mm双排线敷设。</w:t>
      </w:r>
    </w:p>
    <w:p>
      <w:pPr>
        <w:ind w:firstLine="560" w:firstLineChars="200"/>
        <w:rPr>
          <w:rFonts w:hint="eastAsia" w:ascii="宋体" w:hAnsi="宋体" w:cs="宋体"/>
          <w:sz w:val="28"/>
          <w:szCs w:val="28"/>
        </w:rPr>
      </w:pPr>
      <w:r>
        <w:rPr>
          <w:rFonts w:hint="eastAsia" w:ascii="宋体" w:hAnsi="宋体" w:cs="宋体"/>
          <w:sz w:val="28"/>
          <w:szCs w:val="28"/>
        </w:rPr>
        <w:t>总计需ZR-YJV-0.6/1KV-5×10电缆160米，2×4²mm双排线1110米，2×2.5²mm双排线60米。PVC线槽80*50，70米，电缆及电线推荐品牌：上海南大集团有限公司、福建南平太阳电缆股份有限公司、湖北航天电缆有限公司。</w:t>
      </w:r>
    </w:p>
    <w:p>
      <w:pPr>
        <w:rPr>
          <w:rFonts w:ascii="宋体" w:hAnsi="宋体" w:cs="宋体"/>
          <w:sz w:val="24"/>
        </w:rPr>
      </w:pPr>
      <w:r>
        <w:rPr>
          <w:rFonts w:hint="eastAsia" w:ascii="宋体" w:hAnsi="宋体" w:cs="宋体"/>
          <w:sz w:val="24"/>
        </w:rPr>
        <w:t>主要材料清单如下：</w:t>
      </w:r>
    </w:p>
    <w:tbl>
      <w:tblPr>
        <w:tblStyle w:val="2"/>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707"/>
        <w:gridCol w:w="9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noWrap w:val="0"/>
            <w:vAlign w:val="top"/>
          </w:tcPr>
          <w:p>
            <w:pPr>
              <w:jc w:val="center"/>
              <w:rPr>
                <w:rFonts w:ascii="宋体" w:hAnsi="宋体" w:cs="宋体"/>
                <w:sz w:val="24"/>
                <w:szCs w:val="22"/>
              </w:rPr>
            </w:pPr>
            <w:r>
              <w:rPr>
                <w:rFonts w:hint="eastAsia" w:ascii="宋体" w:hAnsi="宋体" w:cs="宋体"/>
                <w:sz w:val="24"/>
                <w:szCs w:val="22"/>
              </w:rPr>
              <w:t>名称</w:t>
            </w:r>
          </w:p>
        </w:tc>
        <w:tc>
          <w:tcPr>
            <w:tcW w:w="2707" w:type="dxa"/>
            <w:noWrap w:val="0"/>
            <w:vAlign w:val="top"/>
          </w:tcPr>
          <w:p>
            <w:pPr>
              <w:jc w:val="center"/>
              <w:rPr>
                <w:rFonts w:ascii="宋体" w:hAnsi="宋体" w:cs="宋体"/>
                <w:sz w:val="24"/>
                <w:szCs w:val="22"/>
              </w:rPr>
            </w:pPr>
            <w:r>
              <w:rPr>
                <w:rFonts w:hint="eastAsia" w:ascii="宋体" w:hAnsi="宋体" w:cs="宋体"/>
                <w:sz w:val="24"/>
                <w:szCs w:val="22"/>
              </w:rPr>
              <w:t>规格</w:t>
            </w:r>
          </w:p>
        </w:tc>
        <w:tc>
          <w:tcPr>
            <w:tcW w:w="900" w:type="dxa"/>
            <w:noWrap w:val="0"/>
            <w:vAlign w:val="top"/>
          </w:tcPr>
          <w:p>
            <w:pPr>
              <w:jc w:val="center"/>
              <w:rPr>
                <w:rFonts w:ascii="宋体" w:hAnsi="宋体" w:cs="宋体"/>
                <w:sz w:val="24"/>
                <w:szCs w:val="22"/>
              </w:rPr>
            </w:pPr>
            <w:r>
              <w:rPr>
                <w:rFonts w:hint="eastAsia" w:ascii="宋体" w:hAnsi="宋体" w:cs="宋体"/>
                <w:sz w:val="24"/>
                <w:szCs w:val="22"/>
              </w:rPr>
              <w:t>数量</w:t>
            </w:r>
          </w:p>
        </w:tc>
        <w:tc>
          <w:tcPr>
            <w:tcW w:w="3780" w:type="dxa"/>
            <w:noWrap w:val="0"/>
            <w:vAlign w:val="top"/>
          </w:tcPr>
          <w:p>
            <w:pPr>
              <w:jc w:val="center"/>
              <w:rPr>
                <w:rFonts w:ascii="宋体" w:hAnsi="宋体" w:cs="宋体"/>
                <w:sz w:val="24"/>
                <w:szCs w:val="22"/>
              </w:rPr>
            </w:pPr>
            <w:r>
              <w:rPr>
                <w:rFonts w:hint="eastAsia" w:ascii="宋体" w:hAnsi="宋体" w:cs="宋体"/>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noWrap w:val="0"/>
            <w:vAlign w:val="top"/>
          </w:tcPr>
          <w:p>
            <w:pPr>
              <w:jc w:val="center"/>
              <w:rPr>
                <w:rFonts w:ascii="宋体" w:hAnsi="宋体" w:cs="宋体"/>
                <w:sz w:val="24"/>
                <w:szCs w:val="22"/>
              </w:rPr>
            </w:pPr>
            <w:r>
              <w:rPr>
                <w:rFonts w:hint="eastAsia" w:ascii="宋体" w:hAnsi="宋体" w:cs="宋体"/>
                <w:sz w:val="24"/>
                <w:szCs w:val="22"/>
              </w:rPr>
              <w:t>消防泵水箱电源</w:t>
            </w:r>
          </w:p>
        </w:tc>
        <w:tc>
          <w:tcPr>
            <w:tcW w:w="2707" w:type="dxa"/>
            <w:noWrap w:val="0"/>
            <w:vAlign w:val="top"/>
          </w:tcPr>
          <w:p>
            <w:pPr>
              <w:jc w:val="center"/>
              <w:rPr>
                <w:rFonts w:ascii="宋体" w:hAnsi="宋体" w:cs="宋体"/>
                <w:sz w:val="24"/>
                <w:szCs w:val="22"/>
              </w:rPr>
            </w:pPr>
            <w:r>
              <w:rPr>
                <w:rFonts w:hint="eastAsia" w:ascii="宋体" w:hAnsi="宋体" w:cs="宋体"/>
                <w:sz w:val="24"/>
                <w:szCs w:val="22"/>
              </w:rPr>
              <w:t>ZR-YJV-0.6/1KV-5×10电缆</w:t>
            </w:r>
          </w:p>
        </w:tc>
        <w:tc>
          <w:tcPr>
            <w:tcW w:w="900" w:type="dxa"/>
            <w:noWrap w:val="0"/>
            <w:vAlign w:val="top"/>
          </w:tcPr>
          <w:p>
            <w:pPr>
              <w:jc w:val="center"/>
              <w:rPr>
                <w:rFonts w:ascii="宋体" w:hAnsi="宋体" w:cs="宋体"/>
                <w:sz w:val="24"/>
                <w:szCs w:val="22"/>
              </w:rPr>
            </w:pPr>
            <w:r>
              <w:rPr>
                <w:rFonts w:hint="eastAsia" w:ascii="宋体" w:hAnsi="宋体" w:cs="宋体"/>
                <w:sz w:val="24"/>
                <w:szCs w:val="22"/>
              </w:rPr>
              <w:t>85米</w:t>
            </w:r>
          </w:p>
        </w:tc>
        <w:tc>
          <w:tcPr>
            <w:tcW w:w="3780" w:type="dxa"/>
            <w:noWrap w:val="0"/>
            <w:vAlign w:val="top"/>
          </w:tcPr>
          <w:p>
            <w:pPr>
              <w:jc w:val="center"/>
              <w:rPr>
                <w:rFonts w:ascii="宋体" w:hAnsi="宋体" w:cs="宋体"/>
                <w:sz w:val="24"/>
                <w:szCs w:val="22"/>
              </w:rPr>
            </w:pPr>
            <w:r>
              <w:rPr>
                <w:rFonts w:hint="eastAsia" w:ascii="宋体" w:hAnsi="宋体" w:cs="宋体"/>
                <w:sz w:val="24"/>
                <w:szCs w:val="22"/>
              </w:rPr>
              <w:t>25#楼一楼墙根下至消防泵水箱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noWrap w:val="0"/>
            <w:vAlign w:val="top"/>
          </w:tcPr>
          <w:p>
            <w:pPr>
              <w:jc w:val="center"/>
              <w:rPr>
                <w:rFonts w:ascii="宋体" w:hAnsi="宋体" w:cs="宋体"/>
                <w:sz w:val="24"/>
                <w:szCs w:val="22"/>
              </w:rPr>
            </w:pPr>
            <w:r>
              <w:rPr>
                <w:rFonts w:hint="eastAsia" w:ascii="宋体" w:hAnsi="宋体" w:cs="宋体"/>
                <w:sz w:val="24"/>
                <w:szCs w:val="22"/>
              </w:rPr>
              <w:t>26#楼办公室3相电源</w:t>
            </w:r>
          </w:p>
        </w:tc>
        <w:tc>
          <w:tcPr>
            <w:tcW w:w="2707" w:type="dxa"/>
            <w:noWrap w:val="0"/>
            <w:vAlign w:val="top"/>
          </w:tcPr>
          <w:p>
            <w:pPr>
              <w:jc w:val="center"/>
              <w:rPr>
                <w:rFonts w:ascii="宋体" w:hAnsi="宋体" w:cs="宋体"/>
                <w:sz w:val="24"/>
                <w:szCs w:val="22"/>
              </w:rPr>
            </w:pPr>
            <w:r>
              <w:rPr>
                <w:rFonts w:hint="eastAsia" w:ascii="宋体" w:hAnsi="宋体" w:cs="宋体"/>
                <w:sz w:val="24"/>
                <w:szCs w:val="22"/>
              </w:rPr>
              <w:t>ZR-YJV-0.6/1KV-5×10电缆</w:t>
            </w:r>
          </w:p>
        </w:tc>
        <w:tc>
          <w:tcPr>
            <w:tcW w:w="900" w:type="dxa"/>
            <w:noWrap w:val="0"/>
            <w:vAlign w:val="top"/>
          </w:tcPr>
          <w:p>
            <w:pPr>
              <w:jc w:val="center"/>
              <w:rPr>
                <w:rFonts w:ascii="宋体" w:hAnsi="宋体" w:cs="宋体"/>
                <w:sz w:val="24"/>
                <w:szCs w:val="22"/>
              </w:rPr>
            </w:pPr>
            <w:r>
              <w:rPr>
                <w:rFonts w:hint="eastAsia" w:ascii="宋体" w:hAnsi="宋体" w:cs="宋体"/>
                <w:sz w:val="24"/>
                <w:szCs w:val="22"/>
              </w:rPr>
              <w:t>75米</w:t>
            </w:r>
          </w:p>
        </w:tc>
        <w:tc>
          <w:tcPr>
            <w:tcW w:w="3780" w:type="dxa"/>
            <w:noWrap w:val="0"/>
            <w:vAlign w:val="top"/>
          </w:tcPr>
          <w:p>
            <w:pPr>
              <w:jc w:val="center"/>
              <w:rPr>
                <w:rFonts w:ascii="宋体" w:hAnsi="宋体" w:cs="宋体"/>
                <w:sz w:val="24"/>
                <w:szCs w:val="22"/>
              </w:rPr>
            </w:pPr>
            <w:r>
              <w:rPr>
                <w:rFonts w:hint="eastAsia" w:ascii="宋体" w:hAnsi="宋体" w:cs="宋体"/>
                <w:sz w:val="24"/>
                <w:szCs w:val="22"/>
              </w:rPr>
              <w:t>25#楼一楼墙根下至26#楼配电房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noWrap w:val="0"/>
            <w:vAlign w:val="top"/>
          </w:tcPr>
          <w:p>
            <w:pPr>
              <w:jc w:val="center"/>
              <w:rPr>
                <w:rFonts w:ascii="宋体" w:hAnsi="宋体" w:cs="宋体"/>
                <w:sz w:val="24"/>
                <w:szCs w:val="22"/>
              </w:rPr>
            </w:pPr>
            <w:r>
              <w:rPr>
                <w:rFonts w:hint="eastAsia" w:ascii="宋体" w:hAnsi="宋体" w:cs="宋体"/>
                <w:sz w:val="24"/>
                <w:szCs w:val="22"/>
              </w:rPr>
              <w:t>25#楼2层住户入户电源</w:t>
            </w:r>
          </w:p>
        </w:tc>
        <w:tc>
          <w:tcPr>
            <w:tcW w:w="2707" w:type="dxa"/>
            <w:noWrap w:val="0"/>
            <w:vAlign w:val="top"/>
          </w:tcPr>
          <w:p>
            <w:pPr>
              <w:jc w:val="center"/>
              <w:rPr>
                <w:rFonts w:ascii="宋体" w:hAnsi="宋体" w:cs="宋体"/>
                <w:sz w:val="24"/>
                <w:szCs w:val="22"/>
              </w:rPr>
            </w:pPr>
            <w:r>
              <w:rPr>
                <w:rFonts w:hint="eastAsia" w:ascii="宋体" w:hAnsi="宋体" w:cs="宋体"/>
                <w:sz w:val="24"/>
                <w:szCs w:val="22"/>
              </w:rPr>
              <w:t>2×4²mm双排线</w:t>
            </w:r>
          </w:p>
        </w:tc>
        <w:tc>
          <w:tcPr>
            <w:tcW w:w="900" w:type="dxa"/>
            <w:noWrap w:val="0"/>
            <w:vAlign w:val="top"/>
          </w:tcPr>
          <w:p>
            <w:pPr>
              <w:jc w:val="center"/>
              <w:rPr>
                <w:rFonts w:ascii="宋体" w:hAnsi="宋体" w:cs="宋体"/>
                <w:sz w:val="24"/>
                <w:szCs w:val="22"/>
              </w:rPr>
            </w:pPr>
            <w:r>
              <w:rPr>
                <w:rFonts w:hint="eastAsia" w:ascii="宋体" w:hAnsi="宋体" w:cs="宋体"/>
                <w:sz w:val="24"/>
                <w:szCs w:val="22"/>
              </w:rPr>
              <w:t>140米</w:t>
            </w:r>
          </w:p>
        </w:tc>
        <w:tc>
          <w:tcPr>
            <w:tcW w:w="3780" w:type="dxa"/>
            <w:noWrap w:val="0"/>
            <w:vAlign w:val="top"/>
          </w:tcPr>
          <w:p>
            <w:pPr>
              <w:jc w:val="center"/>
              <w:rPr>
                <w:rFonts w:ascii="宋体" w:hAnsi="宋体" w:cs="宋体"/>
                <w:sz w:val="24"/>
                <w:szCs w:val="22"/>
              </w:rPr>
            </w:pPr>
            <w:r>
              <w:rPr>
                <w:rFonts w:hint="eastAsia" w:ascii="宋体" w:hAnsi="宋体" w:cs="宋体"/>
                <w:sz w:val="24"/>
                <w:szCs w:val="22"/>
              </w:rPr>
              <w:t>14戶电源（每户10米）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704" w:type="dxa"/>
            <w:noWrap w:val="0"/>
            <w:vAlign w:val="top"/>
          </w:tcPr>
          <w:p>
            <w:pPr>
              <w:jc w:val="center"/>
              <w:rPr>
                <w:rFonts w:ascii="宋体" w:hAnsi="宋体" w:cs="宋体"/>
                <w:sz w:val="24"/>
                <w:szCs w:val="22"/>
              </w:rPr>
            </w:pPr>
            <w:r>
              <w:rPr>
                <w:rFonts w:hint="eastAsia" w:ascii="宋体" w:hAnsi="宋体" w:cs="宋体"/>
                <w:sz w:val="24"/>
                <w:szCs w:val="22"/>
              </w:rPr>
              <w:t>25#楼3层住户入户电源</w:t>
            </w:r>
          </w:p>
        </w:tc>
        <w:tc>
          <w:tcPr>
            <w:tcW w:w="2707" w:type="dxa"/>
            <w:noWrap w:val="0"/>
            <w:vAlign w:val="top"/>
          </w:tcPr>
          <w:p>
            <w:pPr>
              <w:jc w:val="center"/>
              <w:rPr>
                <w:rFonts w:ascii="宋体" w:hAnsi="宋体" w:cs="宋体"/>
                <w:sz w:val="24"/>
                <w:szCs w:val="22"/>
              </w:rPr>
            </w:pPr>
            <w:r>
              <w:rPr>
                <w:rFonts w:hint="eastAsia" w:ascii="宋体" w:hAnsi="宋体" w:cs="宋体"/>
                <w:sz w:val="24"/>
                <w:szCs w:val="22"/>
              </w:rPr>
              <w:t>2×4²mm双排线</w:t>
            </w:r>
          </w:p>
        </w:tc>
        <w:tc>
          <w:tcPr>
            <w:tcW w:w="900" w:type="dxa"/>
            <w:noWrap w:val="0"/>
            <w:vAlign w:val="top"/>
          </w:tcPr>
          <w:p>
            <w:pPr>
              <w:jc w:val="center"/>
              <w:rPr>
                <w:rFonts w:ascii="宋体" w:hAnsi="宋体" w:cs="宋体"/>
                <w:sz w:val="24"/>
                <w:szCs w:val="22"/>
              </w:rPr>
            </w:pPr>
            <w:r>
              <w:rPr>
                <w:rFonts w:hint="eastAsia" w:ascii="宋体" w:hAnsi="宋体" w:cs="宋体"/>
                <w:sz w:val="24"/>
                <w:szCs w:val="22"/>
              </w:rPr>
              <w:t>280米</w:t>
            </w:r>
          </w:p>
        </w:tc>
        <w:tc>
          <w:tcPr>
            <w:tcW w:w="3780" w:type="dxa"/>
            <w:noWrap w:val="0"/>
            <w:vAlign w:val="top"/>
          </w:tcPr>
          <w:p>
            <w:pPr>
              <w:jc w:val="center"/>
              <w:rPr>
                <w:rFonts w:ascii="宋体" w:hAnsi="宋体" w:cs="宋体"/>
                <w:sz w:val="24"/>
                <w:szCs w:val="22"/>
              </w:rPr>
            </w:pPr>
            <w:r>
              <w:rPr>
                <w:rFonts w:hint="eastAsia" w:ascii="宋体" w:hAnsi="宋体" w:cs="宋体"/>
                <w:sz w:val="24"/>
                <w:szCs w:val="22"/>
              </w:rPr>
              <w:t>14戶电源（每户20米）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noWrap w:val="0"/>
            <w:vAlign w:val="top"/>
          </w:tcPr>
          <w:p>
            <w:pPr>
              <w:jc w:val="center"/>
              <w:rPr>
                <w:rFonts w:ascii="宋体" w:hAnsi="宋体" w:cs="宋体"/>
                <w:sz w:val="24"/>
                <w:szCs w:val="22"/>
              </w:rPr>
            </w:pPr>
            <w:r>
              <w:rPr>
                <w:rFonts w:hint="eastAsia" w:ascii="宋体" w:hAnsi="宋体" w:cs="宋体"/>
                <w:sz w:val="24"/>
                <w:szCs w:val="22"/>
              </w:rPr>
              <w:t>25#楼4层以上住户入户电源</w:t>
            </w:r>
          </w:p>
        </w:tc>
        <w:tc>
          <w:tcPr>
            <w:tcW w:w="2707" w:type="dxa"/>
            <w:noWrap w:val="0"/>
            <w:vAlign w:val="top"/>
          </w:tcPr>
          <w:p>
            <w:pPr>
              <w:jc w:val="center"/>
              <w:rPr>
                <w:rFonts w:ascii="宋体" w:hAnsi="宋体" w:cs="宋体"/>
                <w:sz w:val="24"/>
                <w:szCs w:val="22"/>
              </w:rPr>
            </w:pPr>
            <w:r>
              <w:rPr>
                <w:rFonts w:hint="eastAsia" w:ascii="宋体" w:hAnsi="宋体" w:cs="宋体"/>
                <w:sz w:val="24"/>
                <w:szCs w:val="22"/>
              </w:rPr>
              <w:t>2×4²mm双排线</w:t>
            </w:r>
          </w:p>
        </w:tc>
        <w:tc>
          <w:tcPr>
            <w:tcW w:w="900" w:type="dxa"/>
            <w:noWrap w:val="0"/>
            <w:vAlign w:val="top"/>
          </w:tcPr>
          <w:p>
            <w:pPr>
              <w:jc w:val="center"/>
              <w:rPr>
                <w:rFonts w:ascii="宋体" w:hAnsi="宋体" w:cs="宋体"/>
                <w:sz w:val="24"/>
                <w:szCs w:val="22"/>
              </w:rPr>
            </w:pPr>
            <w:r>
              <w:rPr>
                <w:rFonts w:hint="eastAsia" w:ascii="宋体" w:hAnsi="宋体" w:cs="宋体"/>
                <w:sz w:val="24"/>
                <w:szCs w:val="22"/>
              </w:rPr>
              <w:t>330米</w:t>
            </w:r>
          </w:p>
        </w:tc>
        <w:tc>
          <w:tcPr>
            <w:tcW w:w="3780" w:type="dxa"/>
            <w:noWrap w:val="0"/>
            <w:vAlign w:val="top"/>
          </w:tcPr>
          <w:p>
            <w:pPr>
              <w:jc w:val="center"/>
              <w:rPr>
                <w:rFonts w:ascii="宋体" w:hAnsi="宋体" w:cs="宋体"/>
                <w:sz w:val="24"/>
                <w:szCs w:val="22"/>
              </w:rPr>
            </w:pPr>
            <w:r>
              <w:rPr>
                <w:rFonts w:hint="eastAsia" w:ascii="宋体" w:hAnsi="宋体" w:cs="宋体"/>
                <w:sz w:val="24"/>
                <w:szCs w:val="22"/>
              </w:rPr>
              <w:t>33戶电源（每户10米）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noWrap w:val="0"/>
            <w:vAlign w:val="top"/>
          </w:tcPr>
          <w:p>
            <w:pPr>
              <w:jc w:val="center"/>
              <w:rPr>
                <w:rFonts w:ascii="宋体" w:hAnsi="宋体" w:cs="宋体"/>
                <w:sz w:val="24"/>
                <w:szCs w:val="22"/>
              </w:rPr>
            </w:pPr>
            <w:r>
              <w:rPr>
                <w:rFonts w:hint="eastAsia" w:ascii="宋体" w:hAnsi="宋体" w:cs="宋体"/>
                <w:sz w:val="24"/>
                <w:szCs w:val="22"/>
              </w:rPr>
              <w:t>联福1#楼1梯住户入户电源</w:t>
            </w:r>
          </w:p>
        </w:tc>
        <w:tc>
          <w:tcPr>
            <w:tcW w:w="2707" w:type="dxa"/>
            <w:noWrap w:val="0"/>
            <w:vAlign w:val="top"/>
          </w:tcPr>
          <w:p>
            <w:pPr>
              <w:jc w:val="center"/>
              <w:rPr>
                <w:rFonts w:ascii="宋体" w:hAnsi="宋体" w:cs="宋体"/>
                <w:sz w:val="24"/>
                <w:szCs w:val="22"/>
              </w:rPr>
            </w:pPr>
            <w:r>
              <w:rPr>
                <w:rFonts w:hint="eastAsia" w:ascii="宋体" w:hAnsi="宋体" w:cs="宋体"/>
                <w:sz w:val="24"/>
                <w:szCs w:val="22"/>
              </w:rPr>
              <w:t>2×4²mm双排线</w:t>
            </w:r>
          </w:p>
        </w:tc>
        <w:tc>
          <w:tcPr>
            <w:tcW w:w="900" w:type="dxa"/>
            <w:noWrap w:val="0"/>
            <w:vAlign w:val="top"/>
          </w:tcPr>
          <w:p>
            <w:pPr>
              <w:jc w:val="center"/>
              <w:rPr>
                <w:rFonts w:ascii="宋体" w:hAnsi="宋体" w:cs="宋体"/>
                <w:sz w:val="24"/>
                <w:szCs w:val="22"/>
              </w:rPr>
            </w:pPr>
            <w:r>
              <w:rPr>
                <w:rFonts w:hint="eastAsia" w:ascii="宋体" w:hAnsi="宋体" w:cs="宋体"/>
                <w:sz w:val="24"/>
                <w:szCs w:val="22"/>
              </w:rPr>
              <w:t>180米</w:t>
            </w:r>
          </w:p>
        </w:tc>
        <w:tc>
          <w:tcPr>
            <w:tcW w:w="3780" w:type="dxa"/>
            <w:noWrap w:val="0"/>
            <w:vAlign w:val="top"/>
          </w:tcPr>
          <w:p>
            <w:pPr>
              <w:jc w:val="center"/>
              <w:rPr>
                <w:rFonts w:ascii="宋体" w:hAnsi="宋体" w:cs="宋体"/>
                <w:sz w:val="24"/>
                <w:szCs w:val="22"/>
              </w:rPr>
            </w:pPr>
            <w:r>
              <w:rPr>
                <w:rFonts w:hint="eastAsia" w:ascii="宋体" w:hAnsi="宋体" w:cs="宋体"/>
                <w:sz w:val="24"/>
                <w:szCs w:val="22"/>
              </w:rPr>
              <w:t>18戶电源（每户10米）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noWrap w:val="0"/>
            <w:vAlign w:val="top"/>
          </w:tcPr>
          <w:p>
            <w:pPr>
              <w:jc w:val="center"/>
              <w:rPr>
                <w:rFonts w:ascii="宋体" w:hAnsi="宋体" w:cs="宋体"/>
                <w:sz w:val="24"/>
                <w:szCs w:val="22"/>
              </w:rPr>
            </w:pPr>
            <w:r>
              <w:rPr>
                <w:rFonts w:hint="eastAsia" w:ascii="宋体" w:hAnsi="宋体" w:cs="宋体"/>
                <w:sz w:val="24"/>
                <w:szCs w:val="22"/>
              </w:rPr>
              <w:t>联福1#楼5梯住户入户电源</w:t>
            </w:r>
          </w:p>
        </w:tc>
        <w:tc>
          <w:tcPr>
            <w:tcW w:w="2707" w:type="dxa"/>
            <w:noWrap w:val="0"/>
            <w:vAlign w:val="top"/>
          </w:tcPr>
          <w:p>
            <w:pPr>
              <w:jc w:val="center"/>
              <w:rPr>
                <w:rFonts w:ascii="宋体" w:hAnsi="宋体" w:cs="宋体"/>
                <w:sz w:val="24"/>
                <w:szCs w:val="22"/>
              </w:rPr>
            </w:pPr>
            <w:r>
              <w:rPr>
                <w:rFonts w:hint="eastAsia" w:ascii="宋体" w:hAnsi="宋体" w:cs="宋体"/>
                <w:sz w:val="24"/>
                <w:szCs w:val="22"/>
              </w:rPr>
              <w:t>2×4²mm双排线</w:t>
            </w:r>
          </w:p>
        </w:tc>
        <w:tc>
          <w:tcPr>
            <w:tcW w:w="900" w:type="dxa"/>
            <w:noWrap w:val="0"/>
            <w:vAlign w:val="top"/>
          </w:tcPr>
          <w:p>
            <w:pPr>
              <w:jc w:val="center"/>
              <w:rPr>
                <w:rFonts w:ascii="宋体" w:hAnsi="宋体" w:cs="宋体"/>
                <w:sz w:val="24"/>
                <w:szCs w:val="22"/>
              </w:rPr>
            </w:pPr>
            <w:r>
              <w:rPr>
                <w:rFonts w:hint="eastAsia" w:ascii="宋体" w:hAnsi="宋体" w:cs="宋体"/>
                <w:sz w:val="24"/>
                <w:szCs w:val="22"/>
              </w:rPr>
              <w:t>180米</w:t>
            </w:r>
          </w:p>
        </w:tc>
        <w:tc>
          <w:tcPr>
            <w:tcW w:w="3780" w:type="dxa"/>
            <w:noWrap w:val="0"/>
            <w:vAlign w:val="top"/>
          </w:tcPr>
          <w:p>
            <w:pPr>
              <w:jc w:val="center"/>
              <w:rPr>
                <w:rFonts w:ascii="宋体" w:hAnsi="宋体" w:cs="宋体"/>
                <w:sz w:val="24"/>
                <w:szCs w:val="22"/>
              </w:rPr>
            </w:pPr>
            <w:r>
              <w:rPr>
                <w:rFonts w:hint="eastAsia" w:ascii="宋体" w:hAnsi="宋体" w:cs="宋体"/>
                <w:sz w:val="24"/>
                <w:szCs w:val="22"/>
              </w:rPr>
              <w:t>18戶电源（每户10米）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noWrap w:val="0"/>
            <w:vAlign w:val="top"/>
          </w:tcPr>
          <w:p>
            <w:pPr>
              <w:jc w:val="center"/>
              <w:rPr>
                <w:rFonts w:hint="eastAsia" w:ascii="宋体" w:hAnsi="宋体" w:cs="宋体"/>
                <w:sz w:val="24"/>
                <w:szCs w:val="22"/>
              </w:rPr>
            </w:pPr>
            <w:r>
              <w:rPr>
                <w:rFonts w:hint="eastAsia" w:ascii="宋体" w:hAnsi="宋体" w:cs="宋体"/>
                <w:sz w:val="24"/>
                <w:szCs w:val="22"/>
              </w:rPr>
              <w:t>联福</w:t>
            </w:r>
            <w:r>
              <w:rPr>
                <w:rFonts w:hint="eastAsia" w:ascii="宋体" w:hAnsi="宋体" w:cs="宋体"/>
                <w:sz w:val="24"/>
                <w:szCs w:val="22"/>
                <w:lang w:val="en-US" w:eastAsia="zh-CN"/>
              </w:rPr>
              <w:t>2</w:t>
            </w:r>
            <w:r>
              <w:rPr>
                <w:rFonts w:hint="eastAsia" w:ascii="宋体" w:hAnsi="宋体" w:cs="宋体"/>
                <w:sz w:val="24"/>
                <w:szCs w:val="22"/>
              </w:rPr>
              <w:t>#楼</w:t>
            </w:r>
            <w:r>
              <w:rPr>
                <w:rFonts w:hint="eastAsia" w:ascii="宋体" w:hAnsi="宋体" w:cs="宋体"/>
                <w:sz w:val="24"/>
                <w:szCs w:val="22"/>
                <w:lang w:eastAsia="zh-CN"/>
              </w:rPr>
              <w:t>、</w:t>
            </w:r>
            <w:r>
              <w:rPr>
                <w:rFonts w:hint="eastAsia" w:ascii="宋体" w:hAnsi="宋体" w:cs="宋体"/>
                <w:sz w:val="24"/>
                <w:szCs w:val="22"/>
                <w:lang w:val="en-US" w:eastAsia="zh-CN"/>
              </w:rPr>
              <w:t>3#楼</w:t>
            </w:r>
            <w:r>
              <w:rPr>
                <w:rFonts w:hint="eastAsia" w:ascii="宋体" w:hAnsi="宋体" w:cs="宋体"/>
                <w:sz w:val="24"/>
                <w:szCs w:val="22"/>
              </w:rPr>
              <w:t>住户入户电源</w:t>
            </w:r>
          </w:p>
        </w:tc>
        <w:tc>
          <w:tcPr>
            <w:tcW w:w="2707" w:type="dxa"/>
            <w:noWrap w:val="0"/>
            <w:vAlign w:val="top"/>
          </w:tcPr>
          <w:p>
            <w:pPr>
              <w:jc w:val="center"/>
              <w:rPr>
                <w:rFonts w:hint="eastAsia" w:ascii="宋体" w:hAnsi="宋体" w:cs="宋体"/>
                <w:sz w:val="24"/>
                <w:szCs w:val="22"/>
              </w:rPr>
            </w:pPr>
            <w:r>
              <w:rPr>
                <w:rFonts w:hint="eastAsia" w:ascii="宋体" w:hAnsi="宋体" w:cs="宋体"/>
                <w:sz w:val="24"/>
                <w:szCs w:val="22"/>
              </w:rPr>
              <w:t>2×4²mm双排线</w:t>
            </w:r>
          </w:p>
        </w:tc>
        <w:tc>
          <w:tcPr>
            <w:tcW w:w="900" w:type="dxa"/>
            <w:noWrap w:val="0"/>
            <w:vAlign w:val="top"/>
          </w:tcPr>
          <w:p>
            <w:pPr>
              <w:jc w:val="center"/>
              <w:rPr>
                <w:rFonts w:hint="default" w:ascii="宋体" w:hAnsi="宋体" w:eastAsia="宋体" w:cs="宋体"/>
                <w:sz w:val="24"/>
                <w:szCs w:val="22"/>
                <w:lang w:val="en-US" w:eastAsia="zh-CN"/>
              </w:rPr>
            </w:pPr>
            <w:r>
              <w:rPr>
                <w:rFonts w:hint="eastAsia" w:ascii="宋体" w:hAnsi="宋体" w:cs="宋体"/>
                <w:sz w:val="24"/>
                <w:szCs w:val="22"/>
                <w:lang w:val="en-US" w:eastAsia="zh-CN"/>
              </w:rPr>
              <w:t>720米</w:t>
            </w:r>
          </w:p>
        </w:tc>
        <w:tc>
          <w:tcPr>
            <w:tcW w:w="3780" w:type="dxa"/>
            <w:noWrap w:val="0"/>
            <w:vAlign w:val="top"/>
          </w:tcPr>
          <w:p>
            <w:pPr>
              <w:jc w:val="center"/>
              <w:rPr>
                <w:rFonts w:hint="eastAsia" w:ascii="宋体" w:hAnsi="宋体" w:cs="宋体"/>
                <w:sz w:val="24"/>
                <w:szCs w:val="22"/>
              </w:rPr>
            </w:pPr>
            <w:r>
              <w:rPr>
                <w:rFonts w:hint="eastAsia" w:ascii="宋体" w:hAnsi="宋体" w:cs="宋体"/>
                <w:sz w:val="24"/>
                <w:szCs w:val="22"/>
              </w:rPr>
              <w:t>18戶电源（每户</w:t>
            </w:r>
            <w:r>
              <w:rPr>
                <w:rFonts w:hint="eastAsia" w:ascii="宋体" w:hAnsi="宋体" w:cs="宋体"/>
                <w:sz w:val="24"/>
                <w:szCs w:val="22"/>
                <w:lang w:val="en-US" w:eastAsia="zh-CN"/>
              </w:rPr>
              <w:t>1</w:t>
            </w:r>
            <w:r>
              <w:rPr>
                <w:rFonts w:hint="eastAsia" w:ascii="宋体" w:hAnsi="宋体" w:cs="宋体"/>
                <w:sz w:val="24"/>
                <w:szCs w:val="22"/>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noWrap w:val="0"/>
            <w:vAlign w:val="top"/>
          </w:tcPr>
          <w:p>
            <w:pPr>
              <w:jc w:val="center"/>
              <w:rPr>
                <w:rFonts w:ascii="宋体" w:hAnsi="宋体" w:cs="宋体"/>
                <w:sz w:val="24"/>
                <w:szCs w:val="22"/>
              </w:rPr>
            </w:pPr>
            <w:r>
              <w:rPr>
                <w:rFonts w:hint="eastAsia" w:ascii="宋体" w:hAnsi="宋体" w:cs="宋体"/>
                <w:sz w:val="24"/>
                <w:szCs w:val="22"/>
              </w:rPr>
              <w:t>PVC线槽</w:t>
            </w:r>
          </w:p>
        </w:tc>
        <w:tc>
          <w:tcPr>
            <w:tcW w:w="2707" w:type="dxa"/>
            <w:noWrap w:val="0"/>
            <w:vAlign w:val="top"/>
          </w:tcPr>
          <w:p>
            <w:pPr>
              <w:jc w:val="center"/>
              <w:rPr>
                <w:rFonts w:ascii="宋体" w:hAnsi="宋体" w:cs="宋体"/>
                <w:sz w:val="24"/>
                <w:szCs w:val="22"/>
              </w:rPr>
            </w:pPr>
            <w:r>
              <w:rPr>
                <w:rFonts w:hint="eastAsia" w:ascii="宋体" w:hAnsi="宋体" w:cs="宋体"/>
                <w:sz w:val="24"/>
                <w:szCs w:val="22"/>
              </w:rPr>
              <w:t>80*50</w:t>
            </w:r>
          </w:p>
        </w:tc>
        <w:tc>
          <w:tcPr>
            <w:tcW w:w="900" w:type="dxa"/>
            <w:noWrap w:val="0"/>
            <w:vAlign w:val="top"/>
          </w:tcPr>
          <w:p>
            <w:pPr>
              <w:jc w:val="center"/>
              <w:rPr>
                <w:rFonts w:ascii="宋体" w:hAnsi="宋体" w:cs="宋体"/>
                <w:sz w:val="24"/>
                <w:szCs w:val="22"/>
              </w:rPr>
            </w:pPr>
            <w:r>
              <w:rPr>
                <w:rFonts w:hint="eastAsia" w:ascii="宋体" w:hAnsi="宋体" w:cs="宋体"/>
                <w:sz w:val="24"/>
                <w:szCs w:val="22"/>
                <w:lang w:val="en-US" w:eastAsia="zh-CN"/>
              </w:rPr>
              <w:t>11</w:t>
            </w:r>
            <w:r>
              <w:rPr>
                <w:rFonts w:hint="eastAsia" w:ascii="宋体" w:hAnsi="宋体" w:cs="宋体"/>
                <w:sz w:val="24"/>
                <w:szCs w:val="22"/>
              </w:rPr>
              <w:t>0米</w:t>
            </w:r>
          </w:p>
        </w:tc>
        <w:tc>
          <w:tcPr>
            <w:tcW w:w="3780" w:type="dxa"/>
            <w:noWrap w:val="0"/>
            <w:vAlign w:val="top"/>
          </w:tcPr>
          <w:p>
            <w:pPr>
              <w:jc w:val="center"/>
              <w:rPr>
                <w:rFonts w:ascii="宋体" w:hAnsi="宋体" w:cs="宋体"/>
                <w:sz w:val="24"/>
                <w:szCs w:val="22"/>
              </w:rPr>
            </w:pPr>
            <w:r>
              <w:rPr>
                <w:rFonts w:hint="eastAsia" w:ascii="宋体" w:hAnsi="宋体" w:cs="宋体"/>
                <w:sz w:val="24"/>
                <w:szCs w:val="22"/>
              </w:rPr>
              <w:t>25#楼4楼以上住户入户电源走两根线槽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noWrap w:val="0"/>
            <w:vAlign w:val="top"/>
          </w:tcPr>
          <w:p>
            <w:pPr>
              <w:jc w:val="center"/>
              <w:rPr>
                <w:rFonts w:hint="eastAsia" w:ascii="宋体" w:hAnsi="宋体" w:cs="宋体"/>
                <w:sz w:val="24"/>
                <w:szCs w:val="22"/>
              </w:rPr>
            </w:pPr>
            <w:r>
              <w:rPr>
                <w:rFonts w:hint="eastAsia" w:ascii="宋体" w:hAnsi="宋体" w:cs="宋体"/>
                <w:sz w:val="24"/>
                <w:szCs w:val="22"/>
              </w:rPr>
              <w:t>路灯电源</w:t>
            </w:r>
          </w:p>
        </w:tc>
        <w:tc>
          <w:tcPr>
            <w:tcW w:w="2707" w:type="dxa"/>
            <w:noWrap w:val="0"/>
            <w:vAlign w:val="top"/>
          </w:tcPr>
          <w:p>
            <w:pPr>
              <w:jc w:val="center"/>
              <w:rPr>
                <w:rFonts w:hint="eastAsia" w:ascii="宋体" w:hAnsi="宋体" w:cs="宋体"/>
                <w:sz w:val="24"/>
                <w:szCs w:val="22"/>
              </w:rPr>
            </w:pPr>
            <w:r>
              <w:rPr>
                <w:rFonts w:hint="eastAsia" w:ascii="宋体" w:hAnsi="宋体" w:cs="宋体"/>
                <w:sz w:val="24"/>
                <w:szCs w:val="22"/>
              </w:rPr>
              <w:t>2×2.5²mm双排线</w:t>
            </w:r>
          </w:p>
        </w:tc>
        <w:tc>
          <w:tcPr>
            <w:tcW w:w="900" w:type="dxa"/>
            <w:noWrap w:val="0"/>
            <w:vAlign w:val="top"/>
          </w:tcPr>
          <w:p>
            <w:pPr>
              <w:jc w:val="center"/>
              <w:rPr>
                <w:rFonts w:ascii="宋体" w:hAnsi="宋体" w:cs="宋体"/>
                <w:sz w:val="24"/>
                <w:szCs w:val="22"/>
              </w:rPr>
            </w:pPr>
            <w:r>
              <w:rPr>
                <w:rFonts w:hint="eastAsia" w:ascii="宋体" w:hAnsi="宋体" w:cs="宋体"/>
                <w:sz w:val="24"/>
                <w:szCs w:val="22"/>
                <w:lang w:val="en-US" w:eastAsia="zh-CN"/>
              </w:rPr>
              <w:t>10</w:t>
            </w:r>
            <w:r>
              <w:rPr>
                <w:rFonts w:hint="eastAsia" w:ascii="宋体" w:hAnsi="宋体" w:cs="宋体"/>
                <w:sz w:val="24"/>
                <w:szCs w:val="22"/>
              </w:rPr>
              <w:t>0米</w:t>
            </w:r>
          </w:p>
        </w:tc>
        <w:tc>
          <w:tcPr>
            <w:tcW w:w="3780" w:type="dxa"/>
            <w:noWrap w:val="0"/>
            <w:vAlign w:val="top"/>
          </w:tcPr>
          <w:p>
            <w:pPr>
              <w:ind w:firstLine="480" w:firstLineChars="20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noWrap w:val="0"/>
            <w:vAlign w:val="top"/>
          </w:tcPr>
          <w:p>
            <w:pPr>
              <w:jc w:val="center"/>
              <w:rPr>
                <w:rFonts w:hint="eastAsia" w:ascii="宋体" w:hAnsi="宋体" w:eastAsia="宋体" w:cs="宋体"/>
                <w:sz w:val="24"/>
                <w:szCs w:val="22"/>
                <w:lang w:eastAsia="zh-CN"/>
              </w:rPr>
            </w:pPr>
            <w:r>
              <w:rPr>
                <w:rFonts w:hint="eastAsia" w:ascii="宋体" w:hAnsi="宋体" w:cs="宋体"/>
                <w:sz w:val="24"/>
                <w:szCs w:val="22"/>
                <w:lang w:eastAsia="zh-CN"/>
              </w:rPr>
              <w:t>电表雨遮</w:t>
            </w:r>
          </w:p>
        </w:tc>
        <w:tc>
          <w:tcPr>
            <w:tcW w:w="2707" w:type="dxa"/>
            <w:noWrap w:val="0"/>
            <w:vAlign w:val="top"/>
          </w:tcPr>
          <w:p>
            <w:pPr>
              <w:jc w:val="center"/>
              <w:rPr>
                <w:rFonts w:hint="default" w:ascii="宋体" w:hAnsi="宋体" w:eastAsia="宋体" w:cs="宋体"/>
                <w:sz w:val="24"/>
                <w:szCs w:val="22"/>
                <w:lang w:val="en-US" w:eastAsia="zh-CN"/>
              </w:rPr>
            </w:pPr>
            <w:r>
              <w:rPr>
                <w:rFonts w:hint="eastAsia" w:ascii="宋体" w:hAnsi="宋体" w:cs="宋体"/>
                <w:sz w:val="24"/>
                <w:szCs w:val="22"/>
                <w:lang w:val="en-US" w:eastAsia="zh-CN"/>
              </w:rPr>
              <w:t>0.5m宽，按实施工</w:t>
            </w:r>
          </w:p>
        </w:tc>
        <w:tc>
          <w:tcPr>
            <w:tcW w:w="900" w:type="dxa"/>
            <w:noWrap w:val="0"/>
            <w:vAlign w:val="top"/>
          </w:tcPr>
          <w:p>
            <w:pPr>
              <w:jc w:val="center"/>
              <w:rPr>
                <w:rFonts w:hint="eastAsia" w:ascii="宋体" w:hAnsi="宋体" w:eastAsia="宋体" w:cs="宋体"/>
                <w:sz w:val="24"/>
                <w:szCs w:val="22"/>
                <w:lang w:val="en-US" w:eastAsia="zh-CN"/>
              </w:rPr>
            </w:pPr>
            <w:r>
              <w:rPr>
                <w:rFonts w:hint="eastAsia" w:ascii="宋体" w:hAnsi="宋体" w:cs="宋体"/>
                <w:sz w:val="24"/>
                <w:szCs w:val="22"/>
                <w:lang w:val="en-US" w:eastAsia="zh-CN"/>
              </w:rPr>
              <w:t>5处</w:t>
            </w:r>
          </w:p>
        </w:tc>
        <w:tc>
          <w:tcPr>
            <w:tcW w:w="3780" w:type="dxa"/>
            <w:noWrap w:val="0"/>
            <w:vAlign w:val="top"/>
          </w:tcPr>
          <w:p>
            <w:pPr>
              <w:ind w:firstLine="0" w:firstLineChars="0"/>
              <w:rPr>
                <w:rFonts w:hint="default" w:ascii="宋体" w:hAnsi="宋体" w:eastAsia="宋体" w:cs="宋体"/>
                <w:sz w:val="24"/>
                <w:szCs w:val="22"/>
                <w:lang w:val="en-US" w:eastAsia="zh-CN"/>
              </w:rPr>
            </w:pPr>
            <w:r>
              <w:rPr>
                <w:rFonts w:hint="eastAsia" w:ascii="宋体" w:hAnsi="宋体" w:cs="宋体"/>
                <w:sz w:val="24"/>
                <w:szCs w:val="22"/>
                <w:lang w:val="en-US" w:eastAsia="zh-CN"/>
              </w:rPr>
              <w:t>壁厚2mm厚度的304不锈钢方管制作骨架，覆面为阳光板5mm。</w:t>
            </w:r>
          </w:p>
        </w:tc>
      </w:tr>
    </w:tbl>
    <w:p>
      <w:pPr>
        <w:tabs>
          <w:tab w:val="left" w:pos="709"/>
        </w:tabs>
        <w:spacing w:line="360" w:lineRule="auto"/>
        <w:ind w:firstLine="560" w:firstLineChars="200"/>
        <w:jc w:val="left"/>
        <w:rPr>
          <w:rFonts w:hint="eastAsia" w:ascii="宋体" w:hAnsi="宋体" w:cs="宋体"/>
          <w:sz w:val="28"/>
          <w:szCs w:val="28"/>
        </w:rPr>
      </w:pPr>
      <w:r>
        <w:rPr>
          <w:rFonts w:hint="eastAsia" w:ascii="宋体" w:hAnsi="宋体" w:cs="宋体"/>
          <w:sz w:val="28"/>
          <w:szCs w:val="28"/>
        </w:rPr>
        <w:t>5、本项目实施内容：</w:t>
      </w:r>
    </w:p>
    <w:p>
      <w:pPr>
        <w:tabs>
          <w:tab w:val="left" w:pos="709"/>
        </w:tabs>
        <w:spacing w:line="360" w:lineRule="auto"/>
        <w:ind w:firstLine="560" w:firstLineChars="200"/>
        <w:jc w:val="left"/>
        <w:rPr>
          <w:rFonts w:hint="eastAsia" w:ascii="宋体" w:hAnsi="宋体" w:cs="宋体"/>
          <w:sz w:val="28"/>
          <w:szCs w:val="28"/>
        </w:rPr>
      </w:pPr>
      <w:r>
        <w:rPr>
          <w:rFonts w:hint="eastAsia" w:ascii="宋体" w:hAnsi="宋体" w:cs="宋体"/>
          <w:sz w:val="28"/>
          <w:szCs w:val="28"/>
        </w:rPr>
        <w:t>本招标项目实行包工、包料、包工期、包安全、包质量的总承包制，招标文件、技术任务书内容均在招标范围内，但不局限上述工作。投标方需事先对现场进行勘察，对上述工程量进行复核如有异议可及时向招标方确认。</w:t>
      </w:r>
    </w:p>
    <w:p>
      <w:pPr>
        <w:autoSpaceDE w:val="0"/>
        <w:autoSpaceDN w:val="0"/>
        <w:spacing w:before="156" w:beforeLines="50" w:after="156" w:afterLines="50" w:line="360" w:lineRule="auto"/>
        <w:rPr>
          <w:rFonts w:hint="eastAsia" w:ascii="宋体" w:hAnsi="宋体"/>
          <w:b/>
          <w:sz w:val="28"/>
          <w:szCs w:val="22"/>
        </w:rPr>
      </w:pPr>
      <w:r>
        <w:rPr>
          <w:rFonts w:hint="eastAsia" w:ascii="宋体" w:hAnsi="宋体"/>
          <w:b/>
          <w:sz w:val="28"/>
          <w:szCs w:val="22"/>
        </w:rPr>
        <w:t>三、技术标准</w:t>
      </w:r>
    </w:p>
    <w:p>
      <w:pPr>
        <w:spacing w:line="360" w:lineRule="auto"/>
        <w:ind w:firstLine="560" w:firstLineChars="200"/>
        <w:rPr>
          <w:rFonts w:hint="eastAsia" w:ascii="宋体" w:hAnsi="宋体"/>
          <w:sz w:val="28"/>
          <w:szCs w:val="28"/>
        </w:rPr>
      </w:pPr>
      <w:r>
        <w:rPr>
          <w:rFonts w:hint="eastAsia" w:ascii="宋体" w:hAnsi="宋体"/>
          <w:sz w:val="28"/>
          <w:szCs w:val="28"/>
        </w:rPr>
        <w:t>本技术协议提供的材料及施工，应遵循下列标准的最新版本或修改版本，但不局限这些标准。</w:t>
      </w:r>
    </w:p>
    <w:p>
      <w:pPr>
        <w:widowControl/>
        <w:spacing w:before="150" w:line="330" w:lineRule="atLeast"/>
        <w:ind w:firstLine="560" w:firstLineChars="200"/>
        <w:jc w:val="left"/>
        <w:outlineLvl w:val="0"/>
        <w:rPr>
          <w:rFonts w:ascii="Arial" w:hAnsi="Arial" w:cs="Arial"/>
          <w:bCs/>
          <w:color w:val="000000"/>
          <w:kern w:val="44"/>
          <w:sz w:val="28"/>
          <w:szCs w:val="28"/>
        </w:rPr>
      </w:pPr>
      <w:r>
        <w:rPr>
          <w:rFonts w:ascii="宋体" w:hAnsi="宋体" w:cs="宋体"/>
          <w:bCs/>
          <w:kern w:val="44"/>
          <w:sz w:val="28"/>
          <w:szCs w:val="28"/>
        </w:rPr>
        <w:t>GB50168-2006</w:t>
      </w:r>
      <w:r>
        <w:rPr>
          <w:rFonts w:hint="eastAsia" w:ascii="宋体" w:hAnsi="宋体" w:cs="宋体"/>
          <w:bCs/>
          <w:kern w:val="44"/>
          <w:sz w:val="28"/>
          <w:szCs w:val="28"/>
        </w:rPr>
        <w:t xml:space="preserve"> </w:t>
      </w:r>
      <w:r>
        <w:rPr>
          <w:rFonts w:ascii="Arial" w:hAnsi="Arial" w:cs="Arial"/>
          <w:bCs/>
          <w:color w:val="000000"/>
          <w:kern w:val="44"/>
          <w:sz w:val="28"/>
          <w:szCs w:val="28"/>
        </w:rPr>
        <w:t>《电气装置安装工程电缆线路施工及验收规范》</w:t>
      </w:r>
    </w:p>
    <w:p>
      <w:pPr>
        <w:widowControl/>
        <w:shd w:val="clear" w:color="auto" w:fill="FFFFFF"/>
        <w:spacing w:after="45"/>
        <w:ind w:firstLine="560" w:firstLineChars="200"/>
        <w:jc w:val="left"/>
        <w:outlineLvl w:val="2"/>
        <w:rPr>
          <w:rFonts w:hint="eastAsia" w:ascii="宋体" w:hAnsi="宋体" w:cs="宋体"/>
          <w:bCs/>
          <w:kern w:val="0"/>
          <w:sz w:val="28"/>
          <w:szCs w:val="28"/>
          <w:shd w:val="clear" w:color="auto" w:fill="FFFFFF"/>
        </w:rPr>
      </w:pPr>
      <w:r>
        <w:rPr>
          <w:rFonts w:hint="eastAsia" w:ascii="宋体" w:hAnsi="宋体" w:cs="宋体"/>
          <w:bCs/>
          <w:kern w:val="0"/>
          <w:sz w:val="28"/>
          <w:szCs w:val="28"/>
          <w:shd w:val="clear" w:color="auto" w:fill="FFFFFF"/>
        </w:rPr>
        <w:fldChar w:fldCharType="begin"/>
      </w:r>
      <w:r>
        <w:rPr>
          <w:rFonts w:hint="eastAsia" w:ascii="宋体" w:hAnsi="宋体" w:cs="宋体"/>
          <w:bCs/>
          <w:kern w:val="0"/>
          <w:sz w:val="28"/>
          <w:szCs w:val="28"/>
          <w:shd w:val="clear" w:color="auto" w:fill="FFFFFF"/>
        </w:rPr>
        <w:instrText xml:space="preserve"> HYPERLINK "http://www.so.com/link?m=a7DxgnVUsQJnwBr7wUiop9Wi+IuofiHZ3Q8swFKoXzQPmbFV45ps2kQVwoYNRPiuqtIjAiWLCKPbrPMI8GoGyBHsKNRPkllqi6gwSeUzhZR0Wu8RcqZ/U4soQRpF1DDOY+jxa55RMNjwM9wm/PfYK+agdkpfz+FMyVMVHMpv2cuhQ44Aosh1ZAH180Yv5f2/z" \t "https://www.so.com/_blank" </w:instrText>
      </w:r>
      <w:r>
        <w:rPr>
          <w:rFonts w:hint="eastAsia" w:ascii="宋体" w:hAnsi="宋体" w:cs="宋体"/>
          <w:bCs/>
          <w:kern w:val="0"/>
          <w:sz w:val="28"/>
          <w:szCs w:val="28"/>
          <w:shd w:val="clear" w:color="auto" w:fill="FFFFFF"/>
        </w:rPr>
        <w:fldChar w:fldCharType="separate"/>
      </w:r>
      <w:r>
        <w:rPr>
          <w:rFonts w:hint="eastAsia" w:ascii="宋体" w:hAnsi="宋体" w:cs="宋体"/>
          <w:bCs/>
          <w:kern w:val="0"/>
          <w:sz w:val="28"/>
          <w:szCs w:val="28"/>
          <w:shd w:val="clear" w:color="auto" w:fill="FFFFFF"/>
        </w:rPr>
        <w:t>GB_50217-2007电力电缆敷设规范</w:t>
      </w:r>
      <w:r>
        <w:rPr>
          <w:rFonts w:hint="eastAsia" w:ascii="宋体" w:hAnsi="宋体" w:cs="宋体"/>
          <w:bCs/>
          <w:kern w:val="0"/>
          <w:sz w:val="28"/>
          <w:szCs w:val="28"/>
          <w:shd w:val="clear" w:color="auto" w:fill="FFFFFF"/>
        </w:rPr>
        <w:fldChar w:fldCharType="end"/>
      </w:r>
    </w:p>
    <w:p>
      <w:pPr>
        <w:ind w:firstLine="560" w:firstLineChars="200"/>
        <w:rPr>
          <w:rFonts w:hint="eastAsia" w:ascii="宋体" w:hAnsi="宋体" w:cs="宋体"/>
          <w:sz w:val="28"/>
          <w:szCs w:val="28"/>
        </w:rPr>
      </w:pPr>
      <w:r>
        <w:rPr>
          <w:rFonts w:hint="eastAsia" w:ascii="宋体" w:hAnsi="宋体" w:cs="宋体"/>
          <w:sz w:val="28"/>
          <w:szCs w:val="28"/>
          <w:shd w:val="clear" w:color="auto" w:fill="FFFFFF"/>
        </w:rPr>
        <w:t>GB50303-2015 《建筑电气工程施工质量验收规范》</w:t>
      </w:r>
    </w:p>
    <w:p>
      <w:pPr>
        <w:spacing w:line="360" w:lineRule="auto"/>
        <w:ind w:firstLine="560" w:firstLineChars="200"/>
        <w:rPr>
          <w:rFonts w:hint="eastAsia" w:ascii="宋体" w:hAnsi="宋体"/>
          <w:sz w:val="28"/>
          <w:szCs w:val="28"/>
        </w:rPr>
      </w:pPr>
      <w:r>
        <w:rPr>
          <w:rFonts w:hint="eastAsia" w:ascii="宋体" w:hAnsi="宋体"/>
          <w:sz w:val="28"/>
          <w:szCs w:val="28"/>
        </w:rPr>
        <w:t>IEC439—1    《低压成套开关设备》</w:t>
      </w:r>
    </w:p>
    <w:p>
      <w:pPr>
        <w:rPr>
          <w:rFonts w:hint="eastAsia" w:ascii="宋体" w:hAnsi="宋体"/>
          <w:bCs/>
          <w:sz w:val="28"/>
          <w:szCs w:val="28"/>
        </w:rPr>
      </w:pPr>
      <w:r>
        <w:rPr>
          <w:rFonts w:hint="eastAsia" w:ascii="宋体" w:hAnsi="宋体"/>
          <w:color w:val="000000"/>
          <w:sz w:val="28"/>
          <w:szCs w:val="28"/>
        </w:rPr>
        <w:t xml:space="preserve">    GB50171-92  《电气装置安装工程盘、柜及二次回路结线施工及验收规范》</w:t>
      </w:r>
      <w:r>
        <w:rPr>
          <w:rFonts w:hint="eastAsia" w:ascii="宋体" w:hAnsi="宋体"/>
          <w:color w:val="000000"/>
          <w:sz w:val="28"/>
          <w:szCs w:val="28"/>
        </w:rPr>
        <w:br w:type="textWrapping"/>
      </w:r>
      <w:r>
        <w:rPr>
          <w:rFonts w:hint="eastAsia" w:ascii="宋体" w:hAnsi="宋体"/>
          <w:b/>
          <w:sz w:val="28"/>
          <w:szCs w:val="28"/>
        </w:rPr>
        <w:t>四、技术要求</w:t>
      </w:r>
    </w:p>
    <w:p>
      <w:pPr>
        <w:autoSpaceDE w:val="0"/>
        <w:autoSpaceDN w:val="0"/>
        <w:spacing w:before="156" w:beforeLines="50" w:after="156" w:afterLines="50" w:line="360" w:lineRule="auto"/>
        <w:ind w:firstLine="560" w:firstLineChars="200"/>
        <w:rPr>
          <w:rFonts w:hint="eastAsia" w:ascii="宋体" w:hAnsi="宋体"/>
          <w:bCs/>
          <w:sz w:val="28"/>
          <w:szCs w:val="22"/>
        </w:rPr>
      </w:pPr>
      <w:r>
        <w:rPr>
          <w:rFonts w:hint="eastAsia" w:ascii="宋体" w:hAnsi="宋体"/>
          <w:bCs/>
          <w:sz w:val="28"/>
          <w:szCs w:val="22"/>
        </w:rPr>
        <w:t>1、绝缘电线的型号、规格、电压等级必须符合设计要求，并有产品出厂合格证和安全认证标志</w:t>
      </w:r>
    </w:p>
    <w:p>
      <w:pPr>
        <w:autoSpaceDE w:val="0"/>
        <w:autoSpaceDN w:val="0"/>
        <w:spacing w:before="156" w:beforeLines="50" w:after="156" w:afterLines="50" w:line="360" w:lineRule="auto"/>
        <w:ind w:firstLine="560" w:firstLineChars="200"/>
        <w:rPr>
          <w:rFonts w:hint="eastAsia" w:ascii="宋体" w:hAnsi="宋体"/>
          <w:bCs/>
          <w:sz w:val="28"/>
          <w:szCs w:val="22"/>
        </w:rPr>
      </w:pPr>
      <w:r>
        <w:rPr>
          <w:rFonts w:hint="eastAsia" w:ascii="宋体" w:hAnsi="宋体"/>
          <w:bCs/>
          <w:sz w:val="28"/>
          <w:szCs w:val="22"/>
        </w:rPr>
        <w:t>2、电缆的型号、规格、电压等级必须符合设计要求，并有产品出厂合格证。</w:t>
      </w:r>
    </w:p>
    <w:p>
      <w:pPr>
        <w:ind w:firstLine="560" w:firstLineChars="200"/>
        <w:rPr>
          <w:rFonts w:hint="eastAsia" w:ascii="宋体" w:hAnsi="宋体"/>
          <w:bCs/>
          <w:sz w:val="28"/>
          <w:szCs w:val="22"/>
        </w:rPr>
      </w:pPr>
      <w:r>
        <w:rPr>
          <w:rFonts w:hint="eastAsia" w:ascii="宋体" w:hAnsi="宋体"/>
          <w:bCs/>
          <w:sz w:val="28"/>
          <w:szCs w:val="22"/>
        </w:rPr>
        <w:t>3、电线的绝缘层应完整无损，厚度应均匀；电缆无压扁、扭曲、机械损伤等缺陷，铠装不松卷、无锈蚀，橡套及塑料电缆外皮及绝缘层无老化及裂纹。耐热、阻燃的电线、电缆外护层有明显标识和制造厂标。</w:t>
      </w:r>
    </w:p>
    <w:p>
      <w:pPr>
        <w:ind w:firstLine="560" w:firstLineChars="200"/>
        <w:rPr>
          <w:rFonts w:hint="eastAsia" w:ascii="宋体" w:hAnsi="宋体"/>
          <w:bCs/>
          <w:sz w:val="28"/>
          <w:szCs w:val="22"/>
        </w:rPr>
      </w:pPr>
      <w:r>
        <w:rPr>
          <w:rFonts w:hint="eastAsia" w:ascii="宋体" w:hAnsi="宋体"/>
          <w:bCs/>
          <w:sz w:val="28"/>
          <w:szCs w:val="22"/>
        </w:rPr>
        <w:t>4、现场抽样检测绝缘层厚度和圆形线芯的直径，线芯直径误差应不大于标称直径的1％。</w:t>
      </w:r>
    </w:p>
    <w:p>
      <w:pPr>
        <w:ind w:firstLine="560" w:firstLineChars="200"/>
        <w:rPr>
          <w:rFonts w:hint="eastAsia" w:ascii="宋体" w:hAnsi="宋体"/>
          <w:bCs/>
          <w:sz w:val="28"/>
          <w:szCs w:val="22"/>
        </w:rPr>
      </w:pPr>
      <w:r>
        <w:rPr>
          <w:rFonts w:hint="eastAsia" w:ascii="宋体" w:hAnsi="宋体"/>
          <w:bCs/>
          <w:sz w:val="28"/>
          <w:szCs w:val="22"/>
        </w:rPr>
        <w:t>5、现场抽样检测绝缘层厚度和圆形线芯的直径，线芯直径误差应不大于标称直径的1％。</w:t>
      </w:r>
    </w:p>
    <w:p>
      <w:pPr>
        <w:ind w:firstLine="560" w:firstLineChars="200"/>
        <w:rPr>
          <w:rFonts w:hint="eastAsia" w:ascii="宋体" w:hAnsi="宋体"/>
          <w:bCs/>
          <w:sz w:val="28"/>
          <w:szCs w:val="22"/>
        </w:rPr>
      </w:pPr>
      <w:r>
        <w:rPr>
          <w:rFonts w:hint="eastAsia" w:ascii="宋体" w:hAnsi="宋体"/>
          <w:bCs/>
          <w:sz w:val="28"/>
          <w:szCs w:val="22"/>
        </w:rPr>
        <w:t>6、线槽敷线前应清除槽内的杂物、积水。 </w:t>
      </w:r>
    </w:p>
    <w:p>
      <w:pPr>
        <w:ind w:firstLine="560" w:firstLineChars="200"/>
        <w:rPr>
          <w:rFonts w:hint="eastAsia" w:ascii="宋体" w:hAnsi="宋体"/>
          <w:bCs/>
          <w:sz w:val="28"/>
          <w:szCs w:val="22"/>
        </w:rPr>
      </w:pPr>
      <w:r>
        <w:rPr>
          <w:rFonts w:hint="eastAsia" w:ascii="宋体" w:hAnsi="宋体"/>
          <w:bCs/>
          <w:sz w:val="28"/>
          <w:szCs w:val="22"/>
        </w:rPr>
        <w:t>7、电线拉直、捋顺，盘成大圈或放在放线架上，从始端到终端（先干线，后支线）边放边整理，不应出现挤压、背扣、扭结、损伤电线等现象。每个分支应绑扎成束，绑扎时应采用尼龙绑扎带，不允许使用金属电线进行绑扎。</w:t>
      </w:r>
    </w:p>
    <w:p>
      <w:pPr>
        <w:ind w:firstLine="560" w:firstLineChars="200"/>
        <w:rPr>
          <w:rFonts w:hint="eastAsia" w:ascii="宋体" w:hAnsi="宋体"/>
          <w:bCs/>
          <w:sz w:val="28"/>
          <w:szCs w:val="22"/>
        </w:rPr>
      </w:pPr>
      <w:r>
        <w:rPr>
          <w:rFonts w:hint="eastAsia" w:ascii="宋体" w:hAnsi="宋体"/>
          <w:bCs/>
          <w:sz w:val="28"/>
          <w:szCs w:val="22"/>
        </w:rPr>
        <w:t>8、每个分支应绑扎成束，绑扎时应采用尼龙绑扎带，不允许使用金属电线进行绑扎。</w:t>
      </w:r>
    </w:p>
    <w:p>
      <w:pPr>
        <w:ind w:firstLine="560" w:firstLineChars="200"/>
        <w:rPr>
          <w:rFonts w:hint="eastAsia" w:ascii="宋体" w:hAnsi="宋体"/>
          <w:bCs/>
          <w:sz w:val="28"/>
          <w:szCs w:val="22"/>
        </w:rPr>
      </w:pPr>
      <w:r>
        <w:rPr>
          <w:rFonts w:hint="eastAsia" w:ascii="宋体" w:hAnsi="宋体"/>
          <w:bCs/>
          <w:sz w:val="28"/>
          <w:szCs w:val="22"/>
        </w:rPr>
        <w:t>9、线槽内电线的规格和数量应符合设计规定；当设计无规定时，包括绝缘层在内的电线总截面积不应大于线槽截面积的60％。</w:t>
      </w:r>
    </w:p>
    <w:p>
      <w:pPr>
        <w:rPr>
          <w:rFonts w:ascii="宋体"/>
          <w:b/>
          <w:sz w:val="28"/>
          <w:szCs w:val="28"/>
        </w:rPr>
      </w:pPr>
      <w:r>
        <w:rPr>
          <w:rFonts w:hint="eastAsia" w:ascii="宋体" w:hAnsi="宋体"/>
          <w:b/>
          <w:sz w:val="28"/>
          <w:szCs w:val="28"/>
        </w:rPr>
        <w:t>五、改造要求</w:t>
      </w:r>
    </w:p>
    <w:p>
      <w:pPr>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、改造后的电表与对应用户应准确无误。</w:t>
      </w:r>
    </w:p>
    <w:p>
      <w:pPr>
        <w:ind w:firstLine="560" w:firstLineChars="200"/>
        <w:rPr>
          <w:rFonts w:hint="eastAsia" w:ascii="宋体" w:hAnsi="宋体"/>
          <w:sz w:val="28"/>
          <w:szCs w:val="28"/>
        </w:rPr>
      </w:pPr>
      <w:r>
        <w:rPr>
          <w:rFonts w:hint="eastAsia" w:ascii="宋体" w:hAnsi="宋体"/>
          <w:sz w:val="28"/>
          <w:szCs w:val="28"/>
        </w:rPr>
        <w:t>2、改造后的线路应符合供电局的验收标准，并配合甲方做好供电局验收工作。</w:t>
      </w:r>
    </w:p>
    <w:p>
      <w:pPr>
        <w:ind w:firstLine="560" w:firstLineChars="200"/>
        <w:rPr>
          <w:rFonts w:ascii="宋体"/>
          <w:sz w:val="28"/>
          <w:szCs w:val="28"/>
        </w:rPr>
      </w:pPr>
      <w:r>
        <w:rPr>
          <w:rFonts w:hint="eastAsia" w:ascii="宋体" w:hAnsi="宋体"/>
          <w:sz w:val="28"/>
          <w:szCs w:val="28"/>
        </w:rPr>
        <w:t>3、负责改造施工的人员必须有相关电气作业资格证书，在改造工作开始前投标方必须提供作业人员资格证书。</w:t>
      </w:r>
    </w:p>
    <w:p>
      <w:pPr>
        <w:ind w:firstLine="560" w:firstLineChars="200"/>
        <w:rPr>
          <w:rFonts w:ascii="宋体"/>
          <w:sz w:val="28"/>
          <w:szCs w:val="28"/>
        </w:rPr>
      </w:pPr>
      <w:r>
        <w:rPr>
          <w:rFonts w:hint="eastAsia" w:ascii="宋体" w:hAnsi="宋体"/>
          <w:sz w:val="28"/>
          <w:szCs w:val="28"/>
        </w:rPr>
        <w:t>4、现场施工人员必须服从招标方管理，若不服从管理，即刻终止现场作业，造成一切后果由投标方负责。</w:t>
      </w:r>
    </w:p>
    <w:p>
      <w:pPr>
        <w:rPr>
          <w:rFonts w:ascii="宋体"/>
          <w:b/>
          <w:sz w:val="28"/>
          <w:szCs w:val="28"/>
        </w:rPr>
      </w:pPr>
      <w:r>
        <w:rPr>
          <w:rFonts w:hint="eastAsia" w:ascii="宋体" w:hAnsi="宋体"/>
          <w:b/>
          <w:sz w:val="28"/>
          <w:szCs w:val="28"/>
        </w:rPr>
        <w:t>六、质量保证</w:t>
      </w:r>
    </w:p>
    <w:p>
      <w:pPr>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、设备投入连续运行后由招标方组织验收，验收合格后质保期开始，质保期为12个月；</w:t>
      </w:r>
    </w:p>
    <w:p>
      <w:pPr>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、在质保期内，线路免费保修；</w:t>
      </w:r>
    </w:p>
    <w:p>
      <w:pPr>
        <w:ind w:firstLine="560" w:firstLineChars="200"/>
        <w:rPr>
          <w:rFonts w:ascii="宋体"/>
          <w:sz w:val="28"/>
          <w:szCs w:val="28"/>
        </w:rPr>
      </w:pPr>
      <w:r>
        <w:rPr>
          <w:rFonts w:hint="eastAsia" w:ascii="宋体" w:hAnsi="宋体"/>
          <w:sz w:val="28"/>
          <w:szCs w:val="28"/>
        </w:rPr>
        <w:t>3、</w:t>
      </w:r>
      <w:r>
        <w:rPr>
          <w:rFonts w:hint="eastAsia" w:ascii="宋体" w:hAnsi="宋体"/>
          <w:kern w:val="0"/>
          <w:sz w:val="28"/>
          <w:szCs w:val="28"/>
        </w:rPr>
        <w:t>设备调试完成投入使用后，投标方必须向招标方移交完整的图纸资料。</w:t>
      </w:r>
    </w:p>
    <w:p>
      <w:pPr>
        <w:snapToGrid w:val="0"/>
        <w:spacing w:line="300" w:lineRule="auto"/>
        <w:jc w:val="center"/>
        <w:rPr>
          <w:rFonts w:hint="eastAsia" w:hAnsi="宋体" w:cs="宋体"/>
          <w:b/>
          <w:sz w:val="32"/>
          <w:szCs w:val="32"/>
        </w:rPr>
      </w:pPr>
    </w:p>
    <w:p>
      <w:pPr>
        <w:snapToGrid w:val="0"/>
        <w:spacing w:line="300" w:lineRule="auto"/>
        <w:jc w:val="center"/>
        <w:rPr>
          <w:rFonts w:hint="eastAsia" w:hAnsi="宋体" w:cs="宋体"/>
          <w:b/>
          <w:sz w:val="32"/>
          <w:szCs w:val="32"/>
        </w:rPr>
      </w:pPr>
    </w:p>
    <w:p>
      <w:pPr>
        <w:snapToGrid w:val="0"/>
        <w:spacing w:line="300" w:lineRule="auto"/>
        <w:jc w:val="center"/>
        <w:rPr>
          <w:rFonts w:hint="eastAsia" w:hAnsi="宋体" w:cs="宋体"/>
          <w:b/>
          <w:sz w:val="32"/>
          <w:szCs w:val="32"/>
        </w:rPr>
      </w:pPr>
    </w:p>
    <w:p>
      <w:pPr>
        <w:snapToGrid w:val="0"/>
        <w:spacing w:line="300" w:lineRule="auto"/>
        <w:jc w:val="center"/>
        <w:rPr>
          <w:rFonts w:hint="eastAsia" w:hAnsi="宋体" w:cs="宋体"/>
          <w:b/>
          <w:sz w:val="32"/>
          <w:szCs w:val="32"/>
        </w:rPr>
      </w:pPr>
    </w:p>
    <w:p>
      <w:pPr>
        <w:snapToGrid w:val="0"/>
        <w:spacing w:line="300" w:lineRule="auto"/>
        <w:jc w:val="center"/>
        <w:rPr>
          <w:rFonts w:hint="eastAsia" w:hAnsi="宋体" w:cs="宋体"/>
          <w:b/>
          <w:sz w:val="32"/>
          <w:szCs w:val="32"/>
        </w:rPr>
      </w:pPr>
    </w:p>
    <w:p>
      <w:pPr>
        <w:snapToGrid w:val="0"/>
        <w:spacing w:line="300" w:lineRule="auto"/>
        <w:jc w:val="center"/>
        <w:rPr>
          <w:rFonts w:hint="eastAsia" w:hAnsi="宋体" w:cs="宋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62505"/>
    <w:rsid w:val="3CC62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2019-06-27T12:00:00Z</dcterms:created>
  <dc:creator>yk</dc:creator>
  <cp:lastModifiedBy>yk</cp:lastModifiedBy>
  <dcterms:modified xsi:type="dcterms:W3CDTF">2019-06-27T12:01:12Z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