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/>
        <w:jc w:val="center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福</w:t>
      </w:r>
      <w:r>
        <w:rPr>
          <w:rFonts w:hint="eastAsia" w:ascii="宋体" w:hAnsi="宋体"/>
          <w:b/>
          <w:bCs/>
          <w:sz w:val="24"/>
        </w:rPr>
        <w:t>建湄洲湾氯碱工业有限公司</w:t>
      </w:r>
    </w:p>
    <w:p>
      <w:pPr>
        <w:spacing w:before="120" w:beforeLines="50"/>
        <w:jc w:val="center"/>
        <w:rPr>
          <w:rFonts w:hint="eastAsia" w:ascii="宋体" w:hAnsi="宋体"/>
          <w:sz w:val="24"/>
        </w:rPr>
      </w:pPr>
      <w:bookmarkStart w:id="0" w:name="_GoBack"/>
      <w:r>
        <w:rPr>
          <w:rFonts w:hint="eastAsia"/>
          <w:b/>
          <w:sz w:val="24"/>
        </w:rPr>
        <w:t>污水处理压滤系统优化技改项目土建施工工程</w:t>
      </w:r>
      <w:r>
        <w:rPr>
          <w:rFonts w:hint="eastAsia"/>
          <w:b/>
          <w:sz w:val="24"/>
          <w:lang w:val="en-US" w:eastAsia="zh-CN"/>
        </w:rPr>
        <w:t>公开比选公告</w:t>
      </w:r>
      <w:bookmarkEnd w:id="0"/>
    </w:p>
    <w:p>
      <w:pPr>
        <w:spacing w:before="120" w:beforeLines="50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编</w:t>
      </w:r>
      <w:r>
        <w:rPr>
          <w:rFonts w:hint="eastAsia" w:ascii="宋体" w:hAnsi="宋体"/>
          <w:sz w:val="24"/>
        </w:rPr>
        <w:t>号：LJ-JA-2019-0001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900"/>
          <w:tab w:val="left" w:pos="1100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比选</w:t>
      </w:r>
      <w:r>
        <w:rPr>
          <w:rFonts w:ascii="宋体" w:hAnsi="宋体"/>
          <w:b/>
          <w:sz w:val="24"/>
        </w:rPr>
        <w:t>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>福</w:t>
      </w:r>
      <w:r>
        <w:rPr>
          <w:rFonts w:hint="eastAsia" w:ascii="宋体" w:hAnsi="宋体"/>
          <w:sz w:val="24"/>
        </w:rPr>
        <w:t>建湄洲湾氯碱工业有限公司</w:t>
      </w:r>
      <w:r>
        <w:rPr>
          <w:rFonts w:hint="eastAsia"/>
          <w:b/>
          <w:sz w:val="24"/>
          <w:u w:val="single"/>
        </w:rPr>
        <w:t>污水处理压滤系统优化技改项目土建施工工程</w:t>
      </w:r>
      <w:r>
        <w:rPr>
          <w:rFonts w:hint="eastAsia" w:ascii="宋体" w:hAnsi="宋体"/>
          <w:sz w:val="24"/>
        </w:rPr>
        <w:t>建设资金为自筹和银行贷款，本招比选项目为施工工程，招比选人为</w:t>
      </w:r>
      <w:r>
        <w:rPr>
          <w:rFonts w:hint="eastAsia"/>
          <w:b/>
          <w:sz w:val="24"/>
          <w:u w:val="single"/>
        </w:rPr>
        <w:t>污水处理压滤系统优化技改项目土建施工工程</w:t>
      </w:r>
      <w:r>
        <w:rPr>
          <w:rFonts w:hint="eastAsia" w:ascii="宋体" w:hAnsi="宋体"/>
          <w:sz w:val="24"/>
        </w:rPr>
        <w:t>，该项目已具备招比选条件，现对该项目进行公开比选。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900"/>
          <w:tab w:val="left" w:pos="1100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项目概况和</w:t>
      </w:r>
      <w:r>
        <w:rPr>
          <w:rFonts w:hint="eastAsia" w:ascii="宋体" w:hAnsi="宋体"/>
          <w:b/>
          <w:sz w:val="24"/>
        </w:rPr>
        <w:t>招比选</w:t>
      </w:r>
      <w:r>
        <w:rPr>
          <w:rFonts w:ascii="宋体" w:hAnsi="宋体"/>
          <w:b/>
          <w:sz w:val="24"/>
        </w:rPr>
        <w:t>范围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2.1建设地点：</w:t>
      </w:r>
      <w:r>
        <w:rPr>
          <w:rFonts w:hint="eastAsia" w:ascii="宋体" w:hAnsi="宋体"/>
          <w:spacing w:val="-6"/>
          <w:sz w:val="24"/>
          <w:u w:val="single"/>
        </w:rPr>
        <w:t>泉州市泉港区南山北路1137号</w:t>
      </w:r>
      <w:r>
        <w:rPr>
          <w:rFonts w:ascii="宋体" w:hAnsi="宋体"/>
          <w:spacing w:val="-6"/>
          <w:sz w:val="24"/>
        </w:rPr>
        <w:t>；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2.2工程建设规模：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szCs w:val="21"/>
        </w:rPr>
      </w:pPr>
      <w:r>
        <w:rPr>
          <w:rFonts w:ascii="宋体" w:hAnsi="宋体"/>
          <w:sz w:val="24"/>
        </w:rPr>
        <w:t>2.3</w:t>
      </w:r>
      <w:r>
        <w:rPr>
          <w:rFonts w:hint="eastAsia" w:ascii="宋体" w:hAnsi="宋体"/>
          <w:sz w:val="24"/>
        </w:rPr>
        <w:t>比选</w:t>
      </w:r>
      <w:r>
        <w:rPr>
          <w:rFonts w:ascii="宋体" w:hAnsi="宋体"/>
          <w:sz w:val="24"/>
        </w:rPr>
        <w:t>范围和内容</w:t>
      </w:r>
      <w:r>
        <w:rPr>
          <w:rFonts w:hint="eastAsia" w:ascii="宋体" w:hAnsi="宋体"/>
          <w:b/>
          <w:bCs/>
          <w:sz w:val="24"/>
        </w:rPr>
        <w:t>污水处理压滤系统优化技改项目土建施工工程</w:t>
      </w:r>
      <w:r>
        <w:rPr>
          <w:rFonts w:hint="eastAsia" w:ascii="宋体" w:hAnsi="宋体" w:cs="宋体"/>
          <w:szCs w:val="21"/>
          <w:u w:val="single"/>
        </w:rPr>
        <w:t>，</w:t>
      </w:r>
      <w:r>
        <w:rPr>
          <w:rFonts w:hint="eastAsia" w:ascii="宋体" w:hAnsi="宋体" w:cs="宋体"/>
          <w:bCs/>
          <w:szCs w:val="21"/>
          <w:u w:val="single"/>
        </w:rPr>
        <w:t>具体详见招比选人招比选时提供的施工图纸和《工程施工分交</w:t>
      </w:r>
      <w:r>
        <w:rPr>
          <w:rFonts w:ascii="宋体" w:hAnsi="宋体"/>
          <w:bCs/>
          <w:szCs w:val="21"/>
          <w:u w:val="single"/>
        </w:rPr>
        <w:t>界定说明》</w:t>
      </w:r>
      <w:r>
        <w:rPr>
          <w:rFonts w:hint="eastAsia" w:ascii="宋体" w:hAnsi="宋体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2.4工期要求：</w:t>
      </w:r>
      <w:r>
        <w:rPr>
          <w:rFonts w:hint="eastAsia" w:ascii="宋体" w:hAnsi="宋体"/>
          <w:sz w:val="24"/>
        </w:rPr>
        <w:t>35日历天。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sz w:val="24"/>
          <w:u w:val="single"/>
        </w:rPr>
      </w:pPr>
      <w:r>
        <w:rPr>
          <w:rFonts w:ascii="宋体" w:hAnsi="宋体"/>
          <w:sz w:val="24"/>
        </w:rPr>
        <w:t>2.5工程质量要求：</w:t>
      </w:r>
      <w:r>
        <w:rPr>
          <w:rFonts w:hint="eastAsia" w:ascii="宋体" w:hAnsi="宋体"/>
          <w:sz w:val="24"/>
          <w:u w:val="single"/>
        </w:rPr>
        <w:t>符合《工程施工质量验收规范》合格标准。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2.6工程控制价：</w:t>
      </w:r>
      <w:r>
        <w:rPr>
          <w:rFonts w:hint="eastAsia" w:ascii="宋体" w:hAnsi="宋体"/>
          <w:sz w:val="24"/>
          <w:u w:val="single"/>
        </w:rPr>
        <w:t>￥</w:t>
      </w:r>
      <w:r>
        <w:rPr>
          <w:rFonts w:hint="eastAsia" w:ascii="宋体" w:hAnsi="宋体"/>
          <w:sz w:val="24"/>
          <w:u w:val="single"/>
          <w:lang w:val="en-US" w:eastAsia="zh-CN"/>
        </w:rPr>
        <w:t>337338</w:t>
      </w:r>
      <w:r>
        <w:rPr>
          <w:rFonts w:hint="eastAsia" w:ascii="宋体" w:hAnsi="宋体"/>
          <w:sz w:val="24"/>
          <w:u w:val="single"/>
        </w:rPr>
        <w:t>.00元</w:t>
      </w:r>
      <w:r>
        <w:rPr>
          <w:rFonts w:hint="eastAsia" w:ascii="宋体" w:hAnsi="宋体"/>
          <w:sz w:val="24"/>
        </w:rPr>
        <w:t>整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900"/>
          <w:tab w:val="left" w:pos="1100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参选</w:t>
      </w:r>
      <w:r>
        <w:rPr>
          <w:rFonts w:ascii="宋体" w:hAnsi="宋体"/>
          <w:b/>
          <w:sz w:val="24"/>
        </w:rPr>
        <w:t>人资格要求及审查办法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3.1本</w:t>
      </w:r>
      <w:r>
        <w:rPr>
          <w:rFonts w:hint="eastAsia" w:ascii="宋体" w:hAnsi="宋体"/>
          <w:sz w:val="24"/>
        </w:rPr>
        <w:t>比选</w:t>
      </w:r>
      <w:r>
        <w:rPr>
          <w:rFonts w:ascii="宋体" w:hAnsi="宋体"/>
          <w:sz w:val="24"/>
        </w:rPr>
        <w:t>项目要求</w:t>
      </w:r>
      <w:r>
        <w:rPr>
          <w:rFonts w:hint="eastAsia" w:ascii="宋体" w:hAnsi="宋体"/>
          <w:sz w:val="24"/>
        </w:rPr>
        <w:t>参选</w:t>
      </w:r>
      <w:r>
        <w:rPr>
          <w:rFonts w:ascii="宋体" w:hAnsi="宋体"/>
          <w:sz w:val="24"/>
        </w:rPr>
        <w:t>人</w:t>
      </w:r>
      <w:r>
        <w:rPr>
          <w:rFonts w:hint="eastAsia" w:ascii="宋体" w:hAnsi="宋体"/>
          <w:sz w:val="24"/>
        </w:rPr>
        <w:t>应</w:t>
      </w:r>
      <w:r>
        <w:rPr>
          <w:rFonts w:hint="eastAsia" w:ascii="宋体" w:hAnsi="宋体" w:cs="宋体"/>
          <w:b/>
          <w:sz w:val="28"/>
          <w:szCs w:val="28"/>
          <w:u w:val="single"/>
        </w:rPr>
        <w:t>具有独立法人资格，具备建筑工程施工总承包三级及三级以上资质证书，并具备建筑装修装饰工程专业承包资质及有效的《施工企业安全生产许可证》</w:t>
      </w:r>
      <w:r>
        <w:rPr>
          <w:rFonts w:hint="eastAsia" w:ascii="宋体" w:hAnsi="宋体"/>
          <w:sz w:val="24"/>
        </w:rPr>
        <w:t>；</w:t>
      </w:r>
    </w:p>
    <w:p>
      <w:pPr>
        <w:keepNext w:val="0"/>
        <w:keepLines w:val="0"/>
        <w:pageBreakBefore w:val="0"/>
        <w:widowControl/>
        <w:tabs>
          <w:tab w:val="left" w:pos="900"/>
          <w:tab w:val="left" w:pos="1100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3.</w:t>
      </w:r>
      <w:r>
        <w:rPr>
          <w:rFonts w:hint="eastAsia" w:ascii="宋体" w:hAnsi="宋体"/>
          <w:sz w:val="24"/>
        </w:rPr>
        <w:t>2</w:t>
      </w:r>
      <w:r>
        <w:rPr>
          <w:rFonts w:ascii="宋体" w:hAnsi="宋体"/>
          <w:sz w:val="24"/>
        </w:rPr>
        <w:t>本</w:t>
      </w:r>
      <w:r>
        <w:rPr>
          <w:rFonts w:hint="eastAsia" w:ascii="宋体" w:hAnsi="宋体"/>
          <w:sz w:val="24"/>
        </w:rPr>
        <w:t>比选</w:t>
      </w:r>
      <w:r>
        <w:rPr>
          <w:rFonts w:ascii="宋体" w:hAnsi="宋体"/>
          <w:sz w:val="24"/>
        </w:rPr>
        <w:t>项目</w:t>
      </w:r>
      <w:r>
        <w:rPr>
          <w:rFonts w:hint="eastAsia" w:ascii="宋体" w:hAnsi="宋体"/>
          <w:b/>
          <w:i/>
          <w:sz w:val="24"/>
          <w:u w:val="single"/>
        </w:rPr>
        <w:t xml:space="preserve"> 不</w:t>
      </w:r>
      <w:r>
        <w:rPr>
          <w:rFonts w:ascii="宋体" w:hAnsi="宋体"/>
          <w:b/>
          <w:i/>
          <w:sz w:val="24"/>
          <w:u w:val="single"/>
        </w:rPr>
        <w:t>接受</w:t>
      </w:r>
      <w:r>
        <w:rPr>
          <w:rFonts w:hint="eastAsia" w:ascii="宋体" w:hAnsi="宋体"/>
          <w:b/>
          <w:i/>
          <w:sz w:val="24"/>
          <w:u w:val="single"/>
        </w:rPr>
        <w:t xml:space="preserve">  </w:t>
      </w:r>
      <w:r>
        <w:rPr>
          <w:rFonts w:hint="eastAsia" w:ascii="宋体" w:hAnsi="宋体"/>
          <w:sz w:val="24"/>
        </w:rPr>
        <w:t>联合体投标</w:t>
      </w:r>
      <w:r>
        <w:rPr>
          <w:rFonts w:ascii="宋体" w:hAnsi="宋体"/>
          <w:sz w:val="24"/>
        </w:rPr>
        <w:t>。</w:t>
      </w:r>
    </w:p>
    <w:p>
      <w:pPr>
        <w:keepNext w:val="0"/>
        <w:keepLines w:val="0"/>
        <w:pageBreakBefore w:val="0"/>
        <w:widowControl/>
        <w:tabs>
          <w:tab w:val="left" w:pos="900"/>
          <w:tab w:val="left" w:pos="1100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3.</w:t>
      </w:r>
      <w:r>
        <w:rPr>
          <w:rFonts w:hint="eastAsia" w:ascii="宋体" w:hAnsi="宋体"/>
          <w:sz w:val="24"/>
        </w:rPr>
        <w:t>3资格审查的</w:t>
      </w:r>
      <w:r>
        <w:rPr>
          <w:rFonts w:hint="eastAsia" w:ascii="宋体" w:hAnsi="宋体"/>
          <w:b/>
          <w:sz w:val="24"/>
        </w:rPr>
        <w:t>其他内容和标准</w:t>
      </w:r>
      <w:r>
        <w:rPr>
          <w:rFonts w:hint="eastAsia" w:ascii="宋体" w:hAnsi="宋体"/>
          <w:sz w:val="24"/>
        </w:rPr>
        <w:t>详见招比选文件中的有关规定。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900"/>
          <w:tab w:val="left" w:pos="1100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b/>
          <w:sz w:val="24"/>
        </w:rPr>
      </w:pPr>
      <w:r>
        <w:rPr>
          <w:rFonts w:ascii="宋体" w:hAnsi="宋体"/>
          <w:b/>
          <w:sz w:val="24"/>
        </w:rPr>
        <w:t>招</w:t>
      </w:r>
      <w:r>
        <w:rPr>
          <w:rFonts w:hint="eastAsia" w:ascii="宋体" w:hAnsi="宋体"/>
          <w:b/>
          <w:sz w:val="24"/>
        </w:rPr>
        <w:t>比选</w:t>
      </w:r>
      <w:r>
        <w:rPr>
          <w:rFonts w:ascii="宋体" w:hAnsi="宋体"/>
          <w:b/>
          <w:sz w:val="24"/>
        </w:rPr>
        <w:t>文件的获取</w:t>
      </w:r>
    </w:p>
    <w:p>
      <w:pPr>
        <w:keepNext w:val="0"/>
        <w:keepLines w:val="0"/>
        <w:pageBreakBefore w:val="0"/>
        <w:widowControl/>
        <w:tabs>
          <w:tab w:val="left" w:pos="510"/>
          <w:tab w:val="left" w:pos="900"/>
          <w:tab w:val="left" w:pos="1100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b/>
          <w:sz w:val="24"/>
        </w:rPr>
      </w:pPr>
      <w:r>
        <w:rPr>
          <w:rFonts w:ascii="宋体" w:hAnsi="宋体"/>
          <w:sz w:val="24"/>
        </w:rPr>
        <w:t>4.1凡有意参加投标者，请于</w:t>
      </w:r>
      <w:r>
        <w:rPr>
          <w:rFonts w:ascii="宋体" w:hAnsi="宋体"/>
          <w:sz w:val="24"/>
          <w:u w:val="single"/>
        </w:rPr>
        <w:t>20</w:t>
      </w:r>
      <w:r>
        <w:rPr>
          <w:rFonts w:hint="eastAsia" w:ascii="宋体" w:hAnsi="宋体"/>
          <w:sz w:val="24"/>
          <w:u w:val="single"/>
        </w:rPr>
        <w:t>19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</w:rPr>
        <w:t>5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14</w:t>
      </w:r>
      <w:r>
        <w:rPr>
          <w:rFonts w:ascii="宋体" w:hAnsi="宋体"/>
          <w:sz w:val="24"/>
        </w:rPr>
        <w:t>日至</w:t>
      </w:r>
      <w:r>
        <w:rPr>
          <w:rFonts w:ascii="宋体" w:hAnsi="宋体"/>
          <w:sz w:val="24"/>
          <w:u w:val="single"/>
        </w:rPr>
        <w:t>201</w:t>
      </w:r>
      <w:r>
        <w:rPr>
          <w:rFonts w:hint="eastAsia" w:ascii="宋体" w:hAnsi="宋体"/>
          <w:sz w:val="24"/>
          <w:u w:val="single"/>
        </w:rPr>
        <w:t>9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</w:rPr>
        <w:t>5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23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>日（法定公休日、法定节假日除外），每天上午</w:t>
      </w:r>
      <w:r>
        <w:rPr>
          <w:rFonts w:ascii="宋体" w:hAnsi="宋体"/>
          <w:sz w:val="24"/>
          <w:u w:val="single"/>
        </w:rPr>
        <w:t>9</w:t>
      </w:r>
      <w:r>
        <w:rPr>
          <w:rFonts w:ascii="宋体" w:hAnsi="宋体"/>
          <w:sz w:val="24"/>
        </w:rPr>
        <w:t>时</w:t>
      </w:r>
      <w:r>
        <w:rPr>
          <w:rFonts w:ascii="宋体" w:hAnsi="宋体"/>
          <w:sz w:val="24"/>
          <w:u w:val="single"/>
        </w:rPr>
        <w:t>00</w:t>
      </w:r>
      <w:r>
        <w:rPr>
          <w:rFonts w:ascii="宋体" w:hAnsi="宋体"/>
          <w:sz w:val="24"/>
        </w:rPr>
        <w:t>分至</w:t>
      </w:r>
      <w:r>
        <w:rPr>
          <w:rFonts w:ascii="宋体" w:hAnsi="宋体"/>
          <w:sz w:val="24"/>
          <w:u w:val="single"/>
        </w:rPr>
        <w:t>11</w:t>
      </w:r>
      <w:r>
        <w:rPr>
          <w:rFonts w:ascii="宋体" w:hAnsi="宋体"/>
          <w:sz w:val="24"/>
        </w:rPr>
        <w:t>时</w:t>
      </w:r>
      <w:r>
        <w:rPr>
          <w:rFonts w:ascii="宋体" w:hAnsi="宋体"/>
          <w:sz w:val="24"/>
          <w:u w:val="single"/>
        </w:rPr>
        <w:t>0</w:t>
      </w:r>
      <w:r>
        <w:rPr>
          <w:rFonts w:hint="eastAsia" w:ascii="宋体" w:hAnsi="宋体"/>
          <w:sz w:val="24"/>
          <w:u w:val="single"/>
        </w:rPr>
        <w:t>0</w:t>
      </w:r>
      <w:r>
        <w:rPr>
          <w:rFonts w:ascii="宋体" w:hAnsi="宋体"/>
          <w:sz w:val="24"/>
        </w:rPr>
        <w:t>分，下午</w:t>
      </w:r>
      <w:r>
        <w:rPr>
          <w:rFonts w:ascii="宋体" w:hAnsi="宋体"/>
          <w:sz w:val="24"/>
          <w:u w:val="single"/>
        </w:rPr>
        <w:t>15</w:t>
      </w:r>
      <w:r>
        <w:rPr>
          <w:rFonts w:ascii="宋体" w:hAnsi="宋体"/>
          <w:sz w:val="24"/>
        </w:rPr>
        <w:t>时</w:t>
      </w:r>
      <w:r>
        <w:rPr>
          <w:rFonts w:ascii="宋体" w:hAnsi="宋体"/>
          <w:sz w:val="24"/>
          <w:u w:val="single"/>
        </w:rPr>
        <w:t>00</w:t>
      </w:r>
      <w:r>
        <w:rPr>
          <w:rFonts w:ascii="宋体" w:hAnsi="宋体"/>
          <w:sz w:val="24"/>
        </w:rPr>
        <w:t>分至</w:t>
      </w:r>
      <w:r>
        <w:rPr>
          <w:rFonts w:ascii="宋体" w:hAnsi="宋体"/>
          <w:sz w:val="24"/>
          <w:u w:val="single"/>
        </w:rPr>
        <w:t>17</w:t>
      </w:r>
      <w:r>
        <w:rPr>
          <w:rFonts w:ascii="宋体" w:hAnsi="宋体"/>
          <w:sz w:val="24"/>
        </w:rPr>
        <w:t>时</w:t>
      </w:r>
      <w:r>
        <w:rPr>
          <w:rFonts w:ascii="宋体" w:hAnsi="宋体"/>
          <w:sz w:val="24"/>
          <w:u w:val="single"/>
        </w:rPr>
        <w:t>00</w:t>
      </w:r>
      <w:r>
        <w:rPr>
          <w:rFonts w:ascii="宋体" w:hAnsi="宋体"/>
          <w:sz w:val="24"/>
        </w:rPr>
        <w:t>分（北京时间，下同），到</w:t>
      </w:r>
      <w:r>
        <w:rPr>
          <w:rFonts w:hint="eastAsia" w:ascii="宋体" w:hAnsi="宋体"/>
          <w:sz w:val="24"/>
          <w:u w:val="single"/>
        </w:rPr>
        <w:t>福建湄洲湾氯碱工业有限公司（地址：泉州市泉港区南山北路1137号）领取</w:t>
      </w:r>
      <w:r>
        <w:rPr>
          <w:rFonts w:ascii="宋体" w:hAnsi="宋体"/>
          <w:sz w:val="24"/>
        </w:rPr>
        <w:t>招</w:t>
      </w:r>
      <w:r>
        <w:rPr>
          <w:rFonts w:hint="eastAsia" w:ascii="宋体" w:hAnsi="宋体"/>
          <w:sz w:val="24"/>
        </w:rPr>
        <w:t>比选</w:t>
      </w:r>
      <w:r>
        <w:rPr>
          <w:rFonts w:ascii="宋体" w:hAnsi="宋体"/>
          <w:sz w:val="24"/>
        </w:rPr>
        <w:t>文件；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900"/>
          <w:tab w:val="left" w:pos="1100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评</w:t>
      </w:r>
      <w:r>
        <w:rPr>
          <w:rFonts w:hint="eastAsia" w:ascii="宋体" w:hAnsi="宋体"/>
          <w:b/>
          <w:sz w:val="24"/>
        </w:rPr>
        <w:t>选</w:t>
      </w:r>
      <w:r>
        <w:rPr>
          <w:rFonts w:ascii="宋体" w:hAnsi="宋体"/>
          <w:b/>
          <w:sz w:val="24"/>
        </w:rPr>
        <w:t>办法</w:t>
      </w:r>
    </w:p>
    <w:p>
      <w:pPr>
        <w:keepNext w:val="0"/>
        <w:keepLines w:val="0"/>
        <w:pageBreakBefore w:val="0"/>
        <w:widowControl/>
        <w:tabs>
          <w:tab w:val="left" w:pos="900"/>
          <w:tab w:val="left" w:pos="1100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宋体" w:hAnsi="宋体"/>
          <w:sz w:val="24"/>
          <w:u w:val="single"/>
        </w:rPr>
      </w:pPr>
      <w:r>
        <w:rPr>
          <w:rFonts w:ascii="宋体" w:hAnsi="宋体"/>
          <w:sz w:val="24"/>
        </w:rPr>
        <w:t>本</w:t>
      </w:r>
      <w:r>
        <w:rPr>
          <w:rFonts w:hint="eastAsia" w:ascii="宋体" w:hAnsi="宋体"/>
          <w:sz w:val="24"/>
        </w:rPr>
        <w:t>招比选</w:t>
      </w:r>
      <w:r>
        <w:rPr>
          <w:rFonts w:ascii="宋体" w:hAnsi="宋体"/>
          <w:sz w:val="24"/>
        </w:rPr>
        <w:t>项目采用的评标办法：</w:t>
      </w:r>
      <w:r>
        <w:rPr>
          <w:rFonts w:hint="eastAsia" w:ascii="宋体" w:hAnsi="宋体"/>
          <w:b/>
          <w:bCs/>
          <w:sz w:val="24"/>
          <w:u w:val="single"/>
        </w:rPr>
        <w:t>综合低价中选法</w:t>
      </w:r>
      <w:r>
        <w:rPr>
          <w:rFonts w:ascii="宋体" w:hAnsi="宋体"/>
          <w:sz w:val="24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900"/>
          <w:tab w:val="left" w:pos="1100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投标文件的提交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b/>
          <w:sz w:val="24"/>
          <w:highlight w:val="yellow"/>
          <w:u w:val="single"/>
        </w:rPr>
      </w:pPr>
      <w:r>
        <w:rPr>
          <w:rFonts w:hint="eastAsia" w:ascii="宋体" w:hAnsi="宋体"/>
          <w:sz w:val="24"/>
        </w:rPr>
        <w:t>6</w:t>
      </w:r>
      <w:r>
        <w:rPr>
          <w:rFonts w:ascii="宋体" w:hAnsi="宋体"/>
          <w:sz w:val="24"/>
        </w:rPr>
        <w:t>.1提交</w:t>
      </w:r>
      <w:r>
        <w:rPr>
          <w:rFonts w:hint="eastAsia" w:ascii="宋体" w:hAnsi="宋体"/>
          <w:sz w:val="24"/>
        </w:rPr>
        <w:t>比选</w:t>
      </w:r>
      <w:r>
        <w:rPr>
          <w:rFonts w:ascii="宋体" w:hAnsi="宋体"/>
          <w:sz w:val="24"/>
        </w:rPr>
        <w:t>文件的截止时间（投标截止时间）：</w:t>
      </w:r>
      <w:r>
        <w:rPr>
          <w:rFonts w:ascii="宋体" w:hAnsi="宋体"/>
          <w:sz w:val="24"/>
          <w:u w:val="single"/>
        </w:rPr>
        <w:t>201</w:t>
      </w:r>
      <w:r>
        <w:rPr>
          <w:rFonts w:hint="eastAsia" w:ascii="宋体" w:hAnsi="宋体"/>
          <w:sz w:val="24"/>
          <w:u w:val="single"/>
        </w:rPr>
        <w:t>9</w:t>
      </w:r>
      <w:r>
        <w:rPr>
          <w:rFonts w:ascii="宋体" w:hAnsi="宋体"/>
          <w:sz w:val="24"/>
          <w:u w:val="single"/>
        </w:rPr>
        <w:t>年</w:t>
      </w:r>
      <w:r>
        <w:rPr>
          <w:rFonts w:hint="eastAsia" w:ascii="宋体" w:hAnsi="宋体"/>
          <w:sz w:val="24"/>
          <w:u w:val="single"/>
        </w:rPr>
        <w:t>5</w:t>
      </w:r>
      <w:r>
        <w:rPr>
          <w:rFonts w:ascii="宋体" w:hAnsi="宋体"/>
          <w:sz w:val="24"/>
          <w:u w:val="single"/>
        </w:rPr>
        <w:t>月</w:t>
      </w:r>
      <w:r>
        <w:rPr>
          <w:rFonts w:hint="eastAsia" w:ascii="宋体" w:hAnsi="宋体"/>
          <w:sz w:val="24"/>
          <w:u w:val="single"/>
          <w:lang w:val="en-US" w:eastAsia="zh-CN"/>
        </w:rPr>
        <w:t>23</w:t>
      </w:r>
      <w:r>
        <w:rPr>
          <w:rFonts w:ascii="宋体" w:hAnsi="宋体"/>
          <w:sz w:val="24"/>
          <w:u w:val="single"/>
        </w:rPr>
        <w:t>日</w:t>
      </w:r>
      <w:r>
        <w:rPr>
          <w:rFonts w:hint="eastAsia" w:ascii="宋体" w:hAnsi="宋体"/>
          <w:sz w:val="24"/>
          <w:u w:val="single"/>
        </w:rPr>
        <w:t>17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</w:rPr>
        <w:t>时</w:t>
      </w:r>
      <w:r>
        <w:rPr>
          <w:rFonts w:ascii="宋体" w:hAnsi="宋体"/>
          <w:sz w:val="24"/>
          <w:u w:val="single"/>
        </w:rPr>
        <w:t>00</w:t>
      </w:r>
      <w:r>
        <w:rPr>
          <w:rFonts w:ascii="宋体" w:hAnsi="宋体"/>
          <w:sz w:val="24"/>
        </w:rPr>
        <w:t>分，提交</w:t>
      </w:r>
      <w:r>
        <w:rPr>
          <w:rFonts w:hint="eastAsia" w:ascii="宋体" w:hAnsi="宋体"/>
          <w:sz w:val="24"/>
          <w:highlight w:val="yellow"/>
        </w:rPr>
        <w:t>比选</w:t>
      </w:r>
      <w:r>
        <w:rPr>
          <w:rFonts w:ascii="宋体" w:hAnsi="宋体"/>
          <w:sz w:val="24"/>
          <w:highlight w:val="yellow"/>
        </w:rPr>
        <w:t>文件的地点为：</w:t>
      </w:r>
      <w:r>
        <w:rPr>
          <w:rFonts w:hint="eastAsia" w:ascii="宋体" w:hAnsi="宋体"/>
          <w:sz w:val="24"/>
          <w:highlight w:val="yellow"/>
        </w:rPr>
        <w:t>福建湄洲湾氯碱工业有限公司</w:t>
      </w:r>
      <w:r>
        <w:rPr>
          <w:rFonts w:hint="eastAsia" w:ascii="宋体" w:hAnsi="宋体" w:cs="宋体"/>
          <w:sz w:val="24"/>
          <w:highlight w:val="yellow"/>
          <w:lang w:bidi="ar"/>
        </w:rPr>
        <w:t>费用控制科室；收件人：叶淑滨；</w:t>
      </w:r>
    </w:p>
    <w:p>
      <w:pPr>
        <w:keepNext w:val="0"/>
        <w:keepLines w:val="0"/>
        <w:pageBreakBefore w:val="0"/>
        <w:widowControl/>
        <w:tabs>
          <w:tab w:val="left" w:pos="900"/>
          <w:tab w:val="left" w:pos="1100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6.2</w:t>
      </w:r>
      <w:r>
        <w:rPr>
          <w:rFonts w:ascii="宋体" w:hAnsi="宋体"/>
          <w:sz w:val="24"/>
        </w:rPr>
        <w:t>逾期送达的或未送达指定地点或</w:t>
      </w:r>
      <w:r>
        <w:rPr>
          <w:rFonts w:hint="eastAsia" w:ascii="宋体" w:hAnsi="宋体"/>
          <w:sz w:val="24"/>
        </w:rPr>
        <w:t>比选</w:t>
      </w:r>
      <w:r>
        <w:rPr>
          <w:rFonts w:ascii="宋体" w:hAnsi="宋体"/>
          <w:sz w:val="24"/>
        </w:rPr>
        <w:t>文件密封不符合规定要求的投标文件，</w:t>
      </w:r>
      <w:r>
        <w:rPr>
          <w:rFonts w:hint="eastAsia" w:ascii="宋体" w:hAnsi="宋体"/>
          <w:sz w:val="24"/>
        </w:rPr>
        <w:t>招比选</w:t>
      </w:r>
      <w:r>
        <w:rPr>
          <w:rFonts w:ascii="宋体" w:hAnsi="宋体"/>
          <w:sz w:val="24"/>
        </w:rPr>
        <w:t>人不予受理。</w:t>
      </w:r>
    </w:p>
    <w:p>
      <w:pPr>
        <w:keepNext w:val="0"/>
        <w:keepLines w:val="0"/>
        <w:pageBreakBefore w:val="0"/>
        <w:widowControl/>
        <w:tabs>
          <w:tab w:val="left" w:pos="900"/>
          <w:tab w:val="left" w:pos="1100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6.3开选日期：2019年5月</w:t>
      </w:r>
      <w:r>
        <w:rPr>
          <w:rFonts w:hint="eastAsia" w:ascii="宋体" w:hAnsi="宋体"/>
          <w:sz w:val="24"/>
          <w:lang w:val="en-US" w:eastAsia="zh-CN"/>
        </w:rPr>
        <w:t>24</w:t>
      </w:r>
      <w:r>
        <w:rPr>
          <w:rFonts w:hint="eastAsia" w:ascii="宋体" w:hAnsi="宋体"/>
          <w:sz w:val="24"/>
        </w:rPr>
        <w:t>日或另行通知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900"/>
          <w:tab w:val="left" w:pos="1100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b/>
          <w:sz w:val="24"/>
        </w:rPr>
      </w:pPr>
      <w:r>
        <w:rPr>
          <w:rFonts w:ascii="宋体" w:hAnsi="宋体"/>
          <w:b/>
          <w:sz w:val="24"/>
        </w:rPr>
        <w:t>联系方式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招比选人：福建湄洲湾氯碱工业有限公司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地址：</w:t>
      </w:r>
      <w:r>
        <w:rPr>
          <w:rFonts w:ascii="宋体" w:hAnsi="宋体"/>
          <w:sz w:val="24"/>
          <w:u w:val="single"/>
        </w:rPr>
        <w:t>福建省泉州市泉港区</w:t>
      </w:r>
      <w:r>
        <w:rPr>
          <w:rFonts w:hint="eastAsia" w:ascii="宋体" w:hAnsi="宋体"/>
          <w:sz w:val="24"/>
          <w:u w:val="single"/>
        </w:rPr>
        <w:t>南山北路1137号</w:t>
      </w:r>
      <w:r>
        <w:rPr>
          <w:rFonts w:ascii="宋体" w:hAnsi="宋体"/>
          <w:sz w:val="24"/>
        </w:rPr>
        <w:t xml:space="preserve">      邮编：</w:t>
      </w:r>
      <w:r>
        <w:rPr>
          <w:rFonts w:ascii="宋体" w:hAnsi="宋体"/>
          <w:sz w:val="24"/>
          <w:u w:val="single"/>
        </w:rPr>
        <w:t>362800</w:t>
      </w:r>
    </w:p>
    <w:p>
      <w:pPr>
        <w:keepNext w:val="0"/>
        <w:keepLines w:val="0"/>
        <w:pageBreakBefore w:val="0"/>
        <w:tabs>
          <w:tab w:val="left" w:pos="5400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b/>
          <w:sz w:val="24"/>
        </w:rPr>
      </w:pPr>
      <w:r>
        <w:rPr>
          <w:rFonts w:ascii="宋体" w:hAnsi="宋体"/>
          <w:sz w:val="24"/>
        </w:rPr>
        <w:t>电话：</w:t>
      </w:r>
      <w:r>
        <w:rPr>
          <w:rFonts w:ascii="宋体" w:hAnsi="宋体"/>
          <w:sz w:val="24"/>
          <w:u w:val="single"/>
        </w:rPr>
        <w:t>0595-</w:t>
      </w:r>
      <w:r>
        <w:rPr>
          <w:rFonts w:hint="eastAsia" w:ascii="宋体" w:hAnsi="宋体"/>
          <w:sz w:val="24"/>
          <w:u w:val="single"/>
        </w:rPr>
        <w:t>87027337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sz w:val="24"/>
          <w:u w:val="single"/>
        </w:rPr>
      </w:pPr>
      <w:r>
        <w:rPr>
          <w:rFonts w:ascii="宋体" w:hAnsi="宋体"/>
          <w:sz w:val="24"/>
        </w:rPr>
        <w:t>联系人：</w:t>
      </w:r>
      <w:r>
        <w:rPr>
          <w:rFonts w:hint="eastAsia" w:ascii="宋体" w:hAnsi="宋体"/>
          <w:sz w:val="24"/>
          <w:u w:val="single"/>
        </w:rPr>
        <w:t>洪女士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公司纪检监察室：0595-87027060联系人：赖主任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集团纪检监察室：0591-87525133 联系人：林主任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0" w:firstLineChars="0"/>
        <w:jc w:val="both"/>
        <w:textAlignment w:val="auto"/>
        <w:outlineLvl w:val="9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."/>
      <w:lvlJc w:val="left"/>
      <w:pPr>
        <w:tabs>
          <w:tab w:val="left" w:pos="510"/>
        </w:tabs>
        <w:ind w:left="0" w:firstLine="510"/>
      </w:pPr>
      <w:rPr>
        <w:rFonts w:hint="eastAsia"/>
        <w:i w:val="0"/>
        <w:sz w:val="24"/>
      </w:rPr>
    </w:lvl>
    <w:lvl w:ilvl="1" w:tentative="0">
      <w:start w:val="1"/>
      <w:numFmt w:val="decimal"/>
      <w:lvlText w:val="%1.%2."/>
      <w:lvlJc w:val="left"/>
      <w:pPr>
        <w:tabs>
          <w:tab w:val="left" w:pos="510"/>
        </w:tabs>
        <w:ind w:left="0" w:firstLine="510"/>
      </w:pPr>
      <w:rPr>
        <w:rFonts w:hint="eastAsia" w:ascii="宋体" w:hAnsi="宋体" w:eastAsia="宋体"/>
        <w:b w:val="0"/>
        <w:i w:val="0"/>
      </w:rPr>
    </w:lvl>
    <w:lvl w:ilvl="2" w:tentative="0">
      <w:start w:val="1"/>
      <w:numFmt w:val="decimal"/>
      <w:lvlText w:val="%1.%2.%3."/>
      <w:lvlJc w:val="left"/>
      <w:pPr>
        <w:tabs>
          <w:tab w:val="left" w:pos="510"/>
        </w:tabs>
        <w:ind w:left="0" w:firstLine="510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510"/>
        </w:tabs>
        <w:ind w:left="0" w:firstLine="51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1">
    <w:nsid w:val="0000000B"/>
    <w:multiLevelType w:val="multilevel"/>
    <w:tmpl w:val="0000000B"/>
    <w:lvl w:ilvl="0" w:tentative="0">
      <w:start w:val="1"/>
      <w:numFmt w:val="chineseCountingThousand"/>
      <w:pStyle w:val="2"/>
      <w:isLgl/>
      <w:suff w:val="space"/>
      <w:lvlText w:val="第%1章"/>
      <w:lvlJc w:val="center"/>
      <w:pPr>
        <w:ind w:left="2790" w:hanging="68"/>
      </w:pPr>
      <w:rPr>
        <w:rFonts w:hint="eastAsia" w:ascii="黑体" w:eastAsia="黑体"/>
        <w:b/>
        <w:sz w:val="36"/>
        <w:szCs w:val="36"/>
      </w:rPr>
    </w:lvl>
    <w:lvl w:ilvl="1" w:tentative="0">
      <w:start w:val="1"/>
      <w:numFmt w:val="chineseCountingThousand"/>
      <w:suff w:val="space"/>
      <w:lvlText w:val="%2"/>
      <w:lvlJc w:val="left"/>
      <w:pPr>
        <w:ind w:left="1140" w:hanging="630"/>
      </w:pPr>
      <w:rPr>
        <w:rFonts w:hint="eastAsia" w:eastAsia="宋体"/>
        <w:b/>
        <w:sz w:val="24"/>
        <w:szCs w:val="24"/>
      </w:rPr>
    </w:lvl>
    <w:lvl w:ilvl="2" w:tentative="0">
      <w:start w:val="1"/>
      <w:numFmt w:val="chineseCountingThousand"/>
      <w:suff w:val="space"/>
      <w:lvlText w:val="（%3）"/>
      <w:lvlJc w:val="left"/>
      <w:pPr>
        <w:ind w:left="0" w:firstLine="510"/>
      </w:pPr>
      <w:rPr>
        <w:rFonts w:hint="eastAsia"/>
        <w:b/>
        <w:sz w:val="24"/>
        <w:szCs w:val="24"/>
      </w:rPr>
    </w:lvl>
    <w:lvl w:ilvl="3" w:tentative="0">
      <w:start w:val="1"/>
      <w:numFmt w:val="decimal"/>
      <w:suff w:val="space"/>
      <w:lvlText w:val="%4"/>
      <w:lvlJc w:val="left"/>
      <w:pPr>
        <w:ind w:left="0" w:firstLine="510"/>
      </w:pPr>
      <w:rPr>
        <w:rFonts w:hint="eastAsia" w:eastAsia="宋体"/>
        <w:sz w:val="24"/>
        <w:szCs w:val="24"/>
      </w:rPr>
    </w:lvl>
    <w:lvl w:ilvl="4" w:tentative="0">
      <w:start w:val="1"/>
      <w:numFmt w:val="decimal"/>
      <w:lvlText w:val="%5)"/>
      <w:lvlJc w:val="left"/>
      <w:pPr>
        <w:tabs>
          <w:tab w:val="left" w:pos="510"/>
        </w:tabs>
        <w:ind w:left="0" w:firstLine="510"/>
      </w:pPr>
      <w:rPr>
        <w:rFonts w:hint="eastAsia"/>
      </w:rPr>
    </w:lvl>
    <w:lvl w:ilvl="5" w:tentative="0">
      <w:start w:val="1"/>
      <w:numFmt w:val="upperLetter"/>
      <w:lvlText w:val="%6."/>
      <w:lvlJc w:val="right"/>
      <w:pPr>
        <w:tabs>
          <w:tab w:val="left" w:pos="510"/>
        </w:tabs>
        <w:ind w:left="0" w:firstLine="51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D37059"/>
    <w:rsid w:val="27D37059"/>
    <w:rsid w:val="340739BB"/>
    <w:rsid w:val="70A01EB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after="330" w:afterLines="0" w:line="578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rFonts w:eastAsia="宋体"/>
      <w:kern w:val="2"/>
      <w:sz w:val="21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9">
    <w:name w:val="p0"/>
    <w:basedOn w:val="1"/>
    <w:uiPriority w:val="0"/>
    <w:pPr>
      <w:widowControl/>
      <w:adjustRightInd/>
      <w:snapToGrid w:val="0"/>
      <w:textAlignment w:val="auto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2019-05-13T02:54:00Z</dcterms:created>
  <dc:creator>洪晓彬</dc:creator>
  <cp:lastModifiedBy>admin</cp:lastModifiedBy>
  <dcterms:modified xsi:type="dcterms:W3CDTF">2019-05-14T03:55:15Z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