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bCs/>
          <w:sz w:val="52"/>
          <w:szCs w:val="52"/>
        </w:rPr>
      </w:pPr>
      <w:r>
        <w:rPr>
          <w:rFonts w:hint="eastAsia" w:ascii="宋体" w:hAnsi="宋体" w:cs="黑体"/>
          <w:b/>
          <w:bCs/>
          <w:sz w:val="52"/>
          <w:szCs w:val="52"/>
        </w:rPr>
        <w:t>福建省东南电化股份有限公司</w:t>
      </w:r>
    </w:p>
    <w:p>
      <w:pPr>
        <w:jc w:val="center"/>
        <w:rPr>
          <w:rFonts w:ascii="宋体" w:hAnsi="宋体" w:cs="黑体"/>
          <w:b/>
          <w:bCs/>
          <w:sz w:val="52"/>
          <w:szCs w:val="52"/>
        </w:rPr>
      </w:pPr>
      <w:r>
        <w:rPr>
          <w:rFonts w:hint="eastAsia" w:ascii="宋体" w:hAnsi="宋体" w:cs="黑体"/>
          <w:b/>
          <w:bCs/>
          <w:sz w:val="52"/>
          <w:szCs w:val="52"/>
        </w:rPr>
        <w:t>TDI各低压变电所</w:t>
      </w:r>
    </w:p>
    <w:p>
      <w:pPr>
        <w:jc w:val="center"/>
        <w:rPr>
          <w:rFonts w:ascii="宋体" w:hAnsi="宋体" w:cs="黑体"/>
          <w:b/>
          <w:bCs/>
          <w:sz w:val="52"/>
          <w:szCs w:val="52"/>
        </w:rPr>
      </w:pPr>
      <w:r>
        <w:rPr>
          <w:rFonts w:hint="eastAsia" w:ascii="宋体" w:hAnsi="宋体" w:cs="黑体"/>
          <w:b/>
          <w:bCs/>
          <w:sz w:val="52"/>
          <w:szCs w:val="52"/>
        </w:rPr>
        <w:t>马达保护器升级改造</w:t>
      </w:r>
    </w:p>
    <w:p>
      <w:pPr>
        <w:jc w:val="center"/>
        <w:rPr>
          <w:rFonts w:ascii="宋体" w:hAnsi="宋体" w:cs="黑体"/>
          <w:b/>
          <w:bCs/>
          <w:sz w:val="52"/>
          <w:szCs w:val="52"/>
        </w:rPr>
      </w:pPr>
    </w:p>
    <w:p>
      <w:pPr>
        <w:jc w:val="center"/>
        <w:rPr>
          <w:rFonts w:ascii="宋体" w:hAnsi="宋体" w:cs="黑体"/>
          <w:b/>
          <w:bCs/>
          <w:sz w:val="52"/>
          <w:szCs w:val="52"/>
        </w:rPr>
      </w:pPr>
      <w:r>
        <w:rPr>
          <w:rFonts w:hint="eastAsia" w:ascii="宋体" w:hAnsi="宋体" w:cs="黑体"/>
          <w:b/>
          <w:bCs/>
          <w:sz w:val="52"/>
          <w:szCs w:val="52"/>
        </w:rPr>
        <w:t>技术规格书</w:t>
      </w:r>
    </w:p>
    <w:p>
      <w:pPr>
        <w:jc w:val="center"/>
        <w:rPr>
          <w:rFonts w:ascii="宋体" w:hAnsi="宋体" w:cs="黑体"/>
          <w:b/>
          <w:bCs/>
          <w:sz w:val="52"/>
          <w:szCs w:val="52"/>
        </w:rPr>
      </w:pPr>
    </w:p>
    <w:p>
      <w:pPr>
        <w:jc w:val="center"/>
        <w:rPr>
          <w:rFonts w:ascii="宋体" w:hAnsi="宋体" w:cs="黑体"/>
          <w:b/>
          <w:bCs/>
          <w:sz w:val="52"/>
          <w:szCs w:val="52"/>
        </w:rPr>
      </w:pPr>
    </w:p>
    <w:p>
      <w:pPr>
        <w:jc w:val="center"/>
        <w:rPr>
          <w:rFonts w:ascii="宋体" w:hAnsi="宋体" w:cs="黑体"/>
          <w:b/>
          <w:bCs/>
          <w:sz w:val="52"/>
          <w:szCs w:val="52"/>
        </w:rPr>
      </w:pPr>
    </w:p>
    <w:p>
      <w:pPr>
        <w:jc w:val="center"/>
        <w:rPr>
          <w:rFonts w:ascii="宋体" w:hAnsi="宋体" w:cs="黑体"/>
          <w:b/>
          <w:bCs/>
          <w:sz w:val="52"/>
          <w:szCs w:val="52"/>
        </w:rPr>
      </w:pPr>
    </w:p>
    <w:p>
      <w:pPr>
        <w:jc w:val="center"/>
        <w:rPr>
          <w:rFonts w:ascii="宋体" w:hAnsi="宋体" w:cs="黑体"/>
          <w:b/>
          <w:bCs/>
          <w:sz w:val="52"/>
          <w:szCs w:val="52"/>
        </w:rPr>
      </w:pPr>
    </w:p>
    <w:p>
      <w:pPr>
        <w:jc w:val="center"/>
        <w:rPr>
          <w:rFonts w:ascii="宋体" w:hAnsi="宋体" w:cs="黑体"/>
          <w:b/>
          <w:bCs/>
          <w:sz w:val="32"/>
          <w:szCs w:val="32"/>
        </w:rPr>
      </w:pPr>
      <w:r>
        <w:rPr>
          <w:rFonts w:hint="eastAsia" w:ascii="宋体" w:hAnsi="宋体" w:cs="黑体"/>
          <w:b/>
          <w:bCs/>
          <w:sz w:val="32"/>
          <w:szCs w:val="32"/>
        </w:rPr>
        <w:t>二〇一九年三月</w:t>
      </w:r>
    </w:p>
    <w:p>
      <w:pPr>
        <w:widowControl/>
        <w:adjustRightInd/>
        <w:spacing w:line="240" w:lineRule="auto"/>
        <w:jc w:val="left"/>
        <w:textAlignment w:val="auto"/>
      </w:pPr>
      <w:r>
        <w:br w:type="page"/>
      </w:r>
    </w:p>
    <w:p>
      <w:pPr>
        <w:widowControl/>
        <w:adjustRightInd/>
        <w:spacing w:line="240" w:lineRule="auto"/>
        <w:jc w:val="left"/>
        <w:textAlignment w:val="auto"/>
      </w:pPr>
    </w:p>
    <w:sdt>
      <w:sdtPr>
        <w:rPr>
          <w:rFonts w:ascii="Times New Roman" w:hAnsi="Times New Roman" w:eastAsia="宋体" w:cs="Times New Roman"/>
          <w:color w:val="auto"/>
          <w:sz w:val="20"/>
          <w:szCs w:val="20"/>
          <w:lang w:val="zh-CN"/>
        </w:rPr>
        <w:id w:val="-1420015943"/>
      </w:sdtPr>
      <w:sdtEndPr>
        <w:rPr>
          <w:rFonts w:ascii="Times New Roman" w:hAnsi="Times New Roman" w:eastAsia="宋体" w:cs="Times New Roman"/>
          <w:b/>
          <w:bCs/>
          <w:color w:val="auto"/>
          <w:sz w:val="20"/>
          <w:szCs w:val="20"/>
          <w:lang w:val="zh-CN"/>
        </w:rPr>
      </w:sdtEndPr>
      <w:sdtContent>
        <w:p>
          <w:pPr>
            <w:pStyle w:val="16"/>
            <w:jc w:val="center"/>
          </w:pPr>
          <w:r>
            <w:rPr>
              <w:rFonts w:hint="eastAsia" w:ascii="宋体" w:hAnsi="宋体" w:eastAsia="宋体" w:cs="宋体"/>
              <w:lang w:val="zh-CN"/>
            </w:rPr>
            <w:t>目录</w:t>
          </w:r>
        </w:p>
        <w:p>
          <w:pPr>
            <w:pStyle w:val="6"/>
            <w:tabs>
              <w:tab w:val="right" w:leader="dot" w:pos="8296"/>
            </w:tabs>
            <w:jc w:val="center"/>
            <w:rPr>
              <w:rFonts w:ascii="宋体" w:hAnsi="宋体" w:cs="宋体"/>
              <w:sz w:val="24"/>
              <w:szCs w:val="24"/>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"_Toc536818604" </w:instrText>
          </w:r>
          <w:r>
            <w:fldChar w:fldCharType="separate"/>
          </w:r>
          <w:r>
            <w:rPr>
              <w:rStyle w:val="8"/>
              <w:rFonts w:hint="eastAsia" w:ascii="宋体" w:hAnsi="宋体" w:cs="宋体"/>
              <w:snapToGrid w:val="0"/>
              <w:sz w:val="24"/>
              <w:szCs w:val="24"/>
            </w:rPr>
            <w:t>1 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6"/>
            <w:tabs>
              <w:tab w:val="right" w:leader="dot" w:pos="8296"/>
            </w:tabs>
            <w:jc w:val="center"/>
            <w:rPr>
              <w:rFonts w:ascii="宋体" w:hAnsi="宋体" w:cs="宋体"/>
              <w:sz w:val="24"/>
              <w:szCs w:val="24"/>
            </w:rPr>
          </w:pPr>
          <w:r>
            <w:fldChar w:fldCharType="begin"/>
          </w:r>
          <w:r>
            <w:instrText xml:space="preserve"> HYPERLINK \l "_Toc536818605" </w:instrText>
          </w:r>
          <w:r>
            <w:fldChar w:fldCharType="separate"/>
          </w:r>
          <w:r>
            <w:rPr>
              <w:rStyle w:val="8"/>
              <w:rFonts w:hint="eastAsia" w:ascii="宋体" w:hAnsi="宋体" w:cs="宋体"/>
              <w:snapToGrid w:val="0"/>
              <w:sz w:val="24"/>
              <w:szCs w:val="24"/>
            </w:rPr>
            <w:t>2 概述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_Toc536818605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6"/>
            <w:tabs>
              <w:tab w:val="right" w:leader="dot" w:pos="8296"/>
            </w:tabs>
            <w:jc w:val="center"/>
            <w:rPr>
              <w:rFonts w:ascii="宋体" w:hAnsi="宋体" w:cs="宋体"/>
              <w:sz w:val="24"/>
              <w:szCs w:val="24"/>
            </w:rPr>
          </w:pPr>
          <w:r>
            <w:fldChar w:fldCharType="begin"/>
          </w:r>
          <w:r>
            <w:instrText xml:space="preserve"> HYPERLINK \l "_Toc536818606" </w:instrText>
          </w:r>
          <w:r>
            <w:fldChar w:fldCharType="separate"/>
          </w:r>
          <w:r>
            <w:rPr>
              <w:rStyle w:val="8"/>
              <w:rFonts w:hint="eastAsia" w:ascii="宋体" w:hAnsi="宋体" w:cs="宋体"/>
              <w:snapToGrid w:val="0"/>
              <w:sz w:val="24"/>
              <w:szCs w:val="24"/>
            </w:rPr>
            <w:t>3设备规格及数量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_Toc536818606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6"/>
            <w:tabs>
              <w:tab w:val="right" w:leader="dot" w:pos="8296"/>
            </w:tabs>
            <w:jc w:val="center"/>
            <w:rPr>
              <w:rFonts w:ascii="宋体" w:hAnsi="宋体" w:cs="宋体"/>
              <w:sz w:val="24"/>
              <w:szCs w:val="24"/>
            </w:rPr>
          </w:pPr>
          <w:r>
            <w:fldChar w:fldCharType="begin"/>
          </w:r>
          <w:r>
            <w:instrText xml:space="preserve"> HYPERLINK \l "_Toc536818607" </w:instrText>
          </w:r>
          <w:r>
            <w:fldChar w:fldCharType="separate"/>
          </w:r>
          <w:r>
            <w:rPr>
              <w:rStyle w:val="8"/>
              <w:rFonts w:hint="eastAsia" w:ascii="宋体" w:hAnsi="宋体" w:cs="宋体"/>
              <w:snapToGrid w:val="0"/>
              <w:sz w:val="24"/>
              <w:szCs w:val="24"/>
            </w:rPr>
            <w:t>4技术条件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_Toc536818607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6"/>
            <w:tabs>
              <w:tab w:val="right" w:leader="dot" w:pos="8296"/>
            </w:tabs>
            <w:jc w:val="center"/>
            <w:rPr>
              <w:rFonts w:ascii="宋体" w:hAnsi="宋体" w:cs="宋体"/>
              <w:sz w:val="24"/>
              <w:szCs w:val="24"/>
            </w:rPr>
          </w:pPr>
          <w:r>
            <w:fldChar w:fldCharType="begin"/>
          </w:r>
          <w:r>
            <w:instrText xml:space="preserve"> HYPERLINK \l "_Toc536818608" </w:instrText>
          </w:r>
          <w:r>
            <w:fldChar w:fldCharType="separate"/>
          </w:r>
          <w:r>
            <w:rPr>
              <w:rStyle w:val="8"/>
              <w:rFonts w:hint="eastAsia" w:ascii="宋体" w:hAnsi="宋体" w:cs="宋体"/>
              <w:snapToGrid w:val="0"/>
              <w:sz w:val="24"/>
              <w:szCs w:val="24"/>
            </w:rPr>
            <w:t>5.设备安装调试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_Toc536818608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6"/>
            <w:tabs>
              <w:tab w:val="right" w:leader="dot" w:pos="8296"/>
            </w:tabs>
            <w:jc w:val="center"/>
          </w:pPr>
          <w:r>
            <w:fldChar w:fldCharType="begin"/>
          </w:r>
          <w:r>
            <w:instrText xml:space="preserve"> HYPERLINK \l "_Toc536818609" </w:instrText>
          </w:r>
          <w:r>
            <w:fldChar w:fldCharType="separate"/>
          </w:r>
          <w:r>
            <w:rPr>
              <w:rStyle w:val="8"/>
              <w:rFonts w:hint="eastAsia" w:ascii="宋体" w:hAnsi="宋体" w:cs="宋体"/>
              <w:snapToGrid w:val="0"/>
              <w:sz w:val="24"/>
              <w:szCs w:val="24"/>
            </w:rPr>
            <w:t>6 质量保证和试验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_Toc536818609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jc w:val="center"/>
          </w:pPr>
          <w:r>
            <w:rPr>
              <w:b/>
              <w:bCs/>
              <w:lang w:val="zh-CN"/>
            </w:rPr>
            <w:fldChar w:fldCharType="end"/>
          </w:r>
        </w:p>
      </w:sdtContent>
    </w:sdt>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widowControl/>
        <w:adjustRightInd/>
        <w:spacing w:line="240" w:lineRule="auto"/>
        <w:jc w:val="left"/>
        <w:textAlignment w:val="auto"/>
      </w:pPr>
    </w:p>
    <w:p>
      <w:pPr>
        <w:pStyle w:val="2"/>
        <w:rPr>
          <w:snapToGrid w:val="0"/>
        </w:rPr>
      </w:pPr>
      <w:bookmarkStart w:id="0" w:name="_Toc529979650"/>
      <w:bookmarkStart w:id="1" w:name="_Toc536818604"/>
      <w:r>
        <w:rPr>
          <w:rFonts w:hint="eastAsia" w:ascii="宋体" w:hAnsi="宋体" w:cs="宋体"/>
          <w:snapToGrid w:val="0"/>
        </w:rPr>
        <w:t>1 总则</w:t>
      </w:r>
      <w:bookmarkEnd w:id="0"/>
      <w:bookmarkEnd w:id="1"/>
    </w:p>
    <w:p>
      <w:pPr>
        <w:snapToGrid w:val="0"/>
        <w:spacing w:line="360" w:lineRule="auto"/>
        <w:rPr>
          <w:rFonts w:ascii="宋体" w:hAnsi="宋体" w:cs="宋体"/>
          <w:sz w:val="24"/>
          <w:szCs w:val="24"/>
        </w:rPr>
      </w:pPr>
      <w:r>
        <w:rPr>
          <w:rFonts w:hint="eastAsia" w:ascii="宋体" w:hAnsi="宋体" w:cs="宋体"/>
          <w:sz w:val="24"/>
          <w:szCs w:val="24"/>
        </w:rPr>
        <w:t>1.1 本技术规范书适用于福建省东南电化股份有限公司TDI各低压变电所马达保护器升级改造</w:t>
      </w:r>
      <w:r>
        <w:rPr>
          <w:rFonts w:hint="eastAsia" w:ascii="宋体" w:hAnsi="宋体" w:cs="宋体"/>
          <w:bCs/>
          <w:w w:val="90"/>
          <w:sz w:val="24"/>
          <w:szCs w:val="24"/>
        </w:rPr>
        <w:t>项目的</w:t>
      </w:r>
      <w:r>
        <w:rPr>
          <w:rFonts w:hint="eastAsia" w:ascii="宋体" w:hAnsi="宋体" w:cs="宋体"/>
          <w:sz w:val="24"/>
          <w:szCs w:val="24"/>
        </w:rPr>
        <w:t>采购、安装和调试，它提出了该系统功能设计、结构、性能、安装和试验等方面的技术要求。</w:t>
      </w:r>
    </w:p>
    <w:p>
      <w:pPr>
        <w:snapToGrid w:val="0"/>
        <w:spacing w:line="360" w:lineRule="auto"/>
        <w:rPr>
          <w:rFonts w:ascii="宋体" w:hAnsi="宋体" w:cs="宋体"/>
          <w:sz w:val="24"/>
          <w:szCs w:val="24"/>
        </w:rPr>
      </w:pPr>
      <w:r>
        <w:rPr>
          <w:rFonts w:hint="eastAsia" w:ascii="宋体" w:hAnsi="宋体" w:cs="宋体"/>
          <w:sz w:val="24"/>
          <w:szCs w:val="24"/>
        </w:rPr>
        <w:t>1.2 本设备技术规范提出的是最低限度的技术要求，并未对一切技术细节作出规定，也未充分引述有关标准和规范的条文，投标方应提供符合工业标准和本规范书的优质产品。</w:t>
      </w:r>
    </w:p>
    <w:p>
      <w:pPr>
        <w:snapToGrid w:val="0"/>
        <w:spacing w:line="360" w:lineRule="auto"/>
        <w:rPr>
          <w:rFonts w:ascii="宋体" w:hAnsi="宋体" w:cs="宋体"/>
          <w:sz w:val="24"/>
          <w:szCs w:val="24"/>
        </w:rPr>
      </w:pPr>
      <w:r>
        <w:rPr>
          <w:rFonts w:hint="eastAsia" w:ascii="宋体" w:hAnsi="宋体" w:cs="宋体"/>
          <w:sz w:val="24"/>
          <w:szCs w:val="24"/>
        </w:rPr>
        <w:t>1.3 本设备技术规范所使用的标准如遇与投标方所执行的标准不一致时，按较高标准执行。</w:t>
      </w:r>
    </w:p>
    <w:p>
      <w:pPr>
        <w:snapToGrid w:val="0"/>
        <w:spacing w:line="360" w:lineRule="auto"/>
        <w:rPr>
          <w:rFonts w:ascii="宋体" w:hAnsi="宋体" w:cs="宋体"/>
          <w:sz w:val="24"/>
          <w:szCs w:val="24"/>
        </w:rPr>
      </w:pPr>
      <w:r>
        <w:rPr>
          <w:rFonts w:hint="eastAsia" w:ascii="宋体" w:hAnsi="宋体" w:cs="宋体"/>
          <w:sz w:val="24"/>
          <w:szCs w:val="24"/>
        </w:rPr>
        <w:t>1.4 本设备技术规范经招、投标双方确认后作为定货合同的技术附件，与合同正文具有同等的法律效力。</w:t>
      </w:r>
    </w:p>
    <w:p>
      <w:pPr>
        <w:snapToGrid w:val="0"/>
        <w:spacing w:line="360" w:lineRule="auto"/>
        <w:rPr>
          <w:rFonts w:ascii="宋体" w:hAnsi="宋体" w:cs="宋体"/>
          <w:sz w:val="24"/>
          <w:szCs w:val="24"/>
        </w:rPr>
      </w:pPr>
      <w:r>
        <w:rPr>
          <w:rFonts w:hint="eastAsia" w:ascii="宋体" w:hAnsi="宋体" w:cs="宋体"/>
          <w:sz w:val="24"/>
          <w:szCs w:val="24"/>
        </w:rPr>
        <w:t>1.5 本设备技术规范未尽事宜，由招、投标双方协商确定。</w:t>
      </w:r>
    </w:p>
    <w:p>
      <w:pPr>
        <w:snapToGrid w:val="0"/>
        <w:spacing w:line="360" w:lineRule="auto"/>
        <w:rPr>
          <w:rFonts w:hint="eastAsia" w:ascii="宋体" w:hAnsi="宋体"/>
          <w:sz w:val="24"/>
          <w:szCs w:val="28"/>
          <w:highlight w:val="yellow"/>
        </w:rPr>
      </w:pPr>
      <w:r>
        <w:rPr>
          <w:rFonts w:hint="eastAsia" w:ascii="宋体" w:hAnsi="宋体" w:cs="宋体"/>
          <w:color w:val="FF0000"/>
          <w:sz w:val="24"/>
          <w:szCs w:val="24"/>
        </w:rPr>
        <w:t>1.6 本规范书对首要条件是供应商</w:t>
      </w:r>
      <w:r>
        <w:rPr>
          <w:rFonts w:hint="eastAsia" w:ascii="宋体" w:hAnsi="宋体"/>
          <w:sz w:val="24"/>
          <w:szCs w:val="28"/>
          <w:highlight w:val="yellow"/>
        </w:rPr>
        <w:t>有良好服务业绩的证明，提供制造商2016年—2018年（</w:t>
      </w:r>
      <w:r>
        <w:rPr>
          <w:rFonts w:hint="eastAsia" w:ascii="宋体" w:hAnsi="宋体"/>
          <w:color w:val="FF0000"/>
          <w:sz w:val="24"/>
          <w:szCs w:val="28"/>
          <w:highlight w:val="yellow"/>
        </w:rPr>
        <w:t>不少于两个类似项目的合同复印件或运行报告复印件</w:t>
      </w:r>
      <w:r>
        <w:rPr>
          <w:rFonts w:hint="eastAsia" w:ascii="宋体" w:hAnsi="宋体"/>
          <w:color w:val="FF0000"/>
          <w:sz w:val="24"/>
          <w:szCs w:val="28"/>
          <w:highlight w:val="yellow"/>
          <w:lang w:eastAsia="zh-CN"/>
        </w:rPr>
        <w:t>（</w:t>
      </w:r>
      <w:r>
        <w:rPr>
          <w:rFonts w:hint="eastAsia" w:ascii="宋体" w:hAnsi="宋体"/>
          <w:color w:val="FF0000"/>
          <w:sz w:val="24"/>
          <w:szCs w:val="28"/>
          <w:highlight w:val="yellow"/>
          <w:lang w:val="en-US" w:eastAsia="zh-CN"/>
        </w:rPr>
        <w:t>两者选其一</w:t>
      </w:r>
      <w:r>
        <w:rPr>
          <w:rFonts w:hint="eastAsia" w:ascii="宋体" w:hAnsi="宋体"/>
          <w:color w:val="FF0000"/>
          <w:sz w:val="24"/>
          <w:szCs w:val="28"/>
          <w:highlight w:val="yellow"/>
          <w:lang w:eastAsia="zh-CN"/>
        </w:rPr>
        <w:t>）</w:t>
      </w:r>
      <w:r>
        <w:rPr>
          <w:rFonts w:hint="eastAsia" w:ascii="宋体" w:hAnsi="宋体"/>
          <w:color w:val="FF0000"/>
          <w:sz w:val="24"/>
          <w:szCs w:val="28"/>
          <w:highlight w:val="yellow"/>
        </w:rPr>
        <w:t>等相关证明文件</w:t>
      </w:r>
      <w:r>
        <w:rPr>
          <w:rFonts w:hint="eastAsia" w:ascii="宋体" w:hAnsi="宋体"/>
          <w:sz w:val="24"/>
          <w:szCs w:val="28"/>
          <w:highlight w:val="yellow"/>
        </w:rPr>
        <w:t>）；凡弄虚作假的，一经查实，比选人有权取消其中选资格。</w:t>
      </w:r>
    </w:p>
    <w:p>
      <w:pPr>
        <w:snapToGrid w:val="0"/>
        <w:spacing w:line="360" w:lineRule="auto"/>
        <w:rPr>
          <w:rFonts w:ascii="宋体" w:hAnsi="宋体" w:cs="宋体"/>
          <w:sz w:val="24"/>
          <w:szCs w:val="24"/>
        </w:rPr>
      </w:pPr>
      <w:r>
        <w:rPr>
          <w:rFonts w:hint="eastAsia" w:ascii="宋体" w:hAnsi="宋体" w:cs="宋体"/>
          <w:sz w:val="24"/>
          <w:szCs w:val="24"/>
        </w:rPr>
        <w:t>1.7 投标方应对所中标范围内的设备、附件负有全责。</w:t>
      </w:r>
    </w:p>
    <w:p>
      <w:pPr>
        <w:snapToGrid w:val="0"/>
        <w:spacing w:line="360" w:lineRule="auto"/>
        <w:rPr>
          <w:rFonts w:ascii="宋体" w:hAnsi="宋体" w:cs="宋体"/>
          <w:sz w:val="24"/>
          <w:szCs w:val="24"/>
        </w:rPr>
      </w:pPr>
      <w:r>
        <w:rPr>
          <w:rFonts w:hint="eastAsia" w:ascii="宋体" w:hAnsi="宋体" w:cs="宋体"/>
          <w:sz w:val="24"/>
          <w:szCs w:val="24"/>
        </w:rPr>
        <w:t>1.8 如因设备、附件等的设计选型，制造质量问题造成设备无法正常运行，投标方必须为此负全部直接责任。</w:t>
      </w:r>
    </w:p>
    <w:p>
      <w:pPr>
        <w:snapToGrid w:val="0"/>
        <w:spacing w:line="360" w:lineRule="auto"/>
        <w:rPr>
          <w:rFonts w:ascii="宋体" w:hAnsi="宋体" w:cs="宋体"/>
          <w:sz w:val="24"/>
          <w:szCs w:val="24"/>
        </w:rPr>
      </w:pPr>
      <w:r>
        <w:rPr>
          <w:rFonts w:hint="eastAsia" w:ascii="宋体" w:hAnsi="宋体" w:cs="宋体"/>
          <w:sz w:val="24"/>
          <w:szCs w:val="24"/>
        </w:rPr>
        <w:t>1.9 本技术规范书使用的标准如遇与投标方所执行的标准发生矛盾时，按较高标准执行，在此期间若颁布有较高要求的技术标准及规定、规范，则应以最新技术、标准、规范执行。　</w:t>
      </w:r>
    </w:p>
    <w:p>
      <w:pPr>
        <w:snapToGrid w:val="0"/>
        <w:spacing w:line="360" w:lineRule="auto"/>
        <w:rPr>
          <w:rFonts w:ascii="宋体" w:hAnsi="宋体" w:cs="宋体"/>
          <w:sz w:val="24"/>
          <w:szCs w:val="24"/>
        </w:rPr>
      </w:pPr>
      <w:r>
        <w:rPr>
          <w:rFonts w:hint="eastAsia" w:ascii="宋体" w:hAnsi="宋体" w:cs="宋体"/>
          <w:sz w:val="24"/>
          <w:szCs w:val="24"/>
        </w:rPr>
        <w:t>1.10 如果投标方没有以书面形式对本规范书条文提出异议，那么招标方可认为投标方提供的产品完全符合本技术规范书的要求。</w:t>
      </w:r>
    </w:p>
    <w:p>
      <w:pPr>
        <w:snapToGrid w:val="0"/>
        <w:spacing w:line="360" w:lineRule="auto"/>
        <w:rPr>
          <w:rFonts w:ascii="宋体" w:hAnsi="宋体" w:cs="宋体"/>
          <w:sz w:val="24"/>
          <w:szCs w:val="24"/>
        </w:rPr>
      </w:pPr>
      <w:r>
        <w:rPr>
          <w:rFonts w:hint="eastAsia" w:ascii="宋体" w:hAnsi="宋体" w:cs="宋体"/>
          <w:sz w:val="24"/>
          <w:szCs w:val="24"/>
        </w:rPr>
        <w:t>1.11本技术规范中系统及现场采集装置要求均为在海拔1000米及以下的参数和要求，投标方应根据本工程海拔高度对现目系统及采集设备进行调整保证此海拔高度下可靠稳定运行。</w:t>
      </w:r>
    </w:p>
    <w:p>
      <w:pPr>
        <w:spacing w:line="360" w:lineRule="auto"/>
        <w:rPr>
          <w:rFonts w:ascii="宋体" w:hAnsi="宋体" w:cs="宋体"/>
          <w:snapToGrid w:val="0"/>
          <w:color w:val="000000"/>
          <w:sz w:val="24"/>
          <w:szCs w:val="24"/>
        </w:rPr>
      </w:pPr>
      <w:r>
        <w:rPr>
          <w:rFonts w:hint="eastAsia" w:ascii="宋体" w:hAnsi="宋体" w:cs="宋体"/>
          <w:sz w:val="24"/>
          <w:szCs w:val="24"/>
        </w:rPr>
        <w:t>1.12 在签订合同之后，招标方有权提出因规范标准和规定及工程条件发生变化而产生的一些补充要求，所提出问题由招、投标双方共同</w:t>
      </w:r>
      <w:r>
        <w:rPr>
          <w:rFonts w:hint="eastAsia" w:ascii="宋体" w:hAnsi="宋体" w:cs="宋体"/>
          <w:snapToGrid w:val="0"/>
          <w:color w:val="000000"/>
          <w:sz w:val="24"/>
          <w:szCs w:val="24"/>
        </w:rPr>
        <w:t>协商解决。</w:t>
      </w:r>
    </w:p>
    <w:p>
      <w:pPr>
        <w:pStyle w:val="2"/>
        <w:rPr>
          <w:snapToGrid w:val="0"/>
        </w:rPr>
      </w:pPr>
      <w:bookmarkStart w:id="2" w:name="_Toc161671619"/>
      <w:bookmarkStart w:id="3" w:name="_Toc135995351"/>
      <w:bookmarkStart w:id="4" w:name="_Toc529979651"/>
      <w:bookmarkStart w:id="5" w:name="_Toc536818605"/>
      <w:r>
        <w:rPr>
          <w:rFonts w:hint="eastAsia" w:ascii="宋体" w:hAnsi="宋体" w:cs="宋体"/>
          <w:snapToGrid w:val="0"/>
        </w:rPr>
        <w:t xml:space="preserve">2 </w:t>
      </w:r>
      <w:bookmarkEnd w:id="2"/>
      <w:bookmarkEnd w:id="3"/>
      <w:r>
        <w:rPr>
          <w:rFonts w:hint="eastAsia" w:ascii="宋体" w:hAnsi="宋体" w:cs="宋体"/>
          <w:snapToGrid w:val="0"/>
        </w:rPr>
        <w:t>概述</w:t>
      </w:r>
      <w:bookmarkEnd w:id="4"/>
      <w:bookmarkEnd w:id="5"/>
    </w:p>
    <w:p>
      <w:pPr>
        <w:spacing w:line="360" w:lineRule="auto"/>
        <w:rPr>
          <w:rFonts w:ascii="宋体" w:hAnsi="宋体" w:cs="宋体"/>
          <w:snapToGrid w:val="0"/>
          <w:color w:val="000000"/>
          <w:sz w:val="24"/>
          <w:szCs w:val="24"/>
        </w:rPr>
      </w:pPr>
      <w:r>
        <w:rPr>
          <w:rFonts w:hint="eastAsia" w:ascii="宋体" w:hAnsi="宋体" w:cs="宋体"/>
          <w:snapToGrid w:val="0"/>
          <w:color w:val="000000"/>
          <w:sz w:val="24"/>
          <w:szCs w:val="24"/>
        </w:rPr>
        <w:t>2.1 建设规模</w:t>
      </w:r>
    </w:p>
    <w:p>
      <w:pPr>
        <w:rPr>
          <w:rFonts w:ascii="宋体" w:hAnsi="宋体" w:cs="宋体"/>
          <w:snapToGrid w:val="0"/>
          <w:color w:val="000000"/>
          <w:sz w:val="24"/>
          <w:szCs w:val="24"/>
        </w:rPr>
      </w:pPr>
      <w:r>
        <w:rPr>
          <w:rFonts w:hint="eastAsia" w:ascii="宋体" w:hAnsi="宋体" w:cs="宋体"/>
          <w:snapToGrid w:val="0"/>
          <w:color w:val="000000"/>
          <w:sz w:val="24"/>
          <w:szCs w:val="24"/>
        </w:rPr>
        <w:t>本工程订购的设备规格和数量见表3.</w:t>
      </w:r>
      <w:r>
        <w:rPr>
          <w:rFonts w:ascii="宋体" w:hAnsi="宋体" w:cs="宋体"/>
          <w:snapToGrid w:val="0"/>
          <w:color w:val="000000"/>
          <w:sz w:val="24"/>
          <w:szCs w:val="24"/>
        </w:rPr>
        <w:t>1</w:t>
      </w:r>
    </w:p>
    <w:p>
      <w:pPr>
        <w:spacing w:line="360" w:lineRule="auto"/>
        <w:rPr>
          <w:rFonts w:ascii="宋体" w:hAnsi="宋体" w:cs="宋体"/>
          <w:snapToGrid w:val="0"/>
          <w:color w:val="000000"/>
          <w:sz w:val="24"/>
          <w:szCs w:val="24"/>
        </w:rPr>
      </w:pPr>
      <w:r>
        <w:rPr>
          <w:rFonts w:hint="eastAsia" w:ascii="宋体" w:hAnsi="宋体" w:cs="宋体"/>
          <w:snapToGrid w:val="0"/>
          <w:color w:val="000000"/>
          <w:sz w:val="24"/>
          <w:szCs w:val="24"/>
        </w:rPr>
        <w:t>2.2</w:t>
      </w:r>
      <w:r>
        <w:rPr>
          <w:rFonts w:ascii="宋体" w:hAnsi="宋体" w:cs="宋体"/>
          <w:snapToGrid w:val="0"/>
          <w:color w:val="000000"/>
          <w:sz w:val="24"/>
          <w:szCs w:val="24"/>
        </w:rPr>
        <w:t xml:space="preserve"> </w:t>
      </w:r>
      <w:r>
        <w:rPr>
          <w:rFonts w:hint="eastAsia" w:ascii="宋体" w:hAnsi="宋体" w:cs="宋体"/>
          <w:snapToGrid w:val="0"/>
          <w:color w:val="000000"/>
          <w:sz w:val="24"/>
          <w:szCs w:val="24"/>
        </w:rPr>
        <w:t>主要制造商资质要求</w:t>
      </w:r>
    </w:p>
    <w:p>
      <w:pPr>
        <w:tabs>
          <w:tab w:val="left" w:pos="709"/>
        </w:tabs>
        <w:spacing w:line="360" w:lineRule="auto"/>
        <w:ind w:firstLine="240" w:firstLineChars="100"/>
        <w:jc w:val="left"/>
        <w:rPr>
          <w:rFonts w:ascii="宋体" w:hAnsi="宋体" w:cs="宋体"/>
          <w:sz w:val="24"/>
          <w:szCs w:val="24"/>
        </w:rPr>
      </w:pPr>
      <w:r>
        <w:rPr>
          <w:rFonts w:hint="eastAsia" w:ascii="宋体" w:hAnsi="宋体" w:cs="宋体"/>
          <w:sz w:val="24"/>
          <w:szCs w:val="24"/>
        </w:rPr>
        <w:t>2.2.1制造商应具有独立的法人资格和有效的营业执照，公司注册资金应在5000万及以上。</w:t>
      </w:r>
    </w:p>
    <w:p>
      <w:pPr>
        <w:tabs>
          <w:tab w:val="left" w:pos="709"/>
        </w:tabs>
        <w:spacing w:line="360" w:lineRule="auto"/>
        <w:ind w:firstLine="240" w:firstLineChars="100"/>
        <w:jc w:val="left"/>
        <w:rPr>
          <w:rFonts w:hint="eastAsia" w:ascii="宋体" w:hAnsi="宋体"/>
          <w:color w:val="FF0000"/>
          <w:sz w:val="24"/>
          <w:szCs w:val="28"/>
          <w:highlight w:val="yellow"/>
          <w:lang w:eastAsia="zh-CN"/>
        </w:rPr>
      </w:pPr>
      <w:r>
        <w:rPr>
          <w:rFonts w:hint="eastAsia" w:ascii="宋体" w:hAnsi="宋体" w:cs="宋体"/>
          <w:sz w:val="24"/>
          <w:szCs w:val="24"/>
        </w:rPr>
        <w:t>2.2.2制造商应具有相关低压马达保护项目业绩，投标时提供制造商近三年</w:t>
      </w:r>
      <w:r>
        <w:rPr>
          <w:rFonts w:hint="eastAsia" w:ascii="宋体" w:hAnsi="宋体" w:cs="宋体"/>
          <w:color w:val="FF0000"/>
          <w:sz w:val="24"/>
          <w:szCs w:val="24"/>
        </w:rPr>
        <w:t>不少于2个类似项目的合同复印件或</w:t>
      </w:r>
      <w:r>
        <w:rPr>
          <w:rFonts w:hint="eastAsia" w:ascii="宋体" w:hAnsi="宋体"/>
          <w:color w:val="FF0000"/>
          <w:sz w:val="24"/>
          <w:szCs w:val="28"/>
          <w:highlight w:val="yellow"/>
        </w:rPr>
        <w:t>或运行报告复印件</w:t>
      </w:r>
      <w:r>
        <w:rPr>
          <w:rFonts w:hint="eastAsia" w:ascii="宋体" w:hAnsi="宋体"/>
          <w:color w:val="FF0000"/>
          <w:sz w:val="24"/>
          <w:szCs w:val="28"/>
          <w:highlight w:val="yellow"/>
          <w:lang w:eastAsia="zh-CN"/>
        </w:rPr>
        <w:t>（</w:t>
      </w:r>
      <w:r>
        <w:rPr>
          <w:rFonts w:hint="eastAsia" w:ascii="宋体" w:hAnsi="宋体"/>
          <w:color w:val="FF0000"/>
          <w:sz w:val="24"/>
          <w:szCs w:val="28"/>
          <w:highlight w:val="yellow"/>
          <w:lang w:val="en-US" w:eastAsia="zh-CN"/>
        </w:rPr>
        <w:t>两者选其一</w:t>
      </w:r>
      <w:r>
        <w:rPr>
          <w:rFonts w:hint="eastAsia" w:ascii="宋体" w:hAnsi="宋体"/>
          <w:color w:val="FF0000"/>
          <w:sz w:val="24"/>
          <w:szCs w:val="28"/>
          <w:highlight w:val="yellow"/>
          <w:lang w:eastAsia="zh-CN"/>
        </w:rPr>
        <w:t>）</w:t>
      </w:r>
      <w:bookmarkStart w:id="13" w:name="_GoBack"/>
      <w:bookmarkEnd w:id="13"/>
    </w:p>
    <w:p>
      <w:pPr>
        <w:tabs>
          <w:tab w:val="left" w:pos="709"/>
        </w:tabs>
        <w:spacing w:line="360" w:lineRule="auto"/>
        <w:ind w:firstLine="240" w:firstLineChars="100"/>
        <w:jc w:val="left"/>
        <w:rPr>
          <w:rFonts w:ascii="宋体" w:hAnsi="宋体" w:cs="宋体"/>
          <w:sz w:val="24"/>
          <w:szCs w:val="24"/>
        </w:rPr>
      </w:pPr>
      <w:r>
        <w:rPr>
          <w:rFonts w:hint="eastAsia" w:ascii="宋体" w:hAnsi="宋体" w:cs="宋体"/>
          <w:sz w:val="24"/>
          <w:szCs w:val="24"/>
        </w:rPr>
        <w:t>2.2.3制造商应具有ISO9001 质量管理体系认证证书,投标时提供复印件。</w:t>
      </w:r>
    </w:p>
    <w:p>
      <w:pPr>
        <w:tabs>
          <w:tab w:val="left" w:pos="709"/>
        </w:tabs>
        <w:spacing w:line="360" w:lineRule="auto"/>
        <w:ind w:firstLine="240" w:firstLineChars="100"/>
        <w:jc w:val="left"/>
        <w:rPr>
          <w:rFonts w:ascii="宋体" w:hAnsi="宋体" w:cs="宋体"/>
          <w:color w:val="FF0000"/>
          <w:sz w:val="24"/>
          <w:szCs w:val="24"/>
        </w:rPr>
      </w:pPr>
      <w:r>
        <w:rPr>
          <w:rFonts w:hint="eastAsia" w:ascii="宋体" w:hAnsi="宋体" w:cs="宋体"/>
          <w:sz w:val="24"/>
          <w:szCs w:val="24"/>
        </w:rPr>
        <w:t>2.2.4</w:t>
      </w:r>
      <w:r>
        <w:rPr>
          <w:rFonts w:hint="eastAsia" w:ascii="宋体" w:hAnsi="宋体" w:cs="宋体"/>
          <w:color w:val="FF0000"/>
          <w:sz w:val="24"/>
          <w:szCs w:val="24"/>
        </w:rPr>
        <w:t>制造商需提供原厂保固证明文件。</w:t>
      </w:r>
    </w:p>
    <w:p>
      <w:pPr>
        <w:tabs>
          <w:tab w:val="left" w:pos="709"/>
        </w:tabs>
        <w:spacing w:line="360" w:lineRule="auto"/>
        <w:ind w:firstLine="240" w:firstLineChars="100"/>
        <w:jc w:val="left"/>
        <w:rPr>
          <w:rFonts w:ascii="宋体" w:hAnsi="宋体" w:cs="宋体"/>
          <w:sz w:val="24"/>
          <w:szCs w:val="24"/>
        </w:rPr>
      </w:pPr>
      <w:r>
        <w:rPr>
          <w:rFonts w:hint="eastAsia" w:ascii="宋体" w:hAnsi="宋体" w:cs="宋体"/>
          <w:sz w:val="24"/>
          <w:szCs w:val="24"/>
        </w:rPr>
        <w:t>2.3本项目实施内容：</w:t>
      </w:r>
    </w:p>
    <w:p>
      <w:pPr>
        <w:tabs>
          <w:tab w:val="left" w:pos="709"/>
        </w:tabs>
        <w:spacing w:line="360" w:lineRule="auto"/>
        <w:ind w:firstLine="240" w:firstLineChars="100"/>
        <w:jc w:val="left"/>
        <w:rPr>
          <w:rFonts w:ascii="宋体" w:hAnsi="宋体" w:cs="宋体"/>
          <w:sz w:val="24"/>
          <w:szCs w:val="24"/>
        </w:rPr>
      </w:pPr>
      <w:r>
        <w:rPr>
          <w:rFonts w:hint="eastAsia" w:ascii="宋体" w:hAnsi="宋体" w:cs="宋体"/>
          <w:sz w:val="24"/>
          <w:szCs w:val="24"/>
        </w:rPr>
        <w:t>本招标项目实行包工、包料、包工期、包安全、包质量的总承包制，招标文件、技术任务书内容均在招标范围内。</w:t>
      </w:r>
    </w:p>
    <w:p>
      <w:pPr>
        <w:tabs>
          <w:tab w:val="left" w:pos="709"/>
        </w:tabs>
        <w:spacing w:line="360" w:lineRule="auto"/>
        <w:ind w:firstLine="240" w:firstLineChars="100"/>
        <w:jc w:val="left"/>
        <w:rPr>
          <w:rFonts w:ascii="宋体" w:hAnsi="宋体" w:cs="宋体"/>
          <w:sz w:val="24"/>
          <w:szCs w:val="24"/>
        </w:rPr>
      </w:pPr>
      <w:r>
        <w:rPr>
          <w:rFonts w:hint="eastAsia" w:ascii="宋体" w:hAnsi="宋体" w:cs="宋体"/>
          <w:sz w:val="24"/>
          <w:szCs w:val="24"/>
        </w:rPr>
        <w:t>2.3.1本次招标范围包括：</w:t>
      </w:r>
    </w:p>
    <w:p>
      <w:pPr>
        <w:tabs>
          <w:tab w:val="left" w:pos="709"/>
        </w:tabs>
        <w:spacing w:line="360" w:lineRule="auto"/>
        <w:ind w:firstLine="240" w:firstLineChars="100"/>
        <w:jc w:val="left"/>
        <w:rPr>
          <w:rFonts w:asciiTheme="minorEastAsia" w:hAnsiTheme="minorEastAsia" w:eastAsiaTheme="minorEastAsia"/>
          <w:sz w:val="24"/>
          <w:szCs w:val="24"/>
        </w:rPr>
      </w:pPr>
      <w:r>
        <w:rPr>
          <w:rFonts w:hint="eastAsia" w:ascii="宋体" w:hAnsi="宋体" w:cs="宋体"/>
          <w:sz w:val="24"/>
          <w:szCs w:val="24"/>
        </w:rPr>
        <w:t>TDI各低压变电所马达保护器升级改造。</w:t>
      </w:r>
    </w:p>
    <w:p>
      <w:pPr>
        <w:pStyle w:val="2"/>
        <w:rPr>
          <w:rFonts w:ascii="宋体" w:hAnsi="宋体" w:cs="宋体"/>
          <w:snapToGrid w:val="0"/>
        </w:rPr>
      </w:pPr>
      <w:bookmarkStart w:id="6" w:name="_Toc536818606"/>
      <w:r>
        <w:rPr>
          <w:rFonts w:hint="eastAsia" w:ascii="宋体" w:hAnsi="宋体" w:cs="宋体"/>
          <w:snapToGrid w:val="0"/>
        </w:rPr>
        <w:t>3设备规格及数量</w:t>
      </w:r>
      <w:bookmarkEnd w:id="6"/>
    </w:p>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30"/>
        <w:gridCol w:w="1784"/>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jc w:val="center"/>
              <w:rPr>
                <w:rFonts w:ascii="宋体" w:hAnsi="宋体" w:cs="宋体"/>
                <w:sz w:val="24"/>
                <w:szCs w:val="24"/>
              </w:rPr>
            </w:pPr>
            <w:r>
              <w:rPr>
                <w:rFonts w:hint="eastAsia" w:ascii="宋体" w:hAnsi="宋体" w:cs="宋体"/>
                <w:sz w:val="24"/>
                <w:szCs w:val="24"/>
              </w:rPr>
              <w:t>序号</w:t>
            </w:r>
          </w:p>
        </w:tc>
        <w:tc>
          <w:tcPr>
            <w:tcW w:w="1830" w:type="dxa"/>
          </w:tcPr>
          <w:p>
            <w:pPr>
              <w:jc w:val="center"/>
              <w:rPr>
                <w:rFonts w:ascii="宋体" w:hAnsi="宋体" w:cs="宋体"/>
                <w:sz w:val="24"/>
                <w:szCs w:val="24"/>
              </w:rPr>
            </w:pPr>
            <w:r>
              <w:rPr>
                <w:rFonts w:hint="eastAsia" w:ascii="宋体" w:hAnsi="宋体" w:cs="宋体"/>
                <w:sz w:val="24"/>
                <w:szCs w:val="24"/>
              </w:rPr>
              <w:t>名称</w:t>
            </w:r>
          </w:p>
        </w:tc>
        <w:tc>
          <w:tcPr>
            <w:tcW w:w="1784" w:type="dxa"/>
          </w:tcPr>
          <w:p>
            <w:pPr>
              <w:jc w:val="center"/>
              <w:rPr>
                <w:rFonts w:ascii="宋体" w:hAnsi="宋体" w:cs="宋体"/>
                <w:sz w:val="24"/>
                <w:szCs w:val="24"/>
              </w:rPr>
            </w:pPr>
            <w:r>
              <w:rPr>
                <w:rFonts w:hint="eastAsia" w:ascii="宋体" w:hAnsi="宋体" w:cs="宋体"/>
                <w:sz w:val="24"/>
                <w:szCs w:val="24"/>
              </w:rPr>
              <w:t>型号</w:t>
            </w:r>
          </w:p>
        </w:tc>
        <w:tc>
          <w:tcPr>
            <w:tcW w:w="1420" w:type="dxa"/>
          </w:tcPr>
          <w:p>
            <w:pPr>
              <w:jc w:val="center"/>
              <w:rPr>
                <w:rFonts w:ascii="宋体" w:hAnsi="宋体" w:cs="宋体"/>
                <w:sz w:val="24"/>
                <w:szCs w:val="24"/>
              </w:rPr>
            </w:pPr>
            <w:r>
              <w:rPr>
                <w:rFonts w:hint="eastAsia" w:ascii="宋体" w:hAnsi="宋体" w:cs="宋体"/>
                <w:sz w:val="24"/>
                <w:szCs w:val="24"/>
              </w:rPr>
              <w:t>单位</w:t>
            </w:r>
          </w:p>
        </w:tc>
        <w:tc>
          <w:tcPr>
            <w:tcW w:w="1421" w:type="dxa"/>
          </w:tcPr>
          <w:p>
            <w:pPr>
              <w:jc w:val="center"/>
              <w:rPr>
                <w:rFonts w:ascii="宋体" w:hAnsi="宋体" w:cs="宋体"/>
                <w:sz w:val="24"/>
                <w:szCs w:val="24"/>
              </w:rPr>
            </w:pPr>
            <w:r>
              <w:rPr>
                <w:rFonts w:hint="eastAsia" w:ascii="宋体" w:hAnsi="宋体" w:cs="宋体"/>
                <w:sz w:val="24"/>
                <w:szCs w:val="24"/>
              </w:rPr>
              <w:t>数量</w:t>
            </w:r>
          </w:p>
        </w:tc>
        <w:tc>
          <w:tcPr>
            <w:tcW w:w="1421" w:type="dxa"/>
          </w:tcPr>
          <w:p>
            <w:pPr>
              <w:jc w:val="center"/>
              <w:rPr>
                <w:rFonts w:ascii="宋体" w:hAnsi="宋体" w:cs="宋体"/>
                <w:sz w:val="24"/>
                <w:szCs w:val="24"/>
              </w:rPr>
            </w:pPr>
            <w:r>
              <w:rPr>
                <w:rFonts w:hint="eastAsia" w:ascii="宋体" w:hAnsi="宋体" w:cs="宋体"/>
                <w:color w:val="000000"/>
                <w:sz w:val="24"/>
                <w:szCs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jc w:val="center"/>
              <w:rPr>
                <w:rFonts w:ascii="宋体" w:hAnsi="宋体" w:cs="宋体"/>
                <w:sz w:val="24"/>
                <w:szCs w:val="24"/>
              </w:rPr>
            </w:pPr>
            <w:r>
              <w:rPr>
                <w:rFonts w:hint="eastAsia" w:ascii="宋体" w:hAnsi="宋体" w:cs="宋体"/>
                <w:sz w:val="24"/>
                <w:szCs w:val="24"/>
              </w:rPr>
              <w:t>1</w:t>
            </w:r>
          </w:p>
        </w:tc>
        <w:tc>
          <w:tcPr>
            <w:tcW w:w="1830" w:type="dxa"/>
          </w:tcPr>
          <w:p>
            <w:pPr>
              <w:jc w:val="center"/>
              <w:rPr>
                <w:rFonts w:ascii="宋体" w:hAnsi="宋体" w:cs="宋体"/>
                <w:sz w:val="24"/>
                <w:szCs w:val="24"/>
              </w:rPr>
            </w:pPr>
            <w:r>
              <w:rPr>
                <w:rFonts w:hint="eastAsia" w:ascii="宋体" w:hAnsi="宋体" w:cs="宋体"/>
                <w:color w:val="000000"/>
                <w:sz w:val="24"/>
                <w:szCs w:val="24"/>
              </w:rPr>
              <w:t>低压马达保护器</w:t>
            </w:r>
          </w:p>
        </w:tc>
        <w:tc>
          <w:tcPr>
            <w:tcW w:w="1784" w:type="dxa"/>
          </w:tcPr>
          <w:p>
            <w:pPr>
              <w:jc w:val="center"/>
              <w:rPr>
                <w:rFonts w:ascii="宋体" w:hAnsi="宋体" w:cs="宋体"/>
                <w:sz w:val="24"/>
                <w:szCs w:val="24"/>
              </w:rPr>
            </w:pPr>
            <w:r>
              <w:rPr>
                <w:rFonts w:hint="eastAsia" w:ascii="宋体" w:hAnsi="宋体" w:cs="宋体"/>
                <w:color w:val="000000"/>
                <w:sz w:val="24"/>
                <w:szCs w:val="24"/>
              </w:rPr>
              <w:t>PMC-550系列/UT-800系列/M102系列</w:t>
            </w:r>
          </w:p>
        </w:tc>
        <w:tc>
          <w:tcPr>
            <w:tcW w:w="1420" w:type="dxa"/>
          </w:tcPr>
          <w:p>
            <w:pPr>
              <w:jc w:val="center"/>
              <w:rPr>
                <w:rFonts w:ascii="宋体" w:hAnsi="宋体" w:cs="宋体"/>
                <w:sz w:val="24"/>
                <w:szCs w:val="24"/>
              </w:rPr>
            </w:pPr>
            <w:r>
              <w:rPr>
                <w:rFonts w:hint="eastAsia" w:ascii="宋体" w:hAnsi="宋体" w:cs="宋体"/>
                <w:sz w:val="24"/>
                <w:szCs w:val="24"/>
              </w:rPr>
              <w:t>套</w:t>
            </w:r>
          </w:p>
        </w:tc>
        <w:tc>
          <w:tcPr>
            <w:tcW w:w="1421" w:type="dxa"/>
          </w:tcPr>
          <w:p>
            <w:pPr>
              <w:jc w:val="center"/>
              <w:rPr>
                <w:rFonts w:ascii="宋体" w:hAnsi="宋体" w:cs="宋体"/>
                <w:sz w:val="24"/>
                <w:szCs w:val="24"/>
              </w:rPr>
            </w:pPr>
            <w:r>
              <w:rPr>
                <w:rFonts w:hint="eastAsia" w:ascii="宋体" w:hAnsi="宋体" w:cs="宋体"/>
                <w:sz w:val="24"/>
                <w:szCs w:val="24"/>
              </w:rPr>
              <w:t>135</w:t>
            </w:r>
          </w:p>
        </w:tc>
        <w:tc>
          <w:tcPr>
            <w:tcW w:w="1421" w:type="dxa"/>
          </w:tcPr>
          <w:p>
            <w:pPr>
              <w:jc w:val="center"/>
              <w:rPr>
                <w:rFonts w:ascii="宋体" w:hAnsi="宋体" w:cs="宋体"/>
                <w:sz w:val="24"/>
                <w:szCs w:val="24"/>
              </w:rPr>
            </w:pPr>
            <w:r>
              <w:rPr>
                <w:rFonts w:hint="eastAsia" w:ascii="宋体" w:hAnsi="宋体" w:cs="宋体"/>
                <w:color w:val="000000"/>
                <w:sz w:val="24"/>
                <w:szCs w:val="24"/>
              </w:rPr>
              <w:t>深圳中电/珠海优特/ABB</w:t>
            </w:r>
          </w:p>
        </w:tc>
      </w:tr>
    </w:tbl>
    <w:p/>
    <w:p>
      <w:pPr>
        <w:pStyle w:val="2"/>
        <w:rPr>
          <w:snapToGrid w:val="0"/>
        </w:rPr>
      </w:pPr>
      <w:bookmarkStart w:id="7" w:name="_Toc536818607"/>
      <w:r>
        <w:rPr>
          <w:rFonts w:hint="eastAsia" w:ascii="宋体" w:hAnsi="宋体" w:cs="宋体"/>
          <w:snapToGrid w:val="0"/>
        </w:rPr>
        <w:t>4技术条件</w:t>
      </w:r>
      <w:bookmarkEnd w:id="7"/>
      <w:bookmarkStart w:id="8" w:name="_Toc481562660"/>
    </w:p>
    <w:p>
      <w:pPr>
        <w:rPr>
          <w:rFonts w:ascii="宋体" w:hAnsi="宋体" w:cs="宋体"/>
          <w:kern w:val="2"/>
          <w:sz w:val="24"/>
          <w:szCs w:val="24"/>
        </w:rPr>
      </w:pPr>
      <w:r>
        <w:rPr>
          <w:rFonts w:hint="eastAsia" w:ascii="宋体" w:hAnsi="宋体" w:cs="宋体"/>
          <w:kern w:val="2"/>
          <w:sz w:val="24"/>
          <w:szCs w:val="24"/>
        </w:rPr>
        <w:t>4.1低压综保的基本电气参数</w:t>
      </w:r>
      <w:bookmarkEnd w:id="8"/>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额定采样输入电流</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1A</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额定采样输入电压</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400VAC（690V可选）</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额定采样漏电电流</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0~1A</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额定采样输入频率</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50Hz</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额定工作电源电压</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220V     AC/DC</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功耗</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正常工作时≤ 3W，保护启动器≤5W</w:t>
      </w:r>
    </w:p>
    <w:p>
      <w:pPr>
        <w:pStyle w:val="13"/>
        <w:widowControl/>
        <w:numPr>
          <w:ilvl w:val="0"/>
          <w:numId w:val="1"/>
        </w:numPr>
        <w:spacing w:before="312" w:beforeLines="100" w:after="312" w:afterLines="100"/>
        <w:ind w:firstLineChars="0"/>
        <w:jc w:val="left"/>
        <w:rPr>
          <w:rFonts w:ascii="宋体" w:hAnsi="宋体" w:cs="宋体"/>
          <w:color w:val="000000"/>
          <w:sz w:val="24"/>
        </w:rPr>
      </w:pPr>
      <w:r>
        <w:rPr>
          <w:rFonts w:hint="eastAsia" w:ascii="宋体" w:hAnsi="宋体" w:cs="宋体"/>
          <w:color w:val="000000"/>
          <w:sz w:val="24"/>
        </w:rPr>
        <w:t xml:space="preserve">工作电源允许中断时间    </w:t>
      </w:r>
      <w:r>
        <w:rPr>
          <w:rFonts w:hint="eastAsia" w:ascii="宋体" w:hAnsi="宋体" w:cs="宋体"/>
          <w:color w:val="000000"/>
          <w:sz w:val="24"/>
        </w:rPr>
        <w:tab/>
      </w:r>
      <w:r>
        <w:rPr>
          <w:rFonts w:hint="eastAsia" w:ascii="宋体" w:hAnsi="宋体" w:cs="宋体"/>
          <w:sz w:val="24"/>
        </w:rPr>
        <w:t>二次回路失电后装置能正常工作 0.5s</w:t>
      </w:r>
      <w:bookmarkStart w:id="9" w:name="_Toc481562661"/>
    </w:p>
    <w:p>
      <w:pPr>
        <w:rPr>
          <w:rFonts w:ascii="宋体" w:hAnsi="宋体" w:cs="宋体"/>
          <w:kern w:val="2"/>
          <w:sz w:val="24"/>
          <w:szCs w:val="24"/>
        </w:rPr>
      </w:pPr>
      <w:r>
        <w:rPr>
          <w:rFonts w:hint="eastAsia" w:ascii="宋体" w:hAnsi="宋体" w:cs="宋体"/>
          <w:kern w:val="2"/>
          <w:sz w:val="24"/>
          <w:szCs w:val="24"/>
        </w:rPr>
        <w:t>4.2低压综保的总体要求</w:t>
      </w:r>
      <w:bookmarkEnd w:id="9"/>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4.2.1低压综保选用一体式或分体式结构，装置外形应满足各种回路的面板安装要求，整体结构紧凑，节省安装空间。</w:t>
      </w:r>
      <w:r>
        <w:rPr>
          <w:rFonts w:hint="eastAsia" w:ascii="宋体" w:hAnsi="宋体" w:cs="宋体"/>
          <w:color w:val="000000" w:themeColor="text1"/>
          <w:sz w:val="24"/>
          <w14:textFill>
            <w14:solidFill>
              <w14:schemeClr w14:val="tx1"/>
            </w14:solidFill>
          </w14:textFill>
        </w:rPr>
        <w:t>需要配套电流互感器及剩余电流互感器，与低压马达保护器为同一品牌，具体配置以现场为准。</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4.2.2交流采样，要求三相电流、三相电压输入。</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4.2.3显示面板应为4行中文液晶汉显，显示三相电流、三相电压、零序电流、有功功率、有功电度、运行时间等实时参数；</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4.2.4接收DCS发来的禁止起动信号进行起动闭锁。</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4.2.5维护管理功能具有电动机的累计运行时间记录和接触器累计操作次数记录</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4.2.6可查询带时标的事件记录，有跳闸事件记录、再起动记录、起停记录和开关量输入变位记录，不少于8条。</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4.2.7具有遥控功能，可实现网络远方控制，可输入外部遥控位置选择。</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4.2.8能实现连续的硬件和软件的自我检测功能。</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4.2.9对模拟量输入、开关量输入和输出模块，内部应具有完善的电气和安全隔离。</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4.2.10低压综保能通过内部控制逻辑编程功能，实现对电动机直接、正反转、星－三角降压起动，双速电机控制。并提供具备现场调试权限的逻辑编程软件。</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4.2.11馈线保护具备速断保护、反时限过流保护、零序保护、漏电流保护等保护功能。</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4.2.12保护装置用互感器由保护厂家配套提供。</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4.2.13试验要求对用于增安电动机的保护装置要求在允许的堵转时间内动作，有国家权威机构的试验报告。</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4.2.14保护装置可选用一体式结构，整体结构紧凑，节省安装空间装置，应能满足低压开关柜 1/2 抽屉单元(最小高度模数为150mm)的安装要求。</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4.2.15保护装置可选用一体式结构，整体结构紧凑，节省安装空间装置，应能满足低压开关柜 1/2 抽屉单元(最小高度模数为150mm)的安装要求。</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4.3绝缘性能</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4.3.1绝缘电阻在 500V 直流电压下，绝缘电阻不小于 100MΩ。</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4.4介质强度</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4.4.1符合 GB/T14598.303-2011 中 4.7.2 规定的要求。</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4.5冲击电压</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4.5.1符合 GB/T14598.303-2011 中 4.7.3 规定的要求。</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4.6耐湿热性能</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4.6.1符合 GB/T14598.303-2011 中 4.8 规定的要求。</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4.7机械性能</w:t>
      </w:r>
    </w:p>
    <w:p>
      <w:pPr>
        <w:pStyle w:val="13"/>
        <w:widowControl/>
        <w:spacing w:before="312" w:beforeLines="100" w:after="312" w:afterLines="100"/>
        <w:ind w:firstLineChars="0"/>
        <w:jc w:val="left"/>
        <w:rPr>
          <w:rFonts w:ascii="宋体" w:hAnsi="宋体" w:cs="宋体"/>
          <w:sz w:val="24"/>
        </w:rPr>
      </w:pPr>
      <w:r>
        <w:rPr>
          <w:rFonts w:hint="eastAsia" w:ascii="宋体" w:hAnsi="宋体" w:cs="宋体"/>
          <w:sz w:val="24"/>
        </w:rPr>
        <w:t>4.7.1振动(正弦)</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振动响应</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装置具有承受 GB/T11287-2000 中 3.2.1 规定的严酷等级为 1 级的振动响应能力。</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振动耐久装置具有承受 GB/T11287-2000 中 3.2.2 规定的严酷等级为 1 级的振动耐久能力。</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4.7.2冲击</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冲击响应</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装置具有承受 GB/T14537-1993 中 4.2.1 规定的严酷等级为 1 级的冲击响应能力。</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冲击耐久</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装置具有承受 GB/T14537-1993 中 4.2.2 规定的严酷等级为 1 级的冲击耐久能力。</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4.7.3碰撞</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装置具有承受 GB/T14537-1993 中 4.3 规定的严酷等级为 1 级的碰撞能力。</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4.7.4电气干扰</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慢速阻尼振荡波/1MHz 脉冲群抗扰度；装置的辅助电源端口、通信端口、输入和输出端口能承受 GB/T14598.26-2015 规定的慢速阻尼振荡波或GB/T14598.13-2008 中规定的频率为 lMHz 及 l00kHz 脉冲群抗扰度试验。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4.7.5静电放电</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装置应承受 GB/T14598.26-2015 规定的严酷等级为 B 级或 GB/T14598.14-2010 规定的严酷等级为 3 级的静电放电试验实验。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4.7.6辐射电磁场抗扰度</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装置的外壳端口能承受 GB/T14598.26-2015 或 GB/T14598.9-2010 规定的严酷等级的辐射电磁场抗扰度试验。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4.7.7电快速瞬变/脉冲群抗扰度</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装置承受 GB/T14598.26-2015 或 GB/T 14598.10-2012 规定的严酷等级为 A 级的电快速瞬变/脉冲群抗扰度试验。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4.7.8射频场感应的传导骚扰的抗</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装置的辅助电源端口、通信端口、输入和输出端口应能承受 GB/T14598.26-2015 或GB/T14598.17-2005 规定的严酷等级的射频场感应的传导骚扰的抗扰度试验。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4.7.9工频抗扰度</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装置的直流状态输入端口应能承受 GB/T14598.26-2015 或 GB/T14598.19-2007 规定的严酷等级为 A 级的工频抗扰度试验。</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4.7.10浪涌抗扰度</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装置能承受 GB/T 14598.26-2015 或 GB/T14598.18-2012 规定的浪涌抗扰度试验。</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4.7.11电磁发射试验</w:t>
      </w:r>
    </w:p>
    <w:p>
      <w:pPr>
        <w:pStyle w:val="13"/>
        <w:widowControl/>
        <w:spacing w:before="312" w:beforeLines="100" w:after="312" w:afterLines="100"/>
        <w:ind w:firstLine="480"/>
        <w:jc w:val="left"/>
        <w:rPr>
          <w:rFonts w:ascii="宋体" w:hAnsi="宋体" w:cs="宋体"/>
          <w:sz w:val="24"/>
        </w:rPr>
      </w:pPr>
      <w:r>
        <w:rPr>
          <w:rFonts w:hint="eastAsia" w:ascii="宋体" w:hAnsi="宋体" w:cs="宋体"/>
          <w:sz w:val="24"/>
        </w:rPr>
        <w:t>装置的电源端口符合 GB/T 14598.26-2015 或 GB/T14598.16-2002 中规定的传导发射限值，外壳端口应符合 GB/T 14598.26-2015 或 GB/T14598.16-2002 中规定的辐射发射限值。</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4.7.12辅助电源端口的电压暂降、短时中断、电压变化和纹波装置能承受 GB/T 14598.26-2015 或 GB/T14598.11-2011 规定的严酷等级的辅助电源端口的电压暂降、短时中断、电压变化和纹波试验。在试验的标准大气条件下，改变工作及控制电源电压允差参数为选定的极限条件(其余为额定值)，装置应可靠工作，性能及参数符合装置技术参数的规定。装置突然加上电源、突然断电、电源电压缓慢上升或缓慢下降，装置均不误动作和误发信号。</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4.8安全要求</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4.8.1外壳防护（IP 代码）装置外壳防护等级不低于 IP20</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4.8.2绝缘材料、元件和防火外壳的可燃性</w:t>
      </w:r>
    </w:p>
    <w:p>
      <w:pPr>
        <w:pStyle w:val="13"/>
        <w:widowControl/>
        <w:spacing w:before="312" w:beforeLines="100" w:after="312" w:afterLines="100"/>
        <w:ind w:firstLine="600" w:firstLineChars="250"/>
        <w:jc w:val="left"/>
        <w:rPr>
          <w:rFonts w:ascii="宋体" w:hAnsi="宋体" w:cs="宋体"/>
          <w:sz w:val="24"/>
        </w:rPr>
      </w:pPr>
      <w:r>
        <w:rPr>
          <w:rFonts w:hint="eastAsia" w:ascii="宋体" w:hAnsi="宋体" w:cs="宋体"/>
          <w:sz w:val="24"/>
        </w:rPr>
        <w:t>装置的绝缘材料和元件的可燃性符合 GB14598.27-2008 中 7.5 的规定；装置的防火外壳的可燃性应符合 GB14598.27-2008 中 7.9 的规定。</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4.8.3保护联结阻抗</w:t>
      </w:r>
    </w:p>
    <w:p>
      <w:pPr>
        <w:pStyle w:val="13"/>
        <w:widowControl/>
        <w:spacing w:before="312" w:beforeLines="100" w:after="312" w:afterLines="100"/>
        <w:ind w:firstLine="600" w:firstLineChars="250"/>
        <w:jc w:val="left"/>
        <w:rPr>
          <w:rFonts w:ascii="宋体" w:hAnsi="宋体" w:cs="宋体"/>
          <w:sz w:val="24"/>
        </w:rPr>
      </w:pPr>
      <w:r>
        <w:rPr>
          <w:rFonts w:hint="eastAsia" w:ascii="宋体" w:hAnsi="宋体" w:cs="宋体"/>
          <w:sz w:val="24"/>
        </w:rPr>
        <w:t>装置的保护联结阻抗应符合 GB14598.27-2008 中 10.5.3.4.1 的规定。</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4.8.4安全标志</w:t>
      </w:r>
    </w:p>
    <w:p>
      <w:pPr>
        <w:pStyle w:val="13"/>
        <w:widowControl/>
        <w:spacing w:before="312" w:beforeLines="100" w:after="312" w:afterLines="100"/>
        <w:ind w:firstLine="720" w:firstLineChars="300"/>
        <w:jc w:val="left"/>
        <w:rPr>
          <w:rFonts w:ascii="宋体" w:hAnsi="宋体" w:cs="宋体"/>
          <w:sz w:val="24"/>
        </w:rPr>
      </w:pPr>
      <w:r>
        <w:rPr>
          <w:rFonts w:hint="eastAsia" w:ascii="宋体" w:hAnsi="宋体" w:cs="宋体"/>
          <w:sz w:val="24"/>
        </w:rPr>
        <w:t>装置的安全标志应符合 GB14598.27-2008 中 9.1 的规定。</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4.9试验报告和证书</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4.9.1国家继电器监测中心等国家权威机构出具的“产品型式试验报告”。</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4.9.2国家权威机构出具的“电机 tE 保护功能试验报告”。</w:t>
      </w:r>
    </w:p>
    <w:p>
      <w:pPr>
        <w:pStyle w:val="13"/>
        <w:widowControl/>
        <w:numPr>
          <w:ilvl w:val="2"/>
          <w:numId w:val="2"/>
        </w:numPr>
        <w:spacing w:before="312" w:beforeLines="100" w:after="312" w:afterLines="100"/>
        <w:ind w:firstLineChars="0"/>
        <w:jc w:val="left"/>
        <w:rPr>
          <w:rFonts w:ascii="宋体" w:hAnsi="宋体" w:cs="宋体"/>
          <w:sz w:val="24"/>
        </w:rPr>
      </w:pPr>
      <w:r>
        <w:rPr>
          <w:rFonts w:hint="eastAsia" w:ascii="宋体" w:hAnsi="宋体" w:cs="宋体"/>
          <w:sz w:val="24"/>
        </w:rPr>
        <w:t>有效的 CCC 产品实验报告及 CCC 授权有效性证明文件。</w:t>
      </w:r>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4.9.4产品合格证书。</w:t>
      </w:r>
      <w:bookmarkStart w:id="10" w:name="_Toc481562662"/>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4.10.低压综保功能</w:t>
      </w:r>
      <w:bookmarkEnd w:id="10"/>
    </w:p>
    <w:p>
      <w:pPr>
        <w:pStyle w:val="13"/>
        <w:widowControl/>
        <w:spacing w:before="312" w:beforeLines="100" w:after="312" w:afterLines="100"/>
        <w:ind w:firstLine="0" w:firstLineChars="0"/>
        <w:jc w:val="left"/>
        <w:rPr>
          <w:rFonts w:ascii="宋体" w:hAnsi="宋体" w:cs="宋体"/>
          <w:sz w:val="24"/>
        </w:rPr>
      </w:pPr>
      <w:r>
        <w:rPr>
          <w:rFonts w:hint="eastAsia" w:ascii="宋体" w:hAnsi="宋体" w:cs="宋体"/>
          <w:sz w:val="24"/>
        </w:rPr>
        <w:t>4.10.1低压综保是基于电流和电压的保护功能，集保护、测量、控制、总线通讯于一体，并能提供操作运行记录、启动记录、故障记录、再启动记录、开关量变位记录等重要信息以方便设备管理和事故分析；低压综保能通过总线通讯功能同站控单元(如通讯管理机)和网络上的服务器或工作站进行数据交换。</w:t>
      </w:r>
    </w:p>
    <w:p>
      <w:pPr>
        <w:widowControl/>
        <w:adjustRightInd/>
        <w:spacing w:before="156" w:beforeLines="50" w:after="156" w:afterLines="50" w:line="240" w:lineRule="auto"/>
        <w:textAlignment w:val="auto"/>
        <w:outlineLvl w:val="2"/>
        <w:rPr>
          <w:rFonts w:ascii="宋体" w:hAnsi="宋体" w:cs="宋体"/>
          <w:sz w:val="24"/>
          <w:szCs w:val="24"/>
        </w:rPr>
      </w:pPr>
      <w:r>
        <w:rPr>
          <w:rFonts w:hint="eastAsia" w:ascii="宋体" w:hAnsi="宋体" w:cs="宋体"/>
          <w:sz w:val="24"/>
          <w:szCs w:val="24"/>
        </w:rPr>
        <w:t>4.10.2低压综保的输入DI至少 6个：</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eastAsia="en-US" w:bidi="en-US"/>
        </w:rPr>
      </w:pPr>
      <w:r>
        <w:rPr>
          <w:rFonts w:hint="eastAsia" w:ascii="宋体" w:hAnsi="宋体" w:cs="宋体"/>
          <w:sz w:val="24"/>
          <w:szCs w:val="24"/>
          <w:lang w:bidi="en-US"/>
        </w:rPr>
        <w:t>断路器合闸状态</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eastAsia="en-US" w:bidi="en-US"/>
        </w:rPr>
      </w:pPr>
      <w:r>
        <w:rPr>
          <w:rFonts w:hint="eastAsia" w:ascii="宋体" w:hAnsi="宋体" w:cs="宋体"/>
          <w:sz w:val="24"/>
          <w:szCs w:val="24"/>
          <w:lang w:eastAsia="en-US" w:bidi="en-US"/>
        </w:rPr>
        <w:t>断路器的</w:t>
      </w:r>
      <w:r>
        <w:rPr>
          <w:rFonts w:hint="eastAsia" w:ascii="宋体" w:hAnsi="宋体" w:cs="宋体"/>
          <w:sz w:val="24"/>
          <w:szCs w:val="24"/>
          <w:lang w:bidi="en-US"/>
        </w:rPr>
        <w:t>故障</w:t>
      </w:r>
      <w:r>
        <w:rPr>
          <w:rFonts w:hint="eastAsia" w:ascii="宋体" w:hAnsi="宋体" w:cs="宋体"/>
          <w:sz w:val="24"/>
          <w:szCs w:val="24"/>
          <w:lang w:eastAsia="en-US" w:bidi="en-US"/>
        </w:rPr>
        <w:t>状态</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eastAsia="en-US" w:bidi="en-US"/>
        </w:rPr>
      </w:pPr>
      <w:r>
        <w:rPr>
          <w:rFonts w:hint="eastAsia" w:ascii="宋体" w:hAnsi="宋体" w:cs="宋体"/>
          <w:sz w:val="24"/>
          <w:szCs w:val="24"/>
          <w:lang w:eastAsia="en-US" w:bidi="en-US"/>
        </w:rPr>
        <w:t>接触器的状态</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电动机现场操作柱在“远方位”</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备用</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备用</w:t>
      </w:r>
    </w:p>
    <w:p>
      <w:pPr>
        <w:widowControl/>
        <w:adjustRightInd/>
        <w:spacing w:before="156" w:beforeLines="50" w:after="156" w:afterLines="50" w:line="240" w:lineRule="auto"/>
        <w:textAlignment w:val="auto"/>
        <w:outlineLvl w:val="2"/>
        <w:rPr>
          <w:rFonts w:ascii="宋体" w:hAnsi="宋体" w:cs="宋体"/>
          <w:sz w:val="24"/>
          <w:szCs w:val="24"/>
        </w:rPr>
      </w:pPr>
      <w:r>
        <w:rPr>
          <w:rFonts w:hint="eastAsia" w:ascii="宋体" w:hAnsi="宋体" w:cs="宋体"/>
          <w:sz w:val="24"/>
          <w:szCs w:val="24"/>
        </w:rPr>
        <w:t>4.10.3低压综保的输出DO至少 4个：</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电动机保护输出</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自起动输出（需要时）</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高电流定值输出（需要时）</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备用</w:t>
      </w:r>
    </w:p>
    <w:p>
      <w:pPr>
        <w:widowControl/>
        <w:numPr>
          <w:ilvl w:val="0"/>
          <w:numId w:val="3"/>
        </w:numPr>
        <w:adjustRightInd/>
        <w:spacing w:line="360" w:lineRule="auto"/>
        <w:ind w:left="567" w:hanging="425"/>
        <w:contextualSpacing/>
        <w:jc w:val="left"/>
        <w:textAlignment w:val="auto"/>
        <w:rPr>
          <w:rFonts w:ascii="宋体" w:hAnsi="宋体" w:cs="宋体"/>
          <w:sz w:val="24"/>
          <w:szCs w:val="24"/>
          <w:lang w:bidi="en-US"/>
        </w:rPr>
      </w:pPr>
      <w:r>
        <w:rPr>
          <w:rFonts w:hint="eastAsia" w:ascii="宋体" w:hAnsi="宋体" w:cs="宋体"/>
          <w:sz w:val="24"/>
          <w:szCs w:val="24"/>
          <w:lang w:bidi="en-US"/>
        </w:rPr>
        <w:t>具有4~20mA模拟量输出：根据设计需要电流或功率可选。</w:t>
      </w:r>
    </w:p>
    <w:p>
      <w:pPr>
        <w:widowControl/>
        <w:adjustRightInd/>
        <w:spacing w:before="156" w:beforeLines="50" w:after="156" w:afterLines="50" w:line="240" w:lineRule="auto"/>
        <w:textAlignment w:val="auto"/>
        <w:outlineLvl w:val="2"/>
        <w:rPr>
          <w:rFonts w:ascii="宋体" w:hAnsi="宋体" w:cs="宋体"/>
          <w:sz w:val="24"/>
          <w:szCs w:val="24"/>
        </w:rPr>
      </w:pPr>
      <w:r>
        <w:rPr>
          <w:rFonts w:hint="eastAsia" w:ascii="宋体" w:hAnsi="宋体" w:cs="宋体"/>
          <w:sz w:val="24"/>
          <w:szCs w:val="24"/>
        </w:rPr>
        <w:t>4.10.4低压综保的控制电源：</w:t>
      </w:r>
    </w:p>
    <w:p>
      <w:pPr>
        <w:widowControl/>
        <w:adjustRightInd/>
        <w:spacing w:before="156" w:beforeLines="50" w:after="156" w:afterLines="50" w:line="240" w:lineRule="auto"/>
        <w:ind w:firstLine="480" w:firstLineChars="200"/>
        <w:textAlignment w:val="auto"/>
        <w:outlineLvl w:val="2"/>
        <w:rPr>
          <w:rFonts w:ascii="宋体" w:hAnsi="宋体" w:cs="宋体"/>
          <w:sz w:val="24"/>
          <w:szCs w:val="24"/>
        </w:rPr>
      </w:pPr>
      <w:r>
        <w:rPr>
          <w:rFonts w:hint="eastAsia" w:ascii="宋体" w:hAnsi="宋体" w:cs="宋体"/>
          <w:color w:val="000000"/>
          <w:sz w:val="24"/>
          <w:szCs w:val="24"/>
        </w:rPr>
        <w:t>低压综保工作电源电压采用交直流两用的方式，电源电压为AC/DC 220V。</w:t>
      </w:r>
    </w:p>
    <w:p>
      <w:pPr>
        <w:widowControl/>
        <w:adjustRightInd/>
        <w:spacing w:before="156" w:beforeLines="50" w:after="156" w:afterLines="50" w:line="240" w:lineRule="auto"/>
        <w:ind w:firstLine="480" w:firstLineChars="200"/>
        <w:textAlignment w:val="auto"/>
        <w:outlineLvl w:val="2"/>
        <w:rPr>
          <w:rFonts w:ascii="宋体" w:hAnsi="宋体" w:cs="宋体"/>
          <w:sz w:val="24"/>
          <w:szCs w:val="24"/>
        </w:rPr>
      </w:pPr>
      <w:r>
        <w:rPr>
          <w:rFonts w:hint="eastAsia" w:ascii="宋体" w:hAnsi="宋体" w:cs="宋体"/>
          <w:color w:val="000000"/>
          <w:sz w:val="24"/>
          <w:szCs w:val="24"/>
        </w:rPr>
        <w:t>综保装置工作电源允许中断时间不小于0.5s，三相电压实时采样，保证抗晃电功能的可靠实现。</w:t>
      </w:r>
    </w:p>
    <w:p>
      <w:pPr>
        <w:pStyle w:val="17"/>
        <w:spacing w:before="156" w:beforeLines="50" w:after="156" w:afterLines="50"/>
        <w:ind w:firstLine="480" w:firstLineChars="200"/>
        <w:jc w:val="both"/>
        <w:outlineLvl w:val="2"/>
        <w:rPr>
          <w:rFonts w:ascii="宋体" w:hAnsi="宋体" w:cs="宋体"/>
          <w:b w:val="0"/>
          <w:caps w:val="0"/>
          <w:szCs w:val="24"/>
        </w:rPr>
      </w:pPr>
      <w:r>
        <w:rPr>
          <w:rFonts w:hint="eastAsia" w:ascii="宋体" w:hAnsi="宋体" w:cs="宋体"/>
          <w:b w:val="0"/>
          <w:caps w:val="0"/>
          <w:szCs w:val="24"/>
        </w:rPr>
        <w:t>低压综保预留功能：修改低压综保的逻辑。</w:t>
      </w:r>
    </w:p>
    <w:p>
      <w:pPr>
        <w:pStyle w:val="17"/>
        <w:spacing w:before="156" w:beforeLines="50" w:after="156" w:afterLines="50"/>
        <w:jc w:val="both"/>
        <w:outlineLvl w:val="2"/>
        <w:rPr>
          <w:rFonts w:ascii="宋体" w:hAnsi="宋体" w:cs="宋体"/>
          <w:b w:val="0"/>
          <w:caps w:val="0"/>
          <w:szCs w:val="24"/>
        </w:rPr>
      </w:pPr>
      <w:r>
        <w:rPr>
          <w:rFonts w:hint="eastAsia" w:ascii="宋体" w:hAnsi="宋体" w:cs="宋体"/>
          <w:b w:val="0"/>
          <w:caps w:val="0"/>
          <w:szCs w:val="24"/>
        </w:rPr>
        <w:t>4.10.5低压综保的保护功能(不局限于以下功能)：</w:t>
      </w:r>
    </w:p>
    <w:p>
      <w:pPr>
        <w:pStyle w:val="13"/>
        <w:widowControl/>
        <w:numPr>
          <w:ilvl w:val="0"/>
          <w:numId w:val="4"/>
        </w:numPr>
        <w:spacing w:before="312" w:beforeLines="100" w:after="312" w:afterLines="100"/>
        <w:ind w:left="567" w:firstLineChars="0"/>
        <w:jc w:val="left"/>
        <w:rPr>
          <w:rFonts w:ascii="宋体" w:hAnsi="宋体" w:cs="宋体"/>
          <w:sz w:val="24"/>
        </w:rPr>
      </w:pPr>
      <w:r>
        <w:rPr>
          <w:rFonts w:hint="eastAsia" w:ascii="宋体" w:hAnsi="宋体" w:cs="宋体"/>
          <w:sz w:val="24"/>
        </w:rPr>
        <w:t>过载保护、堵转保护、t</w:t>
      </w:r>
      <w:r>
        <w:rPr>
          <w:rFonts w:hint="eastAsia" w:ascii="宋体" w:hAnsi="宋体" w:cs="宋体"/>
          <w:sz w:val="24"/>
          <w:vertAlign w:val="subscript"/>
        </w:rPr>
        <w:t>E</w:t>
      </w:r>
      <w:r>
        <w:rPr>
          <w:rFonts w:hint="eastAsia" w:ascii="宋体" w:hAnsi="宋体" w:cs="宋体"/>
          <w:sz w:val="24"/>
        </w:rPr>
        <w:t>时间保护、</w:t>
      </w:r>
      <w:r>
        <w:rPr>
          <w:rFonts w:hint="eastAsia" w:ascii="宋体" w:hAnsi="宋体" w:cs="宋体"/>
          <w:color w:val="000000"/>
          <w:sz w:val="24"/>
        </w:rPr>
        <w:t>启动时间过长、</w:t>
      </w:r>
      <w:r>
        <w:rPr>
          <w:rFonts w:hint="eastAsia" w:ascii="宋体" w:hAnsi="宋体" w:cs="宋体"/>
          <w:sz w:val="24"/>
        </w:rPr>
        <w:t>欠流保护、低电压保护、失压保护、过电压保护、电流不平衡保护、缺相保护、单相接</w:t>
      </w:r>
      <w:r>
        <w:rPr>
          <w:rFonts w:hint="eastAsia" w:ascii="宋体" w:hAnsi="宋体" w:cs="宋体"/>
          <w:color w:val="000000"/>
          <w:sz w:val="24"/>
        </w:rPr>
        <w:t>地保护、欠功率保护、短时/长时停电</w:t>
      </w:r>
      <w:r>
        <w:rPr>
          <w:rFonts w:hint="eastAsia" w:ascii="宋体" w:hAnsi="宋体" w:cs="宋体"/>
          <w:sz w:val="24"/>
        </w:rPr>
        <w:t>再启动、晃电再启动、零序保护</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模拟量/开关量工艺联锁保护</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逻辑编程功能：具有与或门进行编程。</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具备远方复位功能</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保护配套的外置互感器精度不小于5P10。</w:t>
      </w:r>
    </w:p>
    <w:p>
      <w:pPr>
        <w:pStyle w:val="17"/>
        <w:spacing w:before="156" w:beforeLines="50" w:after="156" w:afterLines="50"/>
        <w:jc w:val="both"/>
        <w:outlineLvl w:val="2"/>
        <w:rPr>
          <w:rFonts w:ascii="宋体" w:hAnsi="宋体" w:cs="宋体"/>
          <w:b w:val="0"/>
          <w:caps w:val="0"/>
          <w:szCs w:val="24"/>
        </w:rPr>
      </w:pPr>
      <w:r>
        <w:rPr>
          <w:rFonts w:hint="eastAsia" w:ascii="宋体" w:hAnsi="宋体" w:cs="宋体"/>
          <w:b w:val="0"/>
          <w:caps w:val="0"/>
          <w:szCs w:val="24"/>
        </w:rPr>
        <w:t>4.10.6测量功能(不局限于以下功能)：</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三相电流、三相电压</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有功/无功功率、频率、功率因数、电度</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电流不平衡率</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测量精度0.5级及以上</w:t>
      </w:r>
    </w:p>
    <w:p>
      <w:pPr>
        <w:pStyle w:val="17"/>
        <w:spacing w:before="156" w:beforeLines="50" w:after="156" w:afterLines="50"/>
        <w:jc w:val="both"/>
        <w:outlineLvl w:val="2"/>
        <w:rPr>
          <w:rFonts w:ascii="宋体" w:hAnsi="宋体" w:cs="宋体"/>
          <w:b w:val="0"/>
          <w:caps w:val="0"/>
          <w:szCs w:val="24"/>
        </w:rPr>
      </w:pPr>
      <w:r>
        <w:rPr>
          <w:rFonts w:hint="eastAsia" w:ascii="宋体" w:hAnsi="宋体" w:cs="宋体"/>
          <w:b w:val="0"/>
          <w:caps w:val="0"/>
          <w:szCs w:val="24"/>
        </w:rPr>
        <w:t>4.10.7维护管理功能(不局限于以下功能)：</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电动机运行状态记录</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累计运行时间</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起动电流</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操作次数、输入输出状态</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故障记录、运行状态指示</w:t>
      </w:r>
    </w:p>
    <w:p>
      <w:pPr>
        <w:pStyle w:val="17"/>
        <w:spacing w:before="156" w:beforeLines="50" w:after="156" w:afterLines="50"/>
        <w:jc w:val="both"/>
        <w:outlineLvl w:val="2"/>
        <w:rPr>
          <w:rFonts w:ascii="宋体" w:hAnsi="宋体" w:cs="宋体"/>
          <w:b w:val="0"/>
          <w:caps w:val="0"/>
          <w:szCs w:val="24"/>
        </w:rPr>
      </w:pPr>
      <w:r>
        <w:rPr>
          <w:rFonts w:hint="eastAsia" w:ascii="宋体" w:hAnsi="宋体" w:cs="宋体"/>
          <w:b w:val="0"/>
          <w:caps w:val="0"/>
          <w:szCs w:val="24"/>
        </w:rPr>
        <w:t>4.10.8记录查询功能(不局限于以下功能)：</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 xml:space="preserve">跳闸时间记录：记录8次故障跳闸或报警时的原因、事件发生时的参数、信息和发生时间(故障时标功能)等。 </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起停记录：记录电动机起动时的最大电流和起动时间，以及起动操作位置和操作时间，有停止记录和记录停止操作位置和操作时间。</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开关量变位记录：记录每一个开关量输入变位的情况，对开关量变位记录的要求可以自由选择升降沿、高低电平、不记录等多种设定。</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再起动记录：记录最后一次再起动功能启动后的结果。</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管理记录：记录电动机的累计运行时间；记录接触器的累计操作次数；对累计的有功电度计数可以通过密码清零或修改底线，方便计量。</w:t>
      </w:r>
    </w:p>
    <w:p>
      <w:pPr>
        <w:pStyle w:val="17"/>
        <w:spacing w:before="156" w:beforeLines="50" w:after="156" w:afterLines="50"/>
        <w:jc w:val="both"/>
        <w:outlineLvl w:val="2"/>
        <w:rPr>
          <w:rFonts w:ascii="宋体" w:hAnsi="宋体" w:cs="宋体"/>
          <w:b w:val="0"/>
          <w:caps w:val="0"/>
          <w:szCs w:val="24"/>
        </w:rPr>
      </w:pPr>
      <w:r>
        <w:rPr>
          <w:rFonts w:hint="eastAsia" w:ascii="宋体" w:hAnsi="宋体" w:cs="宋体"/>
          <w:b w:val="0"/>
          <w:caps w:val="0"/>
          <w:szCs w:val="24"/>
        </w:rPr>
        <w:t>4.10.9通讯功能(不局限于以下功能)：</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其通讯线必须使用专用通讯线，必须符合其安装标准，通讯协议：标准Modbus，RS485接口。</w:t>
      </w:r>
    </w:p>
    <w:p>
      <w:pPr>
        <w:pStyle w:val="13"/>
        <w:widowControl/>
        <w:numPr>
          <w:ilvl w:val="0"/>
          <w:numId w:val="4"/>
        </w:numPr>
        <w:spacing w:before="312" w:beforeLines="100" w:after="312" w:afterLines="100"/>
        <w:ind w:left="709" w:firstLineChars="0"/>
        <w:jc w:val="left"/>
        <w:rPr>
          <w:rFonts w:ascii="宋体" w:hAnsi="宋体" w:cs="宋体"/>
          <w:sz w:val="24"/>
        </w:rPr>
      </w:pPr>
      <w:r>
        <w:rPr>
          <w:rFonts w:hint="eastAsia" w:ascii="宋体" w:hAnsi="宋体" w:cs="宋体"/>
          <w:sz w:val="24"/>
        </w:rPr>
        <w:t>具备网络对时功能。</w:t>
      </w:r>
    </w:p>
    <w:p>
      <w:pPr>
        <w:pStyle w:val="13"/>
        <w:widowControl/>
        <w:spacing w:before="312" w:beforeLines="100" w:after="312" w:afterLines="100"/>
        <w:ind w:left="709" w:firstLine="0" w:firstLineChars="0"/>
        <w:jc w:val="left"/>
        <w:rPr>
          <w:rFonts w:ascii="宋体" w:hAnsi="宋体" w:cs="宋体"/>
          <w:sz w:val="28"/>
          <w:szCs w:val="28"/>
        </w:rPr>
      </w:pPr>
      <w:r>
        <w:rPr>
          <w:rFonts w:hint="eastAsia" w:ascii="宋体" w:hAnsi="宋体" w:cs="宋体"/>
          <w:sz w:val="24"/>
        </w:rPr>
        <w:t>与后台通讯信息：电动机的运行状态（运行、停止、故障脱扣），电动机故障报警及故障跳闸（过载、断相、三相不平衡、接地故障、热过载、堵转、t</w:t>
      </w:r>
      <w:r>
        <w:rPr>
          <w:rFonts w:hint="eastAsia" w:ascii="宋体" w:hAnsi="宋体" w:cs="宋体"/>
          <w:sz w:val="24"/>
          <w:vertAlign w:val="subscript"/>
        </w:rPr>
        <w:t>E</w:t>
      </w:r>
      <w:r>
        <w:rPr>
          <w:rFonts w:hint="eastAsia" w:ascii="宋体" w:hAnsi="宋体" w:cs="宋体"/>
          <w:sz w:val="24"/>
        </w:rPr>
        <w:t>时间保护、</w:t>
      </w:r>
      <w:r>
        <w:rPr>
          <w:rFonts w:hint="eastAsia" w:ascii="宋体" w:hAnsi="宋体" w:cs="宋体"/>
          <w:color w:val="000000"/>
          <w:sz w:val="24"/>
        </w:rPr>
        <w:t>启动时间过长</w:t>
      </w:r>
      <w:r>
        <w:rPr>
          <w:rFonts w:hint="eastAsia" w:ascii="宋体" w:hAnsi="宋体" w:cs="宋体"/>
          <w:sz w:val="24"/>
        </w:rPr>
        <w:t>），电动机的电参量（三相电流/电压、有功、电度），电动机累计运行时间，保护动作信息（具体动作值）。</w:t>
      </w:r>
    </w:p>
    <w:p>
      <w:pPr>
        <w:pStyle w:val="2"/>
        <w:rPr>
          <w:snapToGrid w:val="0"/>
        </w:rPr>
      </w:pPr>
      <w:bookmarkStart w:id="11" w:name="_Toc536818608"/>
      <w:r>
        <w:rPr>
          <w:rFonts w:hint="eastAsia" w:ascii="宋体" w:hAnsi="宋体" w:cs="宋体"/>
          <w:snapToGrid w:val="0"/>
        </w:rPr>
        <w:t>5.设备安装调试</w:t>
      </w:r>
      <w:bookmarkEnd w:id="11"/>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5.1安全相关要求</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5.1.1施工作业中，施工人员应佩戴好安全帽和劳保用品。</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5.1.2施工作业用电作业中，操作人员应持有电工上岗证，并做好相应电力操作安全防护。</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5.1.3施工作业周围应做好围蔽措施，防止人员及车辆进入施工区域。</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5.1.4施工期间所有工具和材料要在指定位置摆放整齐。</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5.1.5每天施工完，做好施工现场5S工作。</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其他说明</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5.1.6本项目所有采用的材料、设备等均应符合国家质量标准。</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5.1.7本项目要求严格按照国家有关规定、规范及标准组织施工，根据买方所提供资料要求，包工、包料、包安装、包调试完成。</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5.1.8隐蔽项目施工前，应提前一天通知买方到现场检查，认可并填写记录表后方可隐蔽，否则买方有权要求重新检查，不论结果合格与否，由此引起的进度拖延及其他后果均由卖方负责。</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5.1.9施工单位需保证本项目施工质量。</w:t>
      </w:r>
    </w:p>
    <w:p>
      <w:pPr>
        <w:tabs>
          <w:tab w:val="left" w:pos="709"/>
        </w:tabs>
        <w:spacing w:line="360" w:lineRule="auto"/>
        <w:ind w:firstLine="240" w:firstLineChars="100"/>
        <w:jc w:val="left"/>
        <w:rPr>
          <w:rFonts w:ascii="宋体" w:hAnsi="宋体" w:cs="宋体"/>
          <w:kern w:val="28"/>
          <w:sz w:val="24"/>
          <w:szCs w:val="24"/>
        </w:rPr>
      </w:pPr>
      <w:r>
        <w:rPr>
          <w:rFonts w:hint="eastAsia" w:ascii="宋体" w:hAnsi="宋体" w:cs="宋体"/>
          <w:kern w:val="28"/>
          <w:sz w:val="24"/>
          <w:szCs w:val="24"/>
        </w:rPr>
        <w:t>5.1.10本项目施工方案书中所选仪表设备必须完全遵守本文件系统工程清单中的清单内容、数量、规格参数；其中清单中品牌为推荐品牌 。</w:t>
      </w:r>
    </w:p>
    <w:p>
      <w:pPr>
        <w:pStyle w:val="2"/>
        <w:rPr>
          <w:snapToGrid w:val="0"/>
        </w:rPr>
      </w:pPr>
      <w:bookmarkStart w:id="12" w:name="_Toc536818609"/>
      <w:r>
        <w:rPr>
          <w:rFonts w:hint="eastAsia" w:ascii="宋体" w:hAnsi="宋体" w:cs="宋体"/>
          <w:snapToGrid w:val="0"/>
        </w:rPr>
        <w:t>6 质量保证和试验</w:t>
      </w:r>
      <w:bookmarkEnd w:id="12"/>
    </w:p>
    <w:p>
      <w:pPr>
        <w:tabs>
          <w:tab w:val="left" w:pos="848"/>
          <w:tab w:val="left" w:pos="900"/>
        </w:tabs>
        <w:spacing w:line="360" w:lineRule="auto"/>
        <w:ind w:left="624"/>
        <w:rPr>
          <w:rFonts w:ascii="宋体" w:hAnsi="宋体" w:cs="宋体"/>
          <w:kern w:val="28"/>
          <w:sz w:val="24"/>
          <w:szCs w:val="24"/>
        </w:rPr>
      </w:pPr>
      <w:r>
        <w:rPr>
          <w:rFonts w:hint="eastAsia" w:ascii="宋体" w:hAnsi="宋体" w:cs="宋体"/>
          <w:kern w:val="28"/>
          <w:sz w:val="24"/>
          <w:szCs w:val="24"/>
        </w:rPr>
        <w:t>6.1 在项目设备投入正式启用前，安排专业人员进行现场指导，为买方运行管理人员安排专题培训，使运行操作人员尽快熟悉控制系统操作使用规范；</w:t>
      </w:r>
    </w:p>
    <w:p>
      <w:pPr>
        <w:tabs>
          <w:tab w:val="left" w:pos="848"/>
          <w:tab w:val="left" w:pos="900"/>
        </w:tabs>
        <w:spacing w:line="360" w:lineRule="auto"/>
        <w:ind w:left="624"/>
        <w:rPr>
          <w:rFonts w:ascii="宋体" w:hAnsi="宋体" w:cs="宋体"/>
          <w:kern w:val="28"/>
          <w:sz w:val="24"/>
          <w:szCs w:val="24"/>
        </w:rPr>
      </w:pPr>
      <w:r>
        <w:rPr>
          <w:rFonts w:hint="eastAsia" w:ascii="宋体" w:hAnsi="宋体" w:cs="宋体"/>
          <w:kern w:val="28"/>
          <w:sz w:val="24"/>
          <w:szCs w:val="24"/>
        </w:rPr>
        <w:t>6.2 编制系统使用手册和维护操作手册。设备操作维护手册中应该涵盖系统实现功能、操作方式、维护方式及典型问题的处理方式等各方面内容的详细说明，便于设备管理人员在不同需求前提下进行自我学习。</w:t>
      </w:r>
    </w:p>
    <w:p>
      <w:pPr>
        <w:tabs>
          <w:tab w:val="left" w:pos="848"/>
          <w:tab w:val="left" w:pos="900"/>
        </w:tabs>
        <w:spacing w:line="360" w:lineRule="auto"/>
        <w:ind w:left="624"/>
        <w:rPr>
          <w:rFonts w:ascii="宋体" w:hAnsi="宋体" w:cs="宋体"/>
          <w:kern w:val="28"/>
          <w:sz w:val="24"/>
          <w:szCs w:val="24"/>
        </w:rPr>
      </w:pPr>
      <w:r>
        <w:rPr>
          <w:rFonts w:hint="eastAsia" w:ascii="宋体" w:hAnsi="宋体" w:cs="宋体"/>
          <w:kern w:val="28"/>
          <w:sz w:val="24"/>
          <w:szCs w:val="24"/>
        </w:rPr>
        <w:t>6.3设备操作维护手册中涵盖系统实现功能、操作方式、维护方式及典型问题的处理方式等各方面内容的详细说明，便于设备管理人员在不同需求前提下进行自我学习。</w:t>
      </w:r>
    </w:p>
    <w:p>
      <w:pPr>
        <w:tabs>
          <w:tab w:val="left" w:pos="848"/>
          <w:tab w:val="left" w:pos="900"/>
        </w:tabs>
        <w:spacing w:line="360" w:lineRule="auto"/>
        <w:ind w:left="624"/>
        <w:rPr>
          <w:rFonts w:ascii="宋体" w:hAnsi="宋体" w:cs="宋体"/>
          <w:kern w:val="28"/>
          <w:sz w:val="24"/>
          <w:szCs w:val="24"/>
        </w:rPr>
      </w:pPr>
      <w:r>
        <w:rPr>
          <w:rFonts w:hint="eastAsia" w:ascii="宋体" w:hAnsi="宋体" w:cs="宋体"/>
          <w:kern w:val="28"/>
          <w:sz w:val="24"/>
          <w:szCs w:val="24"/>
        </w:rPr>
        <w:t>6.5、其他未尽事宜必须严格按照国家现行施工验收规范、标准及相关强制性规范条文执行。</w:t>
      </w:r>
    </w:p>
    <w:p>
      <w:pPr>
        <w:tabs>
          <w:tab w:val="left" w:pos="848"/>
          <w:tab w:val="left" w:pos="900"/>
        </w:tabs>
        <w:spacing w:line="360" w:lineRule="auto"/>
        <w:ind w:left="624"/>
        <w:rPr>
          <w:rFonts w:ascii="宋体" w:hAnsi="宋体" w:cs="宋体"/>
          <w:kern w:val="28"/>
          <w:sz w:val="24"/>
          <w:szCs w:val="24"/>
        </w:rPr>
      </w:pPr>
      <w:r>
        <w:rPr>
          <w:rFonts w:hint="eastAsia" w:ascii="宋体" w:hAnsi="宋体" w:cs="宋体"/>
          <w:kern w:val="28"/>
          <w:sz w:val="24"/>
          <w:szCs w:val="24"/>
        </w:rPr>
        <w:t>6.6.免费质保期从验收交付之日起计算，免费质保期为8年（现场马保需提供原厂质保文件）。在8年质保期内卖方对所提供所有产品和软件实行包修、包换、包系统检测、升级、维护等保养，</w:t>
      </w:r>
    </w:p>
    <w:p>
      <w:pPr>
        <w:tabs>
          <w:tab w:val="left" w:pos="848"/>
          <w:tab w:val="left" w:pos="900"/>
        </w:tabs>
        <w:spacing w:line="360" w:lineRule="auto"/>
        <w:ind w:left="640" w:leftChars="200" w:hanging="240" w:hangingChars="100"/>
        <w:rPr>
          <w:rFonts w:cs="Tahoma" w:asciiTheme="minorEastAsia" w:hAnsiTheme="minorEastAsia" w:eastAsiaTheme="minorEastAsia"/>
          <w:kern w:val="28"/>
          <w:szCs w:val="21"/>
        </w:rPr>
      </w:pPr>
      <w:r>
        <w:rPr>
          <w:rFonts w:hint="eastAsia" w:ascii="宋体" w:hAnsi="宋体" w:cs="宋体"/>
          <w:kern w:val="28"/>
          <w:sz w:val="24"/>
          <w:szCs w:val="24"/>
        </w:rPr>
        <w:t xml:space="preserve"> 6.7、在系统使用寿命期内发生设备或系统故障时，卖方应在2小时内做出响应，一般故障情况下，卖方在接到买方故障通知时，应在12小时内派人抵达现场分析事故原因并予以修复，紧急故障情况时，卖方应在4小时内派人抵达现场分析事故原因并予以修复。卖方应提供售后服务保障体制和售后服务承诺书。</w:t>
      </w:r>
    </w:p>
    <w:p>
      <w:pPr>
        <w:tabs>
          <w:tab w:val="left" w:pos="848"/>
          <w:tab w:val="left" w:pos="900"/>
        </w:tabs>
        <w:spacing w:line="360" w:lineRule="auto"/>
        <w:ind w:left="624"/>
        <w:rPr>
          <w:rFonts w:cs="Tahoma" w:asciiTheme="minorEastAsia" w:hAnsiTheme="minorEastAsia" w:eastAsiaTheme="minorEastAsia"/>
          <w:kern w:val="28"/>
          <w:szCs w:val="21"/>
        </w:rPr>
      </w:pPr>
    </w:p>
    <w:p>
      <w:pPr>
        <w:tabs>
          <w:tab w:val="left" w:pos="848"/>
          <w:tab w:val="left" w:pos="900"/>
        </w:tabs>
        <w:spacing w:line="360" w:lineRule="auto"/>
        <w:ind w:left="624"/>
        <w:rPr>
          <w:rFonts w:cs="Tahoma" w:asciiTheme="minorEastAsia" w:hAnsiTheme="minorEastAsia" w:eastAsiaTheme="minorEastAsia"/>
          <w:kern w:val="2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26F"/>
    <w:multiLevelType w:val="multilevel"/>
    <w:tmpl w:val="00DF126F"/>
    <w:lvl w:ilvl="0" w:tentative="0">
      <w:start w:val="1"/>
      <w:numFmt w:val="bullet"/>
      <w:lvlText w:val=""/>
      <w:lvlJc w:val="left"/>
      <w:pPr>
        <w:ind w:left="1905" w:hanging="420"/>
      </w:pPr>
      <w:rPr>
        <w:rFonts w:hint="default" w:ascii="Wingdings" w:hAnsi="Wingdings"/>
      </w:rPr>
    </w:lvl>
    <w:lvl w:ilvl="1" w:tentative="0">
      <w:start w:val="1"/>
      <w:numFmt w:val="bullet"/>
      <w:lvlText w:val=""/>
      <w:lvlJc w:val="left"/>
      <w:pPr>
        <w:ind w:left="2325" w:hanging="420"/>
      </w:pPr>
      <w:rPr>
        <w:rFonts w:hint="default" w:ascii="Wingdings" w:hAnsi="Wingdings"/>
      </w:rPr>
    </w:lvl>
    <w:lvl w:ilvl="2" w:tentative="0">
      <w:start w:val="1"/>
      <w:numFmt w:val="bullet"/>
      <w:lvlText w:val=""/>
      <w:lvlJc w:val="left"/>
      <w:pPr>
        <w:ind w:left="2745" w:hanging="420"/>
      </w:pPr>
      <w:rPr>
        <w:rFonts w:hint="default" w:ascii="Wingdings" w:hAnsi="Wingdings"/>
      </w:rPr>
    </w:lvl>
    <w:lvl w:ilvl="3" w:tentative="0">
      <w:start w:val="1"/>
      <w:numFmt w:val="bullet"/>
      <w:lvlText w:val=""/>
      <w:lvlJc w:val="left"/>
      <w:pPr>
        <w:ind w:left="3165" w:hanging="420"/>
      </w:pPr>
      <w:rPr>
        <w:rFonts w:hint="default" w:ascii="Wingdings" w:hAnsi="Wingdings"/>
      </w:rPr>
    </w:lvl>
    <w:lvl w:ilvl="4" w:tentative="0">
      <w:start w:val="1"/>
      <w:numFmt w:val="bullet"/>
      <w:lvlText w:val=""/>
      <w:lvlJc w:val="left"/>
      <w:pPr>
        <w:ind w:left="3585" w:hanging="420"/>
      </w:pPr>
      <w:rPr>
        <w:rFonts w:hint="default" w:ascii="Wingdings" w:hAnsi="Wingdings"/>
      </w:rPr>
    </w:lvl>
    <w:lvl w:ilvl="5" w:tentative="0">
      <w:start w:val="1"/>
      <w:numFmt w:val="bullet"/>
      <w:lvlText w:val=""/>
      <w:lvlJc w:val="left"/>
      <w:pPr>
        <w:ind w:left="4005" w:hanging="420"/>
      </w:pPr>
      <w:rPr>
        <w:rFonts w:hint="default" w:ascii="Wingdings" w:hAnsi="Wingdings"/>
      </w:rPr>
    </w:lvl>
    <w:lvl w:ilvl="6" w:tentative="0">
      <w:start w:val="1"/>
      <w:numFmt w:val="bullet"/>
      <w:lvlText w:val=""/>
      <w:lvlJc w:val="left"/>
      <w:pPr>
        <w:ind w:left="4425" w:hanging="420"/>
      </w:pPr>
      <w:rPr>
        <w:rFonts w:hint="default" w:ascii="Wingdings" w:hAnsi="Wingdings"/>
      </w:rPr>
    </w:lvl>
    <w:lvl w:ilvl="7" w:tentative="0">
      <w:start w:val="1"/>
      <w:numFmt w:val="bullet"/>
      <w:lvlText w:val=""/>
      <w:lvlJc w:val="left"/>
      <w:pPr>
        <w:ind w:left="4845" w:hanging="420"/>
      </w:pPr>
      <w:rPr>
        <w:rFonts w:hint="default" w:ascii="Wingdings" w:hAnsi="Wingdings"/>
      </w:rPr>
    </w:lvl>
    <w:lvl w:ilvl="8" w:tentative="0">
      <w:start w:val="1"/>
      <w:numFmt w:val="bullet"/>
      <w:lvlText w:val=""/>
      <w:lvlJc w:val="left"/>
      <w:pPr>
        <w:ind w:left="5265" w:hanging="420"/>
      </w:pPr>
      <w:rPr>
        <w:rFonts w:hint="default" w:ascii="Wingdings" w:hAnsi="Wingdings"/>
      </w:rPr>
    </w:lvl>
  </w:abstractNum>
  <w:abstractNum w:abstractNumId="1">
    <w:nsid w:val="0B1E3863"/>
    <w:multiLevelType w:val="multilevel"/>
    <w:tmpl w:val="0B1E3863"/>
    <w:lvl w:ilvl="0" w:tentative="0">
      <w:start w:val="1"/>
      <w:numFmt w:val="bullet"/>
      <w:lvlText w:val=""/>
      <w:lvlJc w:val="left"/>
      <w:pPr>
        <w:ind w:left="1905" w:hanging="420"/>
      </w:pPr>
      <w:rPr>
        <w:rFonts w:hint="default" w:ascii="Wingdings" w:hAnsi="Wingdings"/>
      </w:rPr>
    </w:lvl>
    <w:lvl w:ilvl="1" w:tentative="0">
      <w:start w:val="1"/>
      <w:numFmt w:val="bullet"/>
      <w:lvlText w:val=""/>
      <w:lvlJc w:val="left"/>
      <w:pPr>
        <w:ind w:left="2325" w:hanging="420"/>
      </w:pPr>
      <w:rPr>
        <w:rFonts w:hint="default" w:ascii="Wingdings" w:hAnsi="Wingdings"/>
      </w:rPr>
    </w:lvl>
    <w:lvl w:ilvl="2" w:tentative="0">
      <w:start w:val="1"/>
      <w:numFmt w:val="bullet"/>
      <w:lvlText w:val=""/>
      <w:lvlJc w:val="left"/>
      <w:pPr>
        <w:ind w:left="2745" w:hanging="420"/>
      </w:pPr>
      <w:rPr>
        <w:rFonts w:hint="default" w:ascii="Wingdings" w:hAnsi="Wingdings"/>
      </w:rPr>
    </w:lvl>
    <w:lvl w:ilvl="3" w:tentative="0">
      <w:start w:val="1"/>
      <w:numFmt w:val="bullet"/>
      <w:lvlText w:val=""/>
      <w:lvlJc w:val="left"/>
      <w:pPr>
        <w:ind w:left="3165" w:hanging="420"/>
      </w:pPr>
      <w:rPr>
        <w:rFonts w:hint="default" w:ascii="Wingdings" w:hAnsi="Wingdings"/>
      </w:rPr>
    </w:lvl>
    <w:lvl w:ilvl="4" w:tentative="0">
      <w:start w:val="1"/>
      <w:numFmt w:val="bullet"/>
      <w:lvlText w:val=""/>
      <w:lvlJc w:val="left"/>
      <w:pPr>
        <w:ind w:left="3585" w:hanging="420"/>
      </w:pPr>
      <w:rPr>
        <w:rFonts w:hint="default" w:ascii="Wingdings" w:hAnsi="Wingdings"/>
      </w:rPr>
    </w:lvl>
    <w:lvl w:ilvl="5" w:tentative="0">
      <w:start w:val="1"/>
      <w:numFmt w:val="bullet"/>
      <w:lvlText w:val=""/>
      <w:lvlJc w:val="left"/>
      <w:pPr>
        <w:ind w:left="4005" w:hanging="420"/>
      </w:pPr>
      <w:rPr>
        <w:rFonts w:hint="default" w:ascii="Wingdings" w:hAnsi="Wingdings"/>
      </w:rPr>
    </w:lvl>
    <w:lvl w:ilvl="6" w:tentative="0">
      <w:start w:val="1"/>
      <w:numFmt w:val="bullet"/>
      <w:lvlText w:val=""/>
      <w:lvlJc w:val="left"/>
      <w:pPr>
        <w:ind w:left="4425" w:hanging="420"/>
      </w:pPr>
      <w:rPr>
        <w:rFonts w:hint="default" w:ascii="Wingdings" w:hAnsi="Wingdings"/>
      </w:rPr>
    </w:lvl>
    <w:lvl w:ilvl="7" w:tentative="0">
      <w:start w:val="1"/>
      <w:numFmt w:val="bullet"/>
      <w:lvlText w:val=""/>
      <w:lvlJc w:val="left"/>
      <w:pPr>
        <w:ind w:left="4845" w:hanging="420"/>
      </w:pPr>
      <w:rPr>
        <w:rFonts w:hint="default" w:ascii="Wingdings" w:hAnsi="Wingdings"/>
      </w:rPr>
    </w:lvl>
    <w:lvl w:ilvl="8" w:tentative="0">
      <w:start w:val="1"/>
      <w:numFmt w:val="bullet"/>
      <w:lvlText w:val=""/>
      <w:lvlJc w:val="left"/>
      <w:pPr>
        <w:ind w:left="5265" w:hanging="420"/>
      </w:pPr>
      <w:rPr>
        <w:rFonts w:hint="default" w:ascii="Wingdings" w:hAnsi="Wingdings"/>
      </w:rPr>
    </w:lvl>
  </w:abstractNum>
  <w:abstractNum w:abstractNumId="2">
    <w:nsid w:val="274F2A48"/>
    <w:multiLevelType w:val="multilevel"/>
    <w:tmpl w:val="274F2A48"/>
    <w:lvl w:ilvl="0" w:tentative="0">
      <w:start w:val="4"/>
      <w:numFmt w:val="decimal"/>
      <w:lvlText w:val="%1"/>
      <w:lvlJc w:val="left"/>
      <w:pPr>
        <w:ind w:left="450" w:hanging="450"/>
      </w:pPr>
      <w:rPr>
        <w:rFonts w:hint="default"/>
      </w:rPr>
    </w:lvl>
    <w:lvl w:ilvl="1" w:tentative="0">
      <w:start w:val="9"/>
      <w:numFmt w:val="decimal"/>
      <w:lvlText w:val="%1.%2"/>
      <w:lvlJc w:val="left"/>
      <w:pPr>
        <w:ind w:left="450" w:hanging="45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46946684"/>
    <w:multiLevelType w:val="multilevel"/>
    <w:tmpl w:val="46946684"/>
    <w:lvl w:ilvl="0" w:tentative="0">
      <w:start w:val="1"/>
      <w:numFmt w:val="bullet"/>
      <w:lvlText w:val=""/>
      <w:lvlJc w:val="left"/>
      <w:pPr>
        <w:ind w:left="1905" w:hanging="420"/>
      </w:pPr>
      <w:rPr>
        <w:rFonts w:hint="default" w:ascii="Wingdings" w:hAnsi="Wingdings"/>
      </w:rPr>
    </w:lvl>
    <w:lvl w:ilvl="1" w:tentative="0">
      <w:start w:val="1"/>
      <w:numFmt w:val="bullet"/>
      <w:lvlText w:val=""/>
      <w:lvlJc w:val="left"/>
      <w:pPr>
        <w:ind w:left="2325" w:hanging="420"/>
      </w:pPr>
      <w:rPr>
        <w:rFonts w:hint="default" w:ascii="Wingdings" w:hAnsi="Wingdings"/>
      </w:rPr>
    </w:lvl>
    <w:lvl w:ilvl="2" w:tentative="0">
      <w:start w:val="1"/>
      <w:numFmt w:val="bullet"/>
      <w:lvlText w:val=""/>
      <w:lvlJc w:val="left"/>
      <w:pPr>
        <w:ind w:left="2745" w:hanging="420"/>
      </w:pPr>
      <w:rPr>
        <w:rFonts w:hint="default" w:ascii="Wingdings" w:hAnsi="Wingdings"/>
      </w:rPr>
    </w:lvl>
    <w:lvl w:ilvl="3" w:tentative="0">
      <w:start w:val="1"/>
      <w:numFmt w:val="bullet"/>
      <w:lvlText w:val=""/>
      <w:lvlJc w:val="left"/>
      <w:pPr>
        <w:ind w:left="3165" w:hanging="420"/>
      </w:pPr>
      <w:rPr>
        <w:rFonts w:hint="default" w:ascii="Wingdings" w:hAnsi="Wingdings"/>
      </w:rPr>
    </w:lvl>
    <w:lvl w:ilvl="4" w:tentative="0">
      <w:start w:val="1"/>
      <w:numFmt w:val="bullet"/>
      <w:lvlText w:val=""/>
      <w:lvlJc w:val="left"/>
      <w:pPr>
        <w:ind w:left="3585" w:hanging="420"/>
      </w:pPr>
      <w:rPr>
        <w:rFonts w:hint="default" w:ascii="Wingdings" w:hAnsi="Wingdings"/>
      </w:rPr>
    </w:lvl>
    <w:lvl w:ilvl="5" w:tentative="0">
      <w:start w:val="1"/>
      <w:numFmt w:val="bullet"/>
      <w:lvlText w:val=""/>
      <w:lvlJc w:val="left"/>
      <w:pPr>
        <w:ind w:left="4005" w:hanging="420"/>
      </w:pPr>
      <w:rPr>
        <w:rFonts w:hint="default" w:ascii="Wingdings" w:hAnsi="Wingdings"/>
      </w:rPr>
    </w:lvl>
    <w:lvl w:ilvl="6" w:tentative="0">
      <w:start w:val="1"/>
      <w:numFmt w:val="bullet"/>
      <w:lvlText w:val=""/>
      <w:lvlJc w:val="left"/>
      <w:pPr>
        <w:ind w:left="4425" w:hanging="420"/>
      </w:pPr>
      <w:rPr>
        <w:rFonts w:hint="default" w:ascii="Wingdings" w:hAnsi="Wingdings"/>
      </w:rPr>
    </w:lvl>
    <w:lvl w:ilvl="7" w:tentative="0">
      <w:start w:val="1"/>
      <w:numFmt w:val="bullet"/>
      <w:lvlText w:val=""/>
      <w:lvlJc w:val="left"/>
      <w:pPr>
        <w:ind w:left="4845" w:hanging="420"/>
      </w:pPr>
      <w:rPr>
        <w:rFonts w:hint="default" w:ascii="Wingdings" w:hAnsi="Wingdings"/>
      </w:rPr>
    </w:lvl>
    <w:lvl w:ilvl="8" w:tentative="0">
      <w:start w:val="1"/>
      <w:numFmt w:val="bullet"/>
      <w:lvlText w:val=""/>
      <w:lvlJc w:val="left"/>
      <w:pPr>
        <w:ind w:left="5265"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F7"/>
    <w:rsid w:val="000975FE"/>
    <w:rsid w:val="000B2437"/>
    <w:rsid w:val="000B4BC5"/>
    <w:rsid w:val="001D544E"/>
    <w:rsid w:val="00240F90"/>
    <w:rsid w:val="00260195"/>
    <w:rsid w:val="002905A5"/>
    <w:rsid w:val="002C627B"/>
    <w:rsid w:val="00387B0A"/>
    <w:rsid w:val="003E0D57"/>
    <w:rsid w:val="003F4D89"/>
    <w:rsid w:val="00456D38"/>
    <w:rsid w:val="004950F4"/>
    <w:rsid w:val="005226E5"/>
    <w:rsid w:val="0054326A"/>
    <w:rsid w:val="005F44DF"/>
    <w:rsid w:val="00632564"/>
    <w:rsid w:val="006550AE"/>
    <w:rsid w:val="00666E35"/>
    <w:rsid w:val="006860FC"/>
    <w:rsid w:val="00764414"/>
    <w:rsid w:val="007B07EC"/>
    <w:rsid w:val="00833358"/>
    <w:rsid w:val="00924899"/>
    <w:rsid w:val="00943246"/>
    <w:rsid w:val="00967BDE"/>
    <w:rsid w:val="009E6C4F"/>
    <w:rsid w:val="00A3217F"/>
    <w:rsid w:val="00A8619A"/>
    <w:rsid w:val="00B02982"/>
    <w:rsid w:val="00B7519C"/>
    <w:rsid w:val="00B842E6"/>
    <w:rsid w:val="00BC0AF7"/>
    <w:rsid w:val="00C307BE"/>
    <w:rsid w:val="00C41B4A"/>
    <w:rsid w:val="00C43076"/>
    <w:rsid w:val="00C827CD"/>
    <w:rsid w:val="00CB3663"/>
    <w:rsid w:val="00CB6EAE"/>
    <w:rsid w:val="00CF51AA"/>
    <w:rsid w:val="00D52FE8"/>
    <w:rsid w:val="00D948C6"/>
    <w:rsid w:val="00E44F3C"/>
    <w:rsid w:val="00E5740F"/>
    <w:rsid w:val="00ED3B69"/>
    <w:rsid w:val="00EE1F35"/>
    <w:rsid w:val="00F5130E"/>
    <w:rsid w:val="00FA09E0"/>
    <w:rsid w:val="033822E0"/>
    <w:rsid w:val="16DB0A77"/>
    <w:rsid w:val="1A772EBD"/>
    <w:rsid w:val="26235350"/>
    <w:rsid w:val="27EF6DFB"/>
    <w:rsid w:val="316E6050"/>
    <w:rsid w:val="35615BD8"/>
    <w:rsid w:val="3FA77791"/>
    <w:rsid w:val="40D13E82"/>
    <w:rsid w:val="493D7E54"/>
    <w:rsid w:val="498711C2"/>
    <w:rsid w:val="5761686D"/>
    <w:rsid w:val="61C229DD"/>
    <w:rsid w:val="75D5391E"/>
    <w:rsid w:val="79FB6C38"/>
    <w:rsid w:val="7A844004"/>
    <w:rsid w:val="7DA0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2"/>
    <w:qFormat/>
    <w:uiPriority w:val="0"/>
    <w:pPr>
      <w:keepNext/>
      <w:keepLines/>
      <w:spacing w:before="260" w:after="260" w:line="416" w:lineRule="atLeast"/>
      <w:outlineLvl w:val="1"/>
    </w:pPr>
    <w:rPr>
      <w:rFonts w:ascii="Arial" w:hAnsi="Arial" w:eastAsia="黑体"/>
      <w:b/>
      <w:sz w:val="32"/>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4">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unhideWhenUsed/>
    <w:qFormat/>
    <w:uiPriority w:val="39"/>
  </w:style>
  <w:style w:type="character" w:styleId="8">
    <w:name w:val="Hyperlink"/>
    <w:basedOn w:val="7"/>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Char"/>
    <w:basedOn w:val="7"/>
    <w:link w:val="2"/>
    <w:uiPriority w:val="9"/>
    <w:rPr>
      <w:rFonts w:ascii="Times New Roman" w:hAnsi="Times New Roman" w:eastAsia="宋体" w:cs="Times New Roman"/>
      <w:b/>
      <w:bCs/>
      <w:kern w:val="44"/>
      <w:sz w:val="44"/>
      <w:szCs w:val="44"/>
    </w:rPr>
  </w:style>
  <w:style w:type="character" w:customStyle="1" w:styleId="12">
    <w:name w:val="标题 2 Char"/>
    <w:basedOn w:val="7"/>
    <w:link w:val="3"/>
    <w:uiPriority w:val="0"/>
    <w:rPr>
      <w:rFonts w:ascii="Arial" w:hAnsi="Arial" w:eastAsia="黑体" w:cs="Times New Roman"/>
      <w:b/>
      <w:kern w:val="0"/>
      <w:sz w:val="32"/>
      <w:szCs w:val="20"/>
    </w:rPr>
  </w:style>
  <w:style w:type="paragraph" w:customStyle="1" w:styleId="13">
    <w:name w:val="列出段落1"/>
    <w:basedOn w:val="1"/>
    <w:qFormat/>
    <w:uiPriority w:val="34"/>
    <w:pPr>
      <w:adjustRightInd/>
      <w:spacing w:line="240" w:lineRule="auto"/>
      <w:ind w:firstLine="420" w:firstLineChars="200"/>
      <w:textAlignment w:val="auto"/>
    </w:pPr>
    <w:rPr>
      <w:kern w:val="2"/>
      <w:sz w:val="21"/>
      <w:szCs w:val="24"/>
    </w:rPr>
  </w:style>
  <w:style w:type="character" w:customStyle="1" w:styleId="14">
    <w:name w:val="列出段落 Char"/>
    <w:basedOn w:val="7"/>
    <w:link w:val="15"/>
    <w:qFormat/>
    <w:uiPriority w:val="34"/>
  </w:style>
  <w:style w:type="paragraph" w:customStyle="1" w:styleId="15">
    <w:name w:val="列出段落11"/>
    <w:basedOn w:val="1"/>
    <w:link w:val="14"/>
    <w:qFormat/>
    <w:uiPriority w:val="34"/>
    <w:pPr>
      <w:adjustRightInd/>
      <w:spacing w:before="156" w:beforeLines="50" w:after="156" w:afterLines="50" w:line="240" w:lineRule="auto"/>
      <w:ind w:left="420" w:firstLine="420" w:firstLineChars="200"/>
      <w:textAlignment w:val="auto"/>
    </w:pPr>
    <w:rPr>
      <w:rFonts w:asciiTheme="minorHAnsi" w:hAnsiTheme="minorHAnsi" w:eastAsiaTheme="minorEastAsia" w:cstheme="minorBidi"/>
      <w:kern w:val="2"/>
      <w:sz w:val="21"/>
      <w:szCs w:val="22"/>
    </w:rPr>
  </w:style>
  <w:style w:type="paragraph" w:customStyle="1" w:styleId="16">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7">
    <w:name w:val="Style1"/>
    <w:basedOn w:val="1"/>
    <w:qFormat/>
    <w:uiPriority w:val="0"/>
    <w:pPr>
      <w:widowControl/>
      <w:adjustRightInd/>
      <w:spacing w:line="240" w:lineRule="auto"/>
      <w:jc w:val="center"/>
      <w:textAlignment w:val="auto"/>
    </w:pPr>
    <w:rPr>
      <w:rFonts w:ascii="Arial" w:hAnsi="Arial"/>
      <w:b/>
      <w:caps/>
      <w:sz w:val="24"/>
    </w:rPr>
  </w:style>
  <w:style w:type="character" w:customStyle="1" w:styleId="18">
    <w:name w:val="页眉 Char"/>
    <w:basedOn w:val="7"/>
    <w:link w:val="5"/>
    <w:uiPriority w:val="99"/>
    <w:rPr>
      <w:rFonts w:ascii="Times New Roman" w:hAnsi="Times New Roman" w:eastAsia="宋体" w:cs="Times New Roman"/>
      <w:kern w:val="0"/>
      <w:sz w:val="18"/>
      <w:szCs w:val="18"/>
    </w:rPr>
  </w:style>
  <w:style w:type="character" w:customStyle="1" w:styleId="19">
    <w:name w:val="页脚 Char"/>
    <w:basedOn w:val="7"/>
    <w:link w:val="4"/>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26D92F-36D2-4AAE-B07D-7FEBA3425DBC}">
  <ds:schemaRefs/>
</ds:datastoreItem>
</file>

<file path=docProps/app.xml><?xml version="1.0" encoding="utf-8"?>
<Properties xmlns="http://schemas.openxmlformats.org/officeDocument/2006/extended-properties" xmlns:vt="http://schemas.openxmlformats.org/officeDocument/2006/docPropsVTypes">
  <Template>Normal</Template>
  <Pages>12</Pages>
  <Words>1020</Words>
  <Characters>5815</Characters>
  <Lines>48</Lines>
  <Paragraphs>13</Paragraphs>
  <TotalTime>0</TotalTime>
  <ScaleCrop>false</ScaleCrop>
  <LinksUpToDate>false</LinksUpToDate>
  <CharactersWithSpaces>6822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2019-02-01T11:59:00Z</dcterms:created>
  <dc:creator>Stone Sun</dc:creator>
  <cp:lastModifiedBy>2018年大修之前需签订的合同清单</cp:lastModifiedBy>
  <dcterms:modified xsi:type="dcterms:W3CDTF">2019-04-16T07:21:24Z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