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福建省东南电化股份有限公司</w:t>
      </w:r>
    </w:p>
    <w:p>
      <w:pPr>
        <w:jc w:val="center"/>
        <w:rPr>
          <w:rFonts w:hint="eastAsia" w:ascii="宋体"/>
          <w:b/>
          <w:bCs/>
          <w:sz w:val="52"/>
          <w:szCs w:val="52"/>
          <w:highlight w:val="none"/>
        </w:rPr>
      </w:pPr>
      <w:r>
        <w:rPr>
          <w:rFonts w:hint="eastAsia" w:ascii="宋体"/>
          <w:b/>
          <w:bCs/>
          <w:sz w:val="52"/>
          <w:szCs w:val="52"/>
          <w:highlight w:val="none"/>
        </w:rPr>
        <w:t xml:space="preserve"> </w:t>
      </w:r>
      <w:r>
        <w:rPr>
          <w:rFonts w:hint="eastAsia" w:ascii="宋体"/>
          <w:b/>
          <w:bCs/>
          <w:sz w:val="52"/>
          <w:szCs w:val="52"/>
          <w:highlight w:val="none"/>
          <w:lang w:eastAsia="zh-CN"/>
        </w:rPr>
        <w:t>2019年-2021年</w:t>
      </w:r>
      <w:r>
        <w:rPr>
          <w:rFonts w:hint="eastAsia" w:ascii="宋体"/>
          <w:b/>
          <w:bCs/>
          <w:sz w:val="52"/>
          <w:szCs w:val="52"/>
          <w:highlight w:val="none"/>
        </w:rPr>
        <w:t>员工接送车辆运输服务项目</w:t>
      </w:r>
    </w:p>
    <w:p>
      <w:pPr>
        <w:jc w:val="center"/>
        <w:rPr>
          <w:rFonts w:hint="eastAsia" w:ascii="宋体"/>
          <w:b/>
          <w:bCs/>
          <w:sz w:val="52"/>
          <w:szCs w:val="52"/>
          <w:highlight w:val="none"/>
        </w:rPr>
      </w:pPr>
    </w:p>
    <w:p>
      <w:pPr>
        <w:jc w:val="center"/>
        <w:rPr>
          <w:rFonts w:hint="eastAsia" w:ascii="宋体"/>
          <w:b/>
          <w:bCs/>
          <w:sz w:val="52"/>
          <w:szCs w:val="52"/>
          <w:highlight w:val="none"/>
        </w:rPr>
      </w:pPr>
    </w:p>
    <w:p>
      <w:pPr>
        <w:jc w:val="center"/>
        <w:rPr>
          <w:rFonts w:hint="eastAsia"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自主比选文件</w:t>
      </w: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32"/>
          <w:szCs w:val="32"/>
          <w:highlight w:val="none"/>
        </w:rPr>
      </w:pPr>
      <w:r>
        <w:rPr>
          <w:rFonts w:hint="eastAsia" w:ascii="宋体" w:hAnsi="宋体" w:cs="宋体"/>
          <w:b/>
          <w:bCs/>
          <w:sz w:val="32"/>
          <w:szCs w:val="32"/>
          <w:highlight w:val="none"/>
        </w:rPr>
        <w:t>比选人：福建省东南电化股份有限公司</w:t>
      </w:r>
    </w:p>
    <w:p>
      <w:pPr>
        <w:jc w:val="center"/>
        <w:rPr>
          <w:rFonts w:ascii="宋体"/>
          <w:b/>
          <w:bCs/>
          <w:sz w:val="32"/>
          <w:szCs w:val="32"/>
          <w:highlight w:val="none"/>
        </w:rPr>
      </w:pPr>
      <w:r>
        <w:rPr>
          <w:rFonts w:hint="eastAsia" w:ascii="宋体" w:hAnsi="宋体" w:cs="宋体"/>
          <w:b/>
          <w:bCs/>
          <w:sz w:val="32"/>
          <w:szCs w:val="32"/>
          <w:highlight w:val="none"/>
        </w:rPr>
        <w:t>二〇一</w:t>
      </w:r>
      <w:r>
        <w:rPr>
          <w:rFonts w:hint="eastAsia" w:ascii="宋体" w:hAnsi="宋体" w:cs="宋体"/>
          <w:b/>
          <w:bCs/>
          <w:sz w:val="32"/>
          <w:szCs w:val="32"/>
          <w:highlight w:val="none"/>
          <w:lang w:eastAsia="zh-CN"/>
        </w:rPr>
        <w:t>九年二</w:t>
      </w:r>
      <w:r>
        <w:rPr>
          <w:rFonts w:hint="eastAsia" w:ascii="宋体" w:hAnsi="宋体" w:cs="宋体"/>
          <w:b/>
          <w:bCs/>
          <w:sz w:val="32"/>
          <w:szCs w:val="32"/>
          <w:highlight w:val="none"/>
        </w:rPr>
        <w:t>月</w:t>
      </w:r>
    </w:p>
    <w:p>
      <w:pPr>
        <w:ind w:firstLine="560" w:firstLineChars="200"/>
        <w:jc w:val="center"/>
        <w:rPr>
          <w:rFonts w:ascii="宋体"/>
          <w:sz w:val="28"/>
          <w:szCs w:val="28"/>
          <w:highlight w:val="none"/>
        </w:rPr>
      </w:pPr>
    </w:p>
    <w:p>
      <w:pPr>
        <w:ind w:firstLine="560" w:firstLineChars="200"/>
        <w:jc w:val="center"/>
        <w:rPr>
          <w:rFonts w:ascii="宋体"/>
          <w:sz w:val="28"/>
          <w:szCs w:val="28"/>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目</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录</w:t>
      </w:r>
    </w:p>
    <w:p>
      <w:pPr>
        <w:jc w:val="left"/>
        <w:rPr>
          <w:rFonts w:ascii="宋体"/>
          <w:color w:val="000000"/>
          <w:sz w:val="32"/>
          <w:szCs w:val="32"/>
          <w:highlight w:val="none"/>
        </w:rPr>
      </w:pP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第一章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比选公告</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第二章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比选须知</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第四章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评比规则</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第五章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参选人选定</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第六章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tabs>
          <w:tab w:val="left" w:pos="1260"/>
          <w:tab w:val="left" w:pos="1800"/>
        </w:tabs>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第七章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tabs>
          <w:tab w:val="left" w:pos="1260"/>
          <w:tab w:val="left" w:pos="1800"/>
        </w:tabs>
        <w:ind w:firstLine="640" w:firstLineChars="200"/>
        <w:jc w:val="left"/>
        <w:rPr>
          <w:rFonts w:ascii="宋体"/>
          <w:color w:val="000000"/>
          <w:sz w:val="32"/>
          <w:szCs w:val="32"/>
          <w:highlight w:val="none"/>
        </w:rPr>
      </w:pP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第八章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ind w:firstLine="720" w:firstLineChars="225"/>
        <w:jc w:val="left"/>
        <w:rPr>
          <w:rFonts w:ascii="宋体"/>
          <w:color w:val="000000"/>
          <w:sz w:val="32"/>
          <w:szCs w:val="32"/>
          <w:highlight w:val="none"/>
        </w:rPr>
      </w:pP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附件一：合同</w:t>
      </w: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color w:val="000000"/>
          <w:sz w:val="32"/>
          <w:szCs w:val="32"/>
          <w:highlight w:val="none"/>
          <w:lang w:eastAsia="zh-CN"/>
        </w:rPr>
        <w:t>二</w:t>
      </w:r>
      <w:r>
        <w:rPr>
          <w:rFonts w:hint="eastAsia" w:ascii="宋体" w:hAnsi="宋体" w:cs="宋体"/>
          <w:color w:val="000000"/>
          <w:sz w:val="32"/>
          <w:szCs w:val="32"/>
          <w:highlight w:val="none"/>
        </w:rPr>
        <w:t>：参选报价单</w:t>
      </w:r>
    </w:p>
    <w:p>
      <w:p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sz w:val="32"/>
          <w:szCs w:val="32"/>
          <w:highlight w:val="none"/>
          <w:lang w:eastAsia="zh-CN"/>
        </w:rPr>
        <w:t>三</w:t>
      </w:r>
      <w:r>
        <w:rPr>
          <w:rFonts w:hint="eastAsia" w:ascii="宋体" w:hAnsi="宋体" w:cs="宋体"/>
          <w:color w:val="000000"/>
          <w:sz w:val="32"/>
          <w:szCs w:val="32"/>
          <w:highlight w:val="none"/>
        </w:rPr>
        <w:t>：法定代表人授权委托书</w:t>
      </w:r>
    </w:p>
    <w:p>
      <w:pPr>
        <w:ind w:firstLine="640" w:firstLineChars="200"/>
        <w:jc w:val="left"/>
        <w:rPr>
          <w:rFonts w:ascii="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四</w:t>
      </w:r>
      <w:r>
        <w:rPr>
          <w:rFonts w:hint="eastAsia" w:ascii="宋体" w:hAnsi="宋体" w:cs="宋体"/>
          <w:sz w:val="32"/>
          <w:szCs w:val="32"/>
          <w:highlight w:val="none"/>
        </w:rPr>
        <w:t>：承诺函</w:t>
      </w: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both"/>
        <w:rPr>
          <w:rFonts w:ascii="宋体" w:hAnsi="宋体" w:cs="宋体"/>
          <w:b/>
          <w:bCs/>
          <w:sz w:val="44"/>
          <w:szCs w:val="44"/>
          <w:highlight w:val="none"/>
        </w:rPr>
      </w:pPr>
    </w:p>
    <w:p>
      <w:pPr>
        <w:jc w:val="center"/>
        <w:rPr>
          <w:rFonts w:ascii="宋体"/>
          <w:b/>
          <w:bCs/>
          <w:color w:val="000000"/>
          <w:sz w:val="32"/>
          <w:szCs w:val="32"/>
          <w:highlight w:val="none"/>
        </w:rPr>
      </w:pPr>
      <w:r>
        <w:rPr>
          <w:rFonts w:hint="eastAsia" w:ascii="宋体" w:hAnsi="宋体" w:cs="宋体"/>
          <w:b/>
          <w:bCs/>
          <w:color w:val="000000"/>
          <w:sz w:val="32"/>
          <w:szCs w:val="32"/>
          <w:highlight w:val="none"/>
        </w:rPr>
        <w:t>第一章</w:t>
      </w:r>
      <w:r>
        <w:rPr>
          <w:rFonts w:ascii="宋体" w:hAnsi="宋体" w:cs="宋体"/>
          <w:b/>
          <w:bCs/>
          <w:color w:val="000000"/>
          <w:sz w:val="32"/>
          <w:szCs w:val="32"/>
          <w:highlight w:val="none"/>
        </w:rPr>
        <w:t xml:space="preserve">   </w:t>
      </w:r>
      <w:r>
        <w:rPr>
          <w:rFonts w:hint="eastAsia" w:ascii="宋体" w:hAnsi="宋体" w:cs="宋体"/>
          <w:b/>
          <w:bCs/>
          <w:color w:val="000000"/>
          <w:sz w:val="32"/>
          <w:szCs w:val="32"/>
          <w:highlight w:val="none"/>
        </w:rPr>
        <w:t>比选公告</w:t>
      </w:r>
    </w:p>
    <w:p>
      <w:pPr>
        <w:rPr>
          <w:rFonts w:hint="eastAsia" w:ascii="宋体" w:hAnsi="宋体" w:cs="宋体"/>
          <w:color w:val="000000"/>
          <w:sz w:val="28"/>
          <w:szCs w:val="28"/>
          <w:highlight w:val="none"/>
        </w:rPr>
      </w:pPr>
      <w:r>
        <w:rPr>
          <w:rFonts w:ascii="宋体" w:hAnsi="宋体" w:cs="宋体"/>
          <w:b/>
          <w:bCs/>
          <w:color w:val="000000"/>
          <w:sz w:val="28"/>
          <w:szCs w:val="28"/>
          <w:highlight w:val="none"/>
        </w:rPr>
        <w:t>1</w:t>
      </w:r>
      <w:r>
        <w:rPr>
          <w:rFonts w:hint="eastAsia" w:ascii="宋体" w:hAnsi="宋体" w:cs="宋体"/>
          <w:b/>
          <w:bCs/>
          <w:color w:val="000000"/>
          <w:sz w:val="28"/>
          <w:szCs w:val="28"/>
          <w:highlight w:val="none"/>
        </w:rPr>
        <w:t>、介绍</w:t>
      </w:r>
    </w:p>
    <w:p>
      <w:pPr>
        <w:keepNext w:val="0"/>
        <w:keepLines w:val="0"/>
        <w:pageBreakBefore w:val="0"/>
        <w:widowControl w:val="0"/>
        <w:kinsoku/>
        <w:wordWrap/>
        <w:overflowPunct/>
        <w:topLinePunct w:val="0"/>
        <w:autoSpaceDE/>
        <w:autoSpaceDN/>
        <w:bidi w:val="0"/>
        <w:adjustRightInd w:val="0"/>
        <w:spacing w:line="480" w:lineRule="auto"/>
        <w:ind w:left="0" w:leftChars="0" w:right="0" w:rightChars="0" w:firstLine="645"/>
        <w:jc w:val="both"/>
        <w:textAlignment w:val="baseline"/>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福建省东南电化股份有限公司拟对本公司</w:t>
      </w:r>
      <w:r>
        <w:rPr>
          <w:rFonts w:hint="eastAsia" w:ascii="宋体" w:hAnsi="宋体" w:cs="宋体"/>
          <w:color w:val="000000"/>
          <w:sz w:val="28"/>
          <w:szCs w:val="28"/>
          <w:highlight w:val="none"/>
          <w:lang w:eastAsia="zh-CN"/>
        </w:rPr>
        <w:t>2019年-2021年</w:t>
      </w:r>
      <w:r>
        <w:rPr>
          <w:rFonts w:hint="eastAsia" w:ascii="宋体" w:hAnsi="宋体" w:eastAsia="宋体" w:cs="宋体"/>
          <w:color w:val="000000"/>
          <w:sz w:val="28"/>
          <w:szCs w:val="28"/>
          <w:highlight w:val="none"/>
        </w:rPr>
        <w:t>员工接送车辆运输服务项目进行公开比选，选定参选人。参选人需具独立法人资格。</w:t>
      </w:r>
    </w:p>
    <w:p>
      <w:pPr>
        <w:keepNext w:val="0"/>
        <w:keepLines w:val="0"/>
        <w:pageBreakBefore w:val="0"/>
        <w:widowControl w:val="0"/>
        <w:kinsoku/>
        <w:wordWrap/>
        <w:overflowPunct/>
        <w:topLinePunct w:val="0"/>
        <w:autoSpaceDE/>
        <w:autoSpaceDN/>
        <w:bidi w:val="0"/>
        <w:adjustRightInd w:val="0"/>
        <w:spacing w:line="480" w:lineRule="auto"/>
        <w:ind w:left="0" w:leftChars="0" w:right="0" w:rightChars="0" w:firstLine="645"/>
        <w:jc w:val="both"/>
        <w:textAlignment w:val="baseline"/>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福建省东南电化股份有限公司承诺本次自主比选不存在任何障碍，保证本公告的内容不存在任何重大遗漏、虚假陈述或严重误导，并对其内容的真实性、完整性和有效性负责。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val="0"/>
        <w:spacing w:line="480" w:lineRule="auto"/>
        <w:ind w:left="0" w:leftChars="0" w:right="0" w:rightChars="0" w:firstLine="645"/>
        <w:jc w:val="both"/>
        <w:textAlignment w:val="baseline"/>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为了“公开、公平、公正、透明”，引导参选人进行正确参选，特制定本规定文件。</w:t>
      </w:r>
    </w:p>
    <w:p>
      <w:pPr>
        <w:ind w:firstLine="645"/>
        <w:rPr>
          <w:rFonts w:hint="eastAsia" w:ascii="宋体" w:hAnsi="宋体" w:cs="宋体"/>
          <w:color w:val="000000"/>
          <w:sz w:val="28"/>
          <w:szCs w:val="28"/>
          <w:highlight w:val="none"/>
          <w:lang w:eastAsia="zh-CN"/>
        </w:rPr>
      </w:pPr>
    </w:p>
    <w:p>
      <w:pPr>
        <w:ind w:firstLine="645"/>
        <w:rPr>
          <w:rFonts w:hint="eastAsia" w:ascii="宋体" w:hAnsi="宋体" w:cs="宋体"/>
          <w:color w:val="000000"/>
          <w:sz w:val="28"/>
          <w:szCs w:val="28"/>
          <w:highlight w:val="none"/>
        </w:rPr>
      </w:pPr>
    </w:p>
    <w:p>
      <w:pPr>
        <w:ind w:firstLine="645"/>
        <w:rPr>
          <w:rFonts w:hint="eastAsia" w:ascii="宋体" w:hAnsi="宋体" w:cs="宋体"/>
          <w:sz w:val="28"/>
          <w:szCs w:val="28"/>
          <w:highlight w:val="none"/>
        </w:rPr>
      </w:pPr>
    </w:p>
    <w:p>
      <w:pPr>
        <w:ind w:firstLine="645"/>
        <w:rPr>
          <w:rFonts w:hint="eastAsia" w:ascii="宋体" w:hAnsi="宋体" w:cs="宋体"/>
          <w:sz w:val="28"/>
          <w:szCs w:val="28"/>
          <w:highlight w:val="none"/>
        </w:rPr>
      </w:pPr>
    </w:p>
    <w:p>
      <w:pPr>
        <w:ind w:firstLine="645"/>
        <w:rPr>
          <w:rFonts w:hint="eastAsia" w:ascii="宋体" w:hAnsi="宋体" w:cs="宋体"/>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rPr>
          <w:rFonts w:ascii="宋体"/>
          <w:b/>
          <w:bCs/>
          <w:sz w:val="28"/>
          <w:szCs w:val="28"/>
          <w:highlight w:val="none"/>
        </w:rPr>
      </w:pPr>
    </w:p>
    <w:p>
      <w:pPr>
        <w:ind w:firstLine="723" w:firstLineChars="225"/>
        <w:jc w:val="center"/>
        <w:rPr>
          <w:rFonts w:ascii="宋体"/>
          <w:b/>
          <w:bCs/>
          <w:sz w:val="32"/>
          <w:szCs w:val="32"/>
          <w:highlight w:val="none"/>
        </w:rPr>
      </w:pPr>
      <w:r>
        <w:rPr>
          <w:rFonts w:hint="eastAsia" w:ascii="宋体" w:hAnsi="宋体" w:cs="宋体"/>
          <w:b/>
          <w:bCs/>
          <w:sz w:val="32"/>
          <w:szCs w:val="32"/>
          <w:highlight w:val="none"/>
        </w:rPr>
        <w:t>第二章</w:t>
      </w:r>
      <w:r>
        <w:rPr>
          <w:rFonts w:ascii="宋体" w:hAnsi="宋体" w:cs="宋体"/>
          <w:b/>
          <w:bCs/>
          <w:sz w:val="32"/>
          <w:szCs w:val="32"/>
          <w:highlight w:val="none"/>
        </w:rPr>
        <w:t xml:space="preserve">   </w:t>
      </w:r>
      <w:r>
        <w:rPr>
          <w:rFonts w:hint="eastAsia" w:ascii="宋体" w:hAnsi="宋体" w:cs="宋体"/>
          <w:b/>
          <w:bCs/>
          <w:sz w:val="32"/>
          <w:szCs w:val="32"/>
          <w:highlight w:val="none"/>
        </w:rPr>
        <w:t>比选须知</w:t>
      </w:r>
    </w:p>
    <w:p>
      <w:pPr>
        <w:jc w:val="left"/>
        <w:rPr>
          <w:rFonts w:ascii="宋体" w:hAnsi="宋体"/>
          <w:b/>
          <w:sz w:val="28"/>
          <w:szCs w:val="28"/>
          <w:highlight w:val="none"/>
        </w:rPr>
      </w:pPr>
      <w:r>
        <w:rPr>
          <w:rFonts w:hint="eastAsia" w:ascii="宋体" w:hAnsi="宋体"/>
          <w:b/>
          <w:sz w:val="28"/>
          <w:szCs w:val="28"/>
          <w:highlight w:val="none"/>
        </w:rPr>
        <w:t>1.比选范围</w:t>
      </w:r>
    </w:p>
    <w:p>
      <w:pPr>
        <w:spacing w:line="360" w:lineRule="auto"/>
        <w:rPr>
          <w:rFonts w:ascii="宋体" w:hAnsi="宋体"/>
          <w:sz w:val="28"/>
          <w:szCs w:val="28"/>
          <w:highlight w:val="none"/>
        </w:rPr>
      </w:pPr>
      <w:r>
        <w:rPr>
          <w:rFonts w:hint="eastAsia" w:ascii="宋体" w:hAnsi="宋体"/>
          <w:sz w:val="28"/>
          <w:szCs w:val="28"/>
          <w:highlight w:val="none"/>
        </w:rPr>
        <w:t>1.1项目概况</w:t>
      </w:r>
    </w:p>
    <w:p>
      <w:pPr>
        <w:autoSpaceDE w:val="0"/>
        <w:autoSpaceDN w:val="0"/>
        <w:spacing w:before="105" w:after="105"/>
        <w:ind w:firstLine="570"/>
        <w:rPr>
          <w:rFonts w:ascii="宋体" w:hAnsi="宋体" w:cs="宋体"/>
          <w:color w:val="000000"/>
          <w:sz w:val="28"/>
          <w:szCs w:val="28"/>
          <w:highlight w:val="none"/>
        </w:rPr>
      </w:pPr>
      <w:r>
        <w:rPr>
          <w:rFonts w:hint="eastAsia" w:ascii="宋体" w:hAnsi="宋体"/>
          <w:sz w:val="28"/>
          <w:szCs w:val="28"/>
          <w:highlight w:val="none"/>
        </w:rPr>
        <w:t>福建省东南电化股份有限公司</w:t>
      </w:r>
      <w:r>
        <w:rPr>
          <w:rFonts w:hint="eastAsia" w:ascii="宋体" w:hAnsi="宋体"/>
          <w:sz w:val="28"/>
          <w:szCs w:val="28"/>
          <w:highlight w:val="none"/>
          <w:lang w:val="en-US" w:eastAsia="zh-CN"/>
        </w:rPr>
        <w:t>2019年-2021年</w:t>
      </w:r>
      <w:r>
        <w:rPr>
          <w:rFonts w:hint="eastAsia" w:ascii="宋体" w:hAnsi="宋体"/>
          <w:sz w:val="28"/>
          <w:szCs w:val="28"/>
          <w:highlight w:val="none"/>
        </w:rPr>
        <w:t>员工接送车辆运输服务</w:t>
      </w:r>
      <w:r>
        <w:rPr>
          <w:rFonts w:hint="eastAsia" w:ascii="宋体" w:hAnsi="宋体" w:cs="宋体"/>
          <w:sz w:val="28"/>
          <w:szCs w:val="28"/>
          <w:highlight w:val="none"/>
        </w:rPr>
        <w:t>。</w:t>
      </w:r>
    </w:p>
    <w:p>
      <w:pPr>
        <w:spacing w:line="360" w:lineRule="auto"/>
        <w:rPr>
          <w:rFonts w:ascii="宋体" w:hAnsi="宋体"/>
          <w:sz w:val="28"/>
          <w:szCs w:val="28"/>
          <w:highlight w:val="none"/>
        </w:rPr>
      </w:pPr>
      <w:r>
        <w:rPr>
          <w:rFonts w:hint="eastAsia" w:ascii="宋体" w:hAnsi="宋体" w:cs="宋体"/>
          <w:sz w:val="28"/>
          <w:szCs w:val="28"/>
          <w:highlight w:val="none"/>
        </w:rPr>
        <w:t>1.2服务</w:t>
      </w:r>
      <w:r>
        <w:rPr>
          <w:rFonts w:hint="eastAsia" w:ascii="宋体" w:hAnsi="宋体"/>
          <w:sz w:val="28"/>
          <w:szCs w:val="28"/>
          <w:highlight w:val="none"/>
        </w:rPr>
        <w:t>范围</w:t>
      </w:r>
    </w:p>
    <w:tbl>
      <w:tblPr>
        <w:tblStyle w:val="16"/>
        <w:tblW w:w="9120" w:type="dxa"/>
        <w:tblInd w:w="93" w:type="dxa"/>
        <w:tblLayout w:type="fixed"/>
        <w:tblCellMar>
          <w:top w:w="0" w:type="dxa"/>
          <w:left w:w="108" w:type="dxa"/>
          <w:bottom w:w="0" w:type="dxa"/>
          <w:right w:w="108" w:type="dxa"/>
        </w:tblCellMar>
      </w:tblPr>
      <w:tblGrid>
        <w:gridCol w:w="1433"/>
        <w:gridCol w:w="727"/>
        <w:gridCol w:w="1440"/>
        <w:gridCol w:w="1520"/>
        <w:gridCol w:w="1274"/>
        <w:gridCol w:w="966"/>
        <w:gridCol w:w="1760"/>
      </w:tblGrid>
      <w:tr>
        <w:tblPrEx>
          <w:tblLayout w:type="fixed"/>
          <w:tblCellMar>
            <w:top w:w="0" w:type="dxa"/>
            <w:left w:w="108" w:type="dxa"/>
            <w:bottom w:w="0" w:type="dxa"/>
            <w:right w:w="108" w:type="dxa"/>
          </w:tblCellMar>
        </w:tblPrEx>
        <w:trPr>
          <w:trHeight w:val="435" w:hRule="atLeast"/>
        </w:trPr>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合同包</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序号</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出发</w:t>
            </w:r>
          </w:p>
        </w:tc>
        <w:tc>
          <w:tcPr>
            <w:tcW w:w="15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到达</w:t>
            </w:r>
          </w:p>
        </w:tc>
        <w:tc>
          <w:tcPr>
            <w:tcW w:w="12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发车时间</w:t>
            </w:r>
          </w:p>
        </w:tc>
        <w:tc>
          <w:tcPr>
            <w:tcW w:w="9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频率</w:t>
            </w:r>
          </w:p>
        </w:tc>
        <w:tc>
          <w:tcPr>
            <w:tcW w:w="17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备注</w:t>
            </w:r>
          </w:p>
        </w:tc>
      </w:tr>
      <w:tr>
        <w:tblPrEx>
          <w:tblLayout w:type="fixed"/>
          <w:tblCellMar>
            <w:top w:w="0" w:type="dxa"/>
            <w:left w:w="108" w:type="dxa"/>
            <w:bottom w:w="0" w:type="dxa"/>
            <w:right w:w="108" w:type="dxa"/>
          </w:tblCellMar>
        </w:tblPrEx>
        <w:trPr>
          <w:trHeight w:val="543" w:hRule="atLeast"/>
        </w:trPr>
        <w:tc>
          <w:tcPr>
            <w:tcW w:w="1433" w:type="dxa"/>
            <w:vMerge w:val="restart"/>
            <w:tcBorders>
              <w:top w:val="nil"/>
              <w:left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包1：</w:t>
            </w:r>
          </w:p>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lang w:eastAsia="zh-CN"/>
              </w:rPr>
              <w:t>福州</w:t>
            </w:r>
            <w:r>
              <w:rPr>
                <w:rFonts w:hint="eastAsia" w:ascii="宋体" w:hAnsi="宋体" w:cs="宋体"/>
                <w:b/>
                <w:bCs/>
                <w:color w:val="000000"/>
                <w:sz w:val="21"/>
                <w:szCs w:val="21"/>
                <w:highlight w:val="none"/>
              </w:rPr>
              <w:t>接送车</w:t>
            </w:r>
          </w:p>
        </w:tc>
        <w:tc>
          <w:tcPr>
            <w:tcW w:w="727"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1</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福州市区</w:t>
            </w:r>
          </w:p>
        </w:tc>
        <w:tc>
          <w:tcPr>
            <w:tcW w:w="152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江阴厂区</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13:30</w:t>
            </w:r>
          </w:p>
        </w:tc>
        <w:tc>
          <w:tcPr>
            <w:tcW w:w="966"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隔天</w:t>
            </w:r>
          </w:p>
        </w:tc>
        <w:tc>
          <w:tcPr>
            <w:tcW w:w="176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经停新厝宿舍</w:t>
            </w:r>
          </w:p>
        </w:tc>
      </w:tr>
      <w:tr>
        <w:tblPrEx>
          <w:tblLayout w:type="fixed"/>
          <w:tblCellMar>
            <w:top w:w="0" w:type="dxa"/>
            <w:left w:w="108" w:type="dxa"/>
            <w:bottom w:w="0" w:type="dxa"/>
            <w:right w:w="108" w:type="dxa"/>
          </w:tblCellMar>
        </w:tblPrEx>
        <w:trPr>
          <w:trHeight w:val="423" w:hRule="atLeast"/>
        </w:trPr>
        <w:tc>
          <w:tcPr>
            <w:tcW w:w="1433" w:type="dxa"/>
            <w:vMerge w:val="continue"/>
            <w:tcBorders>
              <w:left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p>
        </w:tc>
        <w:tc>
          <w:tcPr>
            <w:tcW w:w="727"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2</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江阴厂区</w:t>
            </w:r>
          </w:p>
        </w:tc>
        <w:tc>
          <w:tcPr>
            <w:tcW w:w="152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福州市区</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8:30</w:t>
            </w:r>
          </w:p>
        </w:tc>
        <w:tc>
          <w:tcPr>
            <w:tcW w:w="966"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隔天</w:t>
            </w:r>
          </w:p>
        </w:tc>
        <w:tc>
          <w:tcPr>
            <w:tcW w:w="176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经停新厝宿舍</w:t>
            </w:r>
          </w:p>
        </w:tc>
      </w:tr>
      <w:tr>
        <w:tblPrEx>
          <w:tblLayout w:type="fixed"/>
          <w:tblCellMar>
            <w:top w:w="0" w:type="dxa"/>
            <w:left w:w="108" w:type="dxa"/>
            <w:bottom w:w="0" w:type="dxa"/>
            <w:right w:w="108" w:type="dxa"/>
          </w:tblCellMar>
        </w:tblPrEx>
        <w:trPr>
          <w:trHeight w:val="423" w:hRule="atLeast"/>
        </w:trPr>
        <w:tc>
          <w:tcPr>
            <w:tcW w:w="1433" w:type="dxa"/>
            <w:vMerge w:val="continue"/>
            <w:tcBorders>
              <w:left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p>
        </w:tc>
        <w:tc>
          <w:tcPr>
            <w:tcW w:w="727"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val="en-US" w:eastAsia="zh-CN"/>
              </w:rPr>
              <w:t>3</w:t>
            </w:r>
          </w:p>
        </w:tc>
        <w:tc>
          <w:tcPr>
            <w:tcW w:w="1440"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福州市区</w:t>
            </w:r>
          </w:p>
        </w:tc>
        <w:tc>
          <w:tcPr>
            <w:tcW w:w="1520"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江阴厂区</w:t>
            </w:r>
          </w:p>
        </w:tc>
        <w:tc>
          <w:tcPr>
            <w:tcW w:w="1274"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7:10</w:t>
            </w:r>
          </w:p>
        </w:tc>
        <w:tc>
          <w:tcPr>
            <w:tcW w:w="966"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周一</w:t>
            </w:r>
          </w:p>
        </w:tc>
        <w:tc>
          <w:tcPr>
            <w:tcW w:w="1760"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经停新厝宿舍</w:t>
            </w:r>
          </w:p>
        </w:tc>
      </w:tr>
      <w:tr>
        <w:tblPrEx>
          <w:tblLayout w:type="fixed"/>
          <w:tblCellMar>
            <w:top w:w="0" w:type="dxa"/>
            <w:left w:w="108" w:type="dxa"/>
            <w:bottom w:w="0" w:type="dxa"/>
            <w:right w:w="108" w:type="dxa"/>
          </w:tblCellMar>
        </w:tblPrEx>
        <w:trPr>
          <w:trHeight w:val="423" w:hRule="atLeast"/>
        </w:trPr>
        <w:tc>
          <w:tcPr>
            <w:tcW w:w="143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1"/>
                <w:szCs w:val="21"/>
                <w:highlight w:val="none"/>
              </w:rPr>
            </w:pPr>
          </w:p>
        </w:tc>
        <w:tc>
          <w:tcPr>
            <w:tcW w:w="727"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4</w:t>
            </w:r>
          </w:p>
        </w:tc>
        <w:tc>
          <w:tcPr>
            <w:tcW w:w="1440"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江阴厂区</w:t>
            </w:r>
          </w:p>
        </w:tc>
        <w:tc>
          <w:tcPr>
            <w:tcW w:w="1520"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福州市区</w:t>
            </w:r>
          </w:p>
        </w:tc>
        <w:tc>
          <w:tcPr>
            <w:tcW w:w="1274"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16:10</w:t>
            </w:r>
          </w:p>
        </w:tc>
        <w:tc>
          <w:tcPr>
            <w:tcW w:w="966"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22"/>
                <w:highlight w:val="none"/>
              </w:rPr>
            </w:pPr>
            <w:r>
              <w:rPr>
                <w:rFonts w:hint="eastAsia" w:ascii="宋体" w:hAnsi="宋体" w:cs="宋体"/>
                <w:color w:val="000000"/>
                <w:sz w:val="22"/>
                <w:highlight w:val="none"/>
              </w:rPr>
              <w:t>周五</w:t>
            </w:r>
          </w:p>
        </w:tc>
        <w:tc>
          <w:tcPr>
            <w:tcW w:w="1760" w:type="dxa"/>
            <w:tcBorders>
              <w:top w:val="nil"/>
              <w:left w:val="nil"/>
              <w:bottom w:val="single" w:color="auto" w:sz="4" w:space="0"/>
              <w:right w:val="single" w:color="auto" w:sz="4" w:space="0"/>
            </w:tcBorders>
            <w:textDirection w:val="lrTb"/>
            <w:vAlign w:val="center"/>
          </w:tcPr>
          <w:p>
            <w:pPr>
              <w:widowControl/>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经停新厝宿舍</w:t>
            </w:r>
          </w:p>
        </w:tc>
      </w:tr>
      <w:tr>
        <w:tblPrEx>
          <w:tblLayout w:type="fixed"/>
          <w:tblCellMar>
            <w:top w:w="0" w:type="dxa"/>
            <w:left w:w="108" w:type="dxa"/>
            <w:bottom w:w="0" w:type="dxa"/>
            <w:right w:w="108" w:type="dxa"/>
          </w:tblCellMar>
        </w:tblPrEx>
        <w:trPr>
          <w:trHeight w:val="300" w:hRule="atLeast"/>
        </w:trPr>
        <w:tc>
          <w:tcPr>
            <w:tcW w:w="1433" w:type="dxa"/>
            <w:vMerge w:val="restart"/>
            <w:tcBorders>
              <w:top w:val="single" w:color="auto" w:sz="4" w:space="0"/>
              <w:left w:val="single" w:color="auto" w:sz="4" w:space="0"/>
              <w:right w:val="single" w:color="auto" w:sz="4" w:space="0"/>
            </w:tcBorders>
            <w:textDirection w:val="lrTb"/>
            <w:vAlign w:val="center"/>
          </w:tcPr>
          <w:p>
            <w:pPr>
              <w:widowControl/>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包2：</w:t>
            </w:r>
          </w:p>
          <w:p>
            <w:pPr>
              <w:widowControl/>
              <w:jc w:val="center"/>
              <w:rPr>
                <w:rFonts w:ascii="宋体" w:hAnsi="宋体" w:cs="宋体"/>
                <w:b/>
                <w:bCs/>
                <w:color w:val="000000"/>
                <w:sz w:val="28"/>
                <w:szCs w:val="28"/>
                <w:highlight w:val="none"/>
              </w:rPr>
            </w:pPr>
            <w:r>
              <w:rPr>
                <w:rFonts w:hint="eastAsia" w:ascii="宋体" w:hAnsi="宋体" w:cs="宋体"/>
                <w:b/>
                <w:bCs/>
                <w:color w:val="000000"/>
                <w:sz w:val="21"/>
                <w:szCs w:val="21"/>
                <w:highlight w:val="none"/>
              </w:rPr>
              <w:t>日常用车</w:t>
            </w: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sz w:val="22"/>
                <w:szCs w:val="22"/>
                <w:highlight w:val="none"/>
                <w:lang w:eastAsia="zh-CN"/>
              </w:rPr>
            </w:pPr>
            <w:r>
              <w:rPr>
                <w:rFonts w:hint="eastAsia" w:ascii="宋体" w:hAnsi="宋体" w:cs="宋体"/>
                <w:color w:val="000000"/>
                <w:sz w:val="22"/>
                <w:highlight w:val="none"/>
                <w:lang w:val="en-US" w:eastAsia="zh-CN"/>
              </w:rPr>
              <w:t>1</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新厝生活区</w:t>
            </w:r>
          </w:p>
        </w:tc>
        <w:tc>
          <w:tcPr>
            <w:tcW w:w="152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江阴厂区</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不少于4趟</w:t>
            </w:r>
          </w:p>
        </w:tc>
        <w:tc>
          <w:tcPr>
            <w:tcW w:w="966"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每天</w:t>
            </w:r>
          </w:p>
        </w:tc>
        <w:tc>
          <w:tcPr>
            <w:tcW w:w="176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往返（不含节假日）</w:t>
            </w:r>
          </w:p>
        </w:tc>
      </w:tr>
      <w:tr>
        <w:tblPrEx>
          <w:tblLayout w:type="fixed"/>
          <w:tblCellMar>
            <w:top w:w="0" w:type="dxa"/>
            <w:left w:w="108" w:type="dxa"/>
            <w:bottom w:w="0" w:type="dxa"/>
            <w:right w:w="108" w:type="dxa"/>
          </w:tblCellMar>
        </w:tblPrEx>
        <w:trPr>
          <w:trHeight w:val="300" w:hRule="atLeast"/>
        </w:trPr>
        <w:tc>
          <w:tcPr>
            <w:tcW w:w="143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8"/>
                <w:szCs w:val="28"/>
                <w:highlight w:val="none"/>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sz w:val="22"/>
                <w:szCs w:val="22"/>
                <w:highlight w:val="none"/>
                <w:lang w:eastAsia="zh-CN"/>
              </w:rPr>
            </w:pPr>
            <w:r>
              <w:rPr>
                <w:rFonts w:hint="eastAsia" w:ascii="宋体" w:hAnsi="宋体" w:cs="宋体"/>
                <w:color w:val="000000"/>
                <w:sz w:val="22"/>
                <w:highlight w:val="none"/>
                <w:lang w:val="en-US" w:eastAsia="zh-CN"/>
              </w:rPr>
              <w:t>2</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新厝生活区</w:t>
            </w:r>
          </w:p>
        </w:tc>
        <w:tc>
          <w:tcPr>
            <w:tcW w:w="152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江阴厂区</w:t>
            </w:r>
          </w:p>
        </w:tc>
        <w:tc>
          <w:tcPr>
            <w:tcW w:w="1274"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临时</w:t>
            </w:r>
          </w:p>
        </w:tc>
        <w:tc>
          <w:tcPr>
            <w:tcW w:w="966"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22"/>
                <w:szCs w:val="22"/>
                <w:highlight w:val="none"/>
              </w:rPr>
            </w:pPr>
            <w:r>
              <w:rPr>
                <w:rFonts w:hint="eastAsia" w:ascii="宋体" w:hAnsi="宋体" w:cs="宋体"/>
                <w:color w:val="000000"/>
                <w:sz w:val="22"/>
                <w:highlight w:val="none"/>
              </w:rPr>
              <w:t>不定</w:t>
            </w:r>
          </w:p>
        </w:tc>
        <w:tc>
          <w:tcPr>
            <w:tcW w:w="1760" w:type="dxa"/>
            <w:tcBorders>
              <w:top w:val="nil"/>
              <w:left w:val="nil"/>
              <w:bottom w:val="single" w:color="auto" w:sz="4" w:space="0"/>
              <w:right w:val="single" w:color="auto" w:sz="4" w:space="0"/>
            </w:tcBorders>
            <w:vAlign w:val="center"/>
          </w:tcPr>
          <w:p>
            <w:pPr>
              <w:widowControl/>
              <w:jc w:val="center"/>
              <w:rPr>
                <w:rFonts w:ascii="宋体" w:hAnsi="宋体" w:cs="宋体"/>
                <w:color w:val="000000"/>
                <w:sz w:val="18"/>
                <w:szCs w:val="18"/>
                <w:highlight w:val="none"/>
              </w:rPr>
            </w:pPr>
          </w:p>
        </w:tc>
      </w:tr>
      <w:tr>
        <w:tblPrEx>
          <w:tblLayout w:type="fixed"/>
          <w:tblCellMar>
            <w:top w:w="0" w:type="dxa"/>
            <w:left w:w="108" w:type="dxa"/>
            <w:bottom w:w="0" w:type="dxa"/>
            <w:right w:w="108" w:type="dxa"/>
          </w:tblCellMar>
        </w:tblPrEx>
        <w:trPr>
          <w:trHeight w:val="300" w:hRule="atLeast"/>
        </w:trPr>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8"/>
                <w:szCs w:val="28"/>
                <w:highlight w:val="none"/>
              </w:rPr>
            </w:pPr>
          </w:p>
        </w:tc>
        <w:tc>
          <w:tcPr>
            <w:tcW w:w="7687" w:type="dxa"/>
            <w:gridSpan w:val="6"/>
            <w:tcBorders>
              <w:top w:val="nil"/>
              <w:left w:val="nil"/>
              <w:bottom w:val="single" w:color="auto" w:sz="4" w:space="0"/>
              <w:right w:val="single" w:color="auto" w:sz="4" w:space="0"/>
            </w:tcBorders>
            <w:vAlign w:val="center"/>
          </w:tcPr>
          <w:p>
            <w:pPr>
              <w:widowControl/>
              <w:jc w:val="center"/>
              <w:rPr>
                <w:rFonts w:ascii="宋体" w:hAnsi="宋体" w:cs="宋体"/>
                <w:color w:val="000000"/>
                <w:sz w:val="18"/>
                <w:szCs w:val="18"/>
                <w:highlight w:val="none"/>
              </w:rPr>
            </w:pPr>
            <w:r>
              <w:rPr>
                <w:rFonts w:hAnsi="宋体"/>
                <w:b/>
                <w:sz w:val="24"/>
                <w:szCs w:val="24"/>
                <w:highlight w:val="none"/>
              </w:rPr>
              <w:t>*</w:t>
            </w:r>
            <w:r>
              <w:rPr>
                <w:rFonts w:hint="eastAsia" w:ascii="宋体" w:hAnsi="宋体" w:cs="宋体"/>
                <w:color w:val="000000"/>
                <w:sz w:val="18"/>
                <w:szCs w:val="18"/>
                <w:highlight w:val="none"/>
              </w:rPr>
              <w:t>其中：包2第</w:t>
            </w:r>
            <w:r>
              <w:rPr>
                <w:rFonts w:hint="eastAsia" w:ascii="宋体" w:hAnsi="宋体" w:cs="宋体"/>
                <w:color w:val="000000"/>
                <w:sz w:val="18"/>
                <w:szCs w:val="18"/>
                <w:highlight w:val="none"/>
                <w:lang w:val="en-US" w:eastAsia="zh-CN"/>
              </w:rPr>
              <w:t>2</w:t>
            </w:r>
            <w:r>
              <w:rPr>
                <w:rFonts w:hint="eastAsia" w:ascii="宋体" w:hAnsi="宋体" w:cs="宋体"/>
                <w:color w:val="000000"/>
                <w:sz w:val="18"/>
                <w:szCs w:val="18"/>
                <w:highlight w:val="none"/>
              </w:rPr>
              <w:t>项由比选人根据生产需要进行安排，参选人不得拒绝。</w:t>
            </w:r>
          </w:p>
        </w:tc>
      </w:tr>
    </w:tbl>
    <w:p>
      <w:pPr>
        <w:spacing w:line="360" w:lineRule="auto"/>
        <w:ind w:firstLine="570"/>
        <w:rPr>
          <w:rFonts w:ascii="宋体" w:hAnsi="宋体" w:cs="宋体"/>
          <w:sz w:val="28"/>
          <w:szCs w:val="28"/>
          <w:highlight w:val="none"/>
        </w:rPr>
      </w:pPr>
      <w:r>
        <w:rPr>
          <w:rFonts w:hint="eastAsia" w:ascii="宋体" w:hAnsi="宋体" w:cs="宋体"/>
          <w:sz w:val="28"/>
          <w:szCs w:val="28"/>
          <w:highlight w:val="none"/>
        </w:rPr>
        <w:t>要求：</w:t>
      </w:r>
    </w:p>
    <w:p>
      <w:pPr>
        <w:spacing w:line="360" w:lineRule="auto"/>
        <w:ind w:firstLine="570"/>
        <w:rPr>
          <w:rFonts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yellow"/>
        </w:rPr>
        <w:t>车上人员险不低于</w:t>
      </w:r>
      <w:r>
        <w:rPr>
          <w:rFonts w:hint="eastAsia" w:ascii="宋体" w:hAnsi="宋体" w:cs="宋体"/>
          <w:sz w:val="28"/>
          <w:szCs w:val="28"/>
          <w:highlight w:val="yellow"/>
          <w:lang w:val="en-US" w:eastAsia="zh-CN"/>
        </w:rPr>
        <w:t>100</w:t>
      </w:r>
      <w:r>
        <w:rPr>
          <w:rFonts w:hint="eastAsia" w:ascii="宋体" w:hAnsi="宋体" w:cs="宋体"/>
          <w:sz w:val="28"/>
          <w:szCs w:val="28"/>
          <w:highlight w:val="yellow"/>
        </w:rPr>
        <w:t>万/人</w:t>
      </w:r>
      <w:r>
        <w:rPr>
          <w:rFonts w:hint="eastAsia" w:ascii="宋体" w:hAnsi="宋体" w:cs="宋体"/>
          <w:sz w:val="28"/>
          <w:szCs w:val="28"/>
          <w:highlight w:val="none"/>
        </w:rPr>
        <w:t>（按核载人数计算）；费用月结；提供比选人服务的车辆为购置五年内，并提供保养、维修记录。根据油价变动情况每两个月调整一次合同单价（具体见</w:t>
      </w:r>
      <w:r>
        <w:rPr>
          <w:rFonts w:hint="eastAsia" w:ascii="宋体" w:hAnsi="宋体" w:cs="宋体"/>
          <w:sz w:val="28"/>
          <w:szCs w:val="28"/>
          <w:highlight w:val="none"/>
          <w:lang w:eastAsia="zh-CN"/>
        </w:rPr>
        <w:t>条款</w:t>
      </w:r>
      <w:r>
        <w:rPr>
          <w:rFonts w:hint="eastAsia" w:ascii="宋体" w:hAnsi="宋体" w:cs="宋体"/>
          <w:sz w:val="28"/>
          <w:szCs w:val="28"/>
          <w:highlight w:val="none"/>
          <w:lang w:val="en-US" w:eastAsia="zh-CN"/>
        </w:rPr>
        <w:t>5</w:t>
      </w:r>
      <w:r>
        <w:rPr>
          <w:rFonts w:hint="eastAsia" w:ascii="宋体" w:hAnsi="宋体" w:cs="宋体"/>
          <w:sz w:val="28"/>
          <w:szCs w:val="28"/>
          <w:highlight w:val="none"/>
        </w:rPr>
        <w:t>）。</w:t>
      </w:r>
    </w:p>
    <w:p>
      <w:pPr>
        <w:spacing w:line="360" w:lineRule="auto"/>
        <w:ind w:firstLine="570"/>
        <w:rPr>
          <w:rFonts w:ascii="宋体" w:hAnsi="宋体" w:cs="宋体"/>
          <w:sz w:val="28"/>
          <w:szCs w:val="28"/>
          <w:highlight w:val="none"/>
        </w:rPr>
      </w:pPr>
      <w:r>
        <w:rPr>
          <w:rFonts w:hint="eastAsia" w:ascii="宋体" w:hAnsi="宋体" w:cs="宋体"/>
          <w:sz w:val="28"/>
          <w:szCs w:val="28"/>
          <w:highlight w:val="none"/>
        </w:rPr>
        <w:t>2.参选人的承运车辆及驾乘人员必须严格遵守福建省东南电化股份有限公司相关的制度。如违反相关制度，将由比选人视情节轻重按规定予以处罚。处罚款从每月的合同款中扣除。</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3.本项目的“服务”系指比选文件规定参选人须承担的运输、办理保险、提供发票以及其他相关义务。</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w:t>
      </w:r>
      <w:r>
        <w:rPr>
          <w:rFonts w:hint="eastAsia"/>
          <w:highlight w:val="none"/>
        </w:rPr>
        <w:t xml:space="preserve"> </w:t>
      </w:r>
      <w:r>
        <w:rPr>
          <w:rFonts w:hint="eastAsia" w:ascii="宋体" w:hAnsi="宋体" w:cs="宋体"/>
          <w:sz w:val="28"/>
          <w:szCs w:val="28"/>
          <w:highlight w:val="none"/>
        </w:rPr>
        <w:t>本项目按合同包进行授标，参选人</w:t>
      </w:r>
      <w:r>
        <w:rPr>
          <w:rFonts w:hint="eastAsia" w:ascii="宋体" w:hAnsi="宋体" w:cs="宋体"/>
          <w:sz w:val="28"/>
          <w:szCs w:val="28"/>
          <w:highlight w:val="none"/>
          <w:lang w:eastAsia="zh-CN"/>
        </w:rPr>
        <w:t>可对一个或多个</w:t>
      </w:r>
      <w:r>
        <w:rPr>
          <w:rFonts w:hint="eastAsia" w:ascii="宋体" w:hAnsi="宋体" w:cs="宋体"/>
          <w:sz w:val="28"/>
          <w:szCs w:val="28"/>
          <w:highlight w:val="none"/>
        </w:rPr>
        <w:t>合同包</w:t>
      </w:r>
      <w:r>
        <w:rPr>
          <w:rFonts w:hint="eastAsia" w:ascii="宋体" w:hAnsi="宋体" w:cs="宋体"/>
          <w:sz w:val="28"/>
          <w:szCs w:val="28"/>
          <w:highlight w:val="none"/>
          <w:lang w:eastAsia="zh-CN"/>
        </w:rPr>
        <w:t>服务参选报价</w:t>
      </w:r>
      <w:r>
        <w:rPr>
          <w:rFonts w:hint="eastAsia" w:ascii="宋体" w:hAnsi="宋体" w:cs="宋体"/>
          <w:sz w:val="28"/>
          <w:szCs w:val="28"/>
          <w:highlight w:val="none"/>
        </w:rPr>
        <w:t>。比选人可以根据参选人报价情况对合同包内容进行调整。</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5.油价基价为合同签订日</w:t>
      </w:r>
      <w:r>
        <w:rPr>
          <w:rFonts w:hint="eastAsia" w:ascii="宋体" w:hAnsi="宋体" w:cs="宋体"/>
          <w:sz w:val="28"/>
          <w:szCs w:val="28"/>
          <w:highlight w:val="none"/>
          <w:lang w:eastAsia="zh-CN"/>
        </w:rPr>
        <w:t>（暂定为</w:t>
      </w:r>
      <w:r>
        <w:rPr>
          <w:rFonts w:hint="eastAsia" w:ascii="宋体" w:hAnsi="宋体" w:cs="宋体"/>
          <w:sz w:val="28"/>
          <w:szCs w:val="28"/>
          <w:highlight w:val="none"/>
          <w:lang w:val="en-US" w:eastAsia="zh-CN"/>
        </w:rPr>
        <w:t>2019年4月1日</w:t>
      </w:r>
      <w:r>
        <w:rPr>
          <w:rFonts w:hint="eastAsia" w:ascii="宋体" w:hAnsi="宋体" w:cs="宋体"/>
          <w:sz w:val="28"/>
          <w:szCs w:val="28"/>
          <w:highlight w:val="none"/>
          <w:lang w:eastAsia="zh-CN"/>
        </w:rPr>
        <w:t>）</w:t>
      </w:r>
      <w:r>
        <w:rPr>
          <w:rFonts w:hint="eastAsia" w:ascii="宋体" w:hAnsi="宋体" w:cs="宋体"/>
          <w:sz w:val="28"/>
          <w:szCs w:val="28"/>
          <w:highlight w:val="none"/>
        </w:rPr>
        <w:t>的0号柴油油价。在合同执行期间，若燃油价格发生变化，该变化幅度［变化幅度=（调整后的价格-基价）</w:t>
      </w:r>
      <w:r>
        <w:rPr>
          <w:rFonts w:hint="eastAsia" w:ascii="宋体" w:hAnsi="宋体" w:cs="宋体"/>
          <w:sz w:val="28"/>
          <w:szCs w:val="28"/>
          <w:highlight w:val="none"/>
          <w:lang w:val="en-US" w:eastAsia="zh-CN"/>
        </w:rPr>
        <w:t>/</w:t>
      </w:r>
      <w:r>
        <w:rPr>
          <w:rFonts w:hint="eastAsia" w:ascii="宋体" w:hAnsi="宋体" w:cs="宋体"/>
          <w:sz w:val="28"/>
          <w:szCs w:val="28"/>
          <w:highlight w:val="none"/>
        </w:rPr>
        <w:t>基价×100%］在±5%以内单价不调整，变化幅度超过±5%时单价进行调整，计算方法为每个5%的变动幅度为20元/车次（上涨5%内增加20元，下调5%内减少20元，依此类推）。</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6.所有投标均以人民币报价，价格为固定单价（为含税价格）。</w:t>
      </w:r>
    </w:p>
    <w:p>
      <w:pPr>
        <w:spacing w:line="360" w:lineRule="auto"/>
        <w:rPr>
          <w:rFonts w:ascii="宋体" w:hAnsi="宋体" w:cs="宋体"/>
          <w:sz w:val="28"/>
          <w:szCs w:val="28"/>
          <w:highlight w:val="yellow"/>
        </w:rPr>
      </w:pPr>
      <w:r>
        <w:rPr>
          <w:rFonts w:hint="eastAsia" w:ascii="宋体" w:hAnsi="宋体" w:cs="宋体"/>
          <w:sz w:val="28"/>
          <w:szCs w:val="28"/>
          <w:highlight w:val="none"/>
        </w:rPr>
        <w:t>1.3服务周期：</w:t>
      </w:r>
      <w:r>
        <w:rPr>
          <w:rFonts w:hint="eastAsia" w:ascii="宋体" w:hAnsi="宋体" w:cs="宋体"/>
          <w:sz w:val="28"/>
          <w:szCs w:val="28"/>
          <w:highlight w:val="yellow"/>
          <w:lang w:val="en-US" w:eastAsia="zh-CN"/>
        </w:rPr>
        <w:t>2019年4月1日至2021年3月31日</w:t>
      </w:r>
      <w:r>
        <w:rPr>
          <w:rFonts w:hint="eastAsia" w:ascii="宋体" w:hAnsi="宋体" w:cs="宋体"/>
          <w:sz w:val="28"/>
          <w:szCs w:val="28"/>
          <w:highlight w:val="yellow"/>
        </w:rPr>
        <w:t>。</w:t>
      </w:r>
    </w:p>
    <w:p>
      <w:pPr>
        <w:jc w:val="left"/>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、定义和解释</w:t>
      </w:r>
    </w:p>
    <w:p>
      <w:pPr>
        <w:ind w:firstLine="560" w:firstLineChars="200"/>
        <w:jc w:val="left"/>
        <w:rPr>
          <w:rFonts w:ascii="宋体"/>
          <w:sz w:val="28"/>
          <w:szCs w:val="28"/>
          <w:highlight w:val="none"/>
        </w:rPr>
      </w:pPr>
      <w:r>
        <w:rPr>
          <w:rFonts w:ascii="宋体" w:hAnsi="宋体" w:cs="宋体"/>
          <w:sz w:val="28"/>
          <w:szCs w:val="28"/>
          <w:highlight w:val="none"/>
        </w:rPr>
        <w:t xml:space="preserve">2.1 </w:t>
      </w:r>
      <w:r>
        <w:rPr>
          <w:rFonts w:hint="eastAsia" w:ascii="宋体" w:hAnsi="宋体" w:cs="宋体"/>
          <w:sz w:val="28"/>
          <w:szCs w:val="28"/>
          <w:highlight w:val="none"/>
        </w:rPr>
        <w:t>“比选人”系福建省东南电化股份有限公司，即业主方。</w:t>
      </w:r>
    </w:p>
    <w:p>
      <w:pPr>
        <w:ind w:firstLine="560" w:firstLineChars="200"/>
        <w:jc w:val="left"/>
        <w:rPr>
          <w:rFonts w:ascii="宋体"/>
          <w:sz w:val="28"/>
          <w:szCs w:val="28"/>
          <w:highlight w:val="none"/>
        </w:rPr>
      </w:pPr>
      <w:r>
        <w:rPr>
          <w:rFonts w:ascii="宋体" w:hAnsi="宋体" w:cs="宋体"/>
          <w:sz w:val="28"/>
          <w:szCs w:val="28"/>
          <w:highlight w:val="none"/>
        </w:rPr>
        <w:t xml:space="preserve">2.2 </w:t>
      </w:r>
      <w:r>
        <w:rPr>
          <w:rFonts w:hint="eastAsia" w:ascii="宋体" w:hAnsi="宋体" w:cs="宋体"/>
          <w:sz w:val="28"/>
          <w:szCs w:val="28"/>
          <w:highlight w:val="none"/>
        </w:rPr>
        <w:t>“参选人”系指向比选人报名并接受邀请，领取比选文件，且已经提交或准备提交本次参选文件的法人。</w:t>
      </w:r>
    </w:p>
    <w:p>
      <w:pPr>
        <w:ind w:firstLine="560" w:firstLineChars="200"/>
        <w:jc w:val="left"/>
        <w:rPr>
          <w:rFonts w:ascii="宋体"/>
          <w:sz w:val="28"/>
          <w:szCs w:val="28"/>
          <w:highlight w:val="none"/>
        </w:rPr>
      </w:pPr>
      <w:r>
        <w:rPr>
          <w:rFonts w:ascii="宋体" w:hAnsi="宋体" w:cs="宋体"/>
          <w:sz w:val="28"/>
          <w:szCs w:val="28"/>
          <w:highlight w:val="none"/>
        </w:rPr>
        <w:t xml:space="preserve">2.3  </w:t>
      </w:r>
      <w:r>
        <w:rPr>
          <w:rFonts w:hint="eastAsia" w:ascii="宋体" w:hAnsi="宋体" w:cs="宋体"/>
          <w:sz w:val="28"/>
          <w:szCs w:val="28"/>
          <w:highlight w:val="none"/>
        </w:rPr>
        <w:t>“参选人代表”系指全权代表参选人参加本次投标活动并签署参选文件的人，如果参选人代表不是参选人的法定代表人，须持有《法定代表人授权委托书》详见附件三。</w:t>
      </w:r>
    </w:p>
    <w:p>
      <w:pPr>
        <w:ind w:firstLine="560" w:firstLineChars="200"/>
        <w:jc w:val="left"/>
        <w:rPr>
          <w:rFonts w:hint="eastAsia" w:ascii="宋体" w:hAnsi="宋体" w:cs="宋体"/>
          <w:sz w:val="28"/>
          <w:szCs w:val="28"/>
          <w:highlight w:val="none"/>
        </w:rPr>
      </w:pPr>
      <w:r>
        <w:rPr>
          <w:rFonts w:ascii="宋体" w:hAnsi="宋体" w:cs="宋体"/>
          <w:sz w:val="28"/>
          <w:szCs w:val="28"/>
          <w:highlight w:val="none"/>
        </w:rPr>
        <w:t xml:space="preserve">2.4 </w:t>
      </w:r>
      <w:r>
        <w:rPr>
          <w:rFonts w:hint="eastAsia" w:ascii="宋体" w:hAnsi="宋体" w:cs="宋体"/>
          <w:sz w:val="28"/>
          <w:szCs w:val="28"/>
          <w:highlight w:val="none"/>
        </w:rPr>
        <w:t>“服务”系指比选文件规定参选人为完成全部合同义务须承担的所有工作，包括：运输、</w:t>
      </w:r>
      <w:r>
        <w:rPr>
          <w:rFonts w:hint="eastAsia" w:ascii="宋体" w:hAnsi="宋体" w:cs="宋体"/>
          <w:sz w:val="28"/>
          <w:szCs w:val="28"/>
          <w:highlight w:val="none"/>
          <w:lang w:eastAsia="zh-CN"/>
        </w:rPr>
        <w:t>安装、品牌售后</w:t>
      </w:r>
      <w:r>
        <w:rPr>
          <w:rFonts w:hint="eastAsia" w:ascii="宋体" w:hAnsi="宋体" w:cs="宋体"/>
          <w:sz w:val="28"/>
          <w:szCs w:val="28"/>
          <w:highlight w:val="none"/>
        </w:rPr>
        <w:t>等以及其他类似的义务。</w:t>
      </w:r>
    </w:p>
    <w:p>
      <w:pPr>
        <w:ind w:firstLine="560" w:firstLineChars="200"/>
        <w:jc w:val="left"/>
        <w:rPr>
          <w:rFonts w:ascii="宋体" w:hAnsi="宋体"/>
          <w:sz w:val="28"/>
          <w:szCs w:val="28"/>
          <w:highlight w:val="none"/>
        </w:rPr>
      </w:pPr>
      <w:r>
        <w:rPr>
          <w:rFonts w:hint="eastAsia" w:ascii="宋体" w:hAnsi="宋体"/>
          <w:sz w:val="28"/>
          <w:szCs w:val="28"/>
          <w:highlight w:val="none"/>
        </w:rPr>
        <w:t>2.5“福州市区”暂定为</w:t>
      </w:r>
      <w:r>
        <w:rPr>
          <w:rFonts w:hint="eastAsia" w:ascii="宋体" w:hAnsi="宋体"/>
          <w:sz w:val="28"/>
          <w:szCs w:val="28"/>
          <w:highlight w:val="none"/>
          <w:lang w:eastAsia="zh-CN"/>
        </w:rPr>
        <w:t>化工路泰禾广场对面</w:t>
      </w:r>
      <w:r>
        <w:rPr>
          <w:rFonts w:hint="eastAsia" w:ascii="宋体" w:hAnsi="宋体"/>
          <w:sz w:val="28"/>
          <w:szCs w:val="28"/>
          <w:highlight w:val="none"/>
        </w:rPr>
        <w:t>或招标人指定地点；</w:t>
      </w:r>
    </w:p>
    <w:p>
      <w:pPr>
        <w:ind w:firstLine="560" w:firstLineChars="200"/>
        <w:jc w:val="left"/>
        <w:rPr>
          <w:rFonts w:ascii="宋体" w:hAnsi="宋体"/>
          <w:sz w:val="28"/>
          <w:szCs w:val="28"/>
          <w:highlight w:val="none"/>
        </w:rPr>
      </w:pPr>
      <w:r>
        <w:rPr>
          <w:rFonts w:hint="eastAsia" w:ascii="宋体" w:hAnsi="宋体"/>
          <w:sz w:val="28"/>
          <w:szCs w:val="28"/>
          <w:highlight w:val="none"/>
        </w:rPr>
        <w:t>2.6“江阴厂区”为江阴工业集中区福建省东南电化股份有限公司福清厂区；</w:t>
      </w:r>
    </w:p>
    <w:p>
      <w:pPr>
        <w:ind w:firstLine="560" w:firstLineChars="200"/>
        <w:jc w:val="left"/>
        <w:rPr>
          <w:rFonts w:ascii="宋体" w:hAnsi="宋体"/>
          <w:sz w:val="28"/>
          <w:szCs w:val="28"/>
          <w:highlight w:val="none"/>
        </w:rPr>
      </w:pPr>
      <w:r>
        <w:rPr>
          <w:rFonts w:hint="eastAsia" w:ascii="宋体" w:hAnsi="宋体"/>
          <w:sz w:val="28"/>
          <w:szCs w:val="28"/>
          <w:highlight w:val="none"/>
        </w:rPr>
        <w:t>2.7“新厝生活区”为福建省东南电化股份有限公司福清新厝镇生活区；</w:t>
      </w:r>
    </w:p>
    <w:p>
      <w:pPr>
        <w:ind w:firstLine="560" w:firstLineChars="200"/>
        <w:jc w:val="left"/>
        <w:rPr>
          <w:rFonts w:hint="eastAsia" w:ascii="宋体" w:hAnsi="宋体" w:cs="宋体"/>
          <w:sz w:val="28"/>
          <w:szCs w:val="28"/>
          <w:highlight w:val="none"/>
        </w:rPr>
      </w:pPr>
      <w:r>
        <w:rPr>
          <w:rFonts w:hint="eastAsia" w:ascii="宋体" w:hAnsi="宋体"/>
          <w:sz w:val="28"/>
          <w:szCs w:val="28"/>
          <w:highlight w:val="none"/>
        </w:rPr>
        <w:t>2.8 往返“新厝生活区”“江阴厂区”路程为18公里左右，早晚各两趟。</w:t>
      </w:r>
    </w:p>
    <w:p>
      <w:pPr>
        <w:jc w:val="left"/>
        <w:rPr>
          <w:rFonts w:ascii="宋体"/>
          <w:b/>
          <w:bCs/>
          <w:sz w:val="28"/>
          <w:szCs w:val="28"/>
          <w:highlight w:val="none"/>
        </w:rPr>
      </w:pPr>
      <w:r>
        <w:rPr>
          <w:rFonts w:ascii="宋体" w:hAnsi="宋体" w:cs="宋体"/>
          <w:b/>
          <w:bCs/>
          <w:sz w:val="28"/>
          <w:szCs w:val="28"/>
          <w:highlight w:val="none"/>
        </w:rPr>
        <w:t>3</w:t>
      </w:r>
      <w:r>
        <w:rPr>
          <w:rFonts w:hint="eastAsia" w:ascii="宋体" w:hAnsi="宋体" w:cs="宋体"/>
          <w:b/>
          <w:bCs/>
          <w:sz w:val="28"/>
          <w:szCs w:val="28"/>
          <w:highlight w:val="none"/>
        </w:rPr>
        <w:t>、比选文件组成</w:t>
      </w:r>
    </w:p>
    <w:p>
      <w:pPr>
        <w:ind w:firstLine="560" w:firstLineChars="200"/>
        <w:jc w:val="left"/>
        <w:rPr>
          <w:rFonts w:ascii="宋体" w:hAnsi="宋体" w:cs="宋体"/>
          <w:sz w:val="28"/>
          <w:szCs w:val="28"/>
          <w:highlight w:val="none"/>
        </w:rPr>
      </w:pPr>
      <w:r>
        <w:rPr>
          <w:rFonts w:ascii="宋体" w:hAnsi="宋体" w:cs="宋体"/>
          <w:sz w:val="28"/>
          <w:szCs w:val="28"/>
          <w:highlight w:val="none"/>
        </w:rPr>
        <w:t xml:space="preserve">3.1 </w:t>
      </w:r>
      <w:r>
        <w:rPr>
          <w:rFonts w:hint="eastAsia" w:ascii="宋体" w:hAnsi="宋体" w:cs="宋体"/>
          <w:sz w:val="28"/>
          <w:szCs w:val="28"/>
          <w:highlight w:val="none"/>
        </w:rPr>
        <w:t>比选文件包括下列内容：</w:t>
      </w:r>
      <w:r>
        <w:rPr>
          <w:rFonts w:ascii="宋体" w:hAnsi="宋体" w:cs="宋体"/>
          <w:sz w:val="28"/>
          <w:szCs w:val="28"/>
          <w:highlight w:val="none"/>
        </w:rPr>
        <w:t xml:space="preserve">    </w:t>
      </w:r>
    </w:p>
    <w:p>
      <w:pPr>
        <w:ind w:firstLine="560" w:firstLineChars="200"/>
        <w:jc w:val="left"/>
        <w:rPr>
          <w:rFonts w:ascii="宋体"/>
          <w:sz w:val="28"/>
          <w:szCs w:val="28"/>
          <w:highlight w:val="none"/>
        </w:rPr>
      </w:pPr>
      <w:r>
        <w:rPr>
          <w:rFonts w:hint="eastAsia" w:ascii="宋体" w:hAnsi="宋体" w:cs="宋体"/>
          <w:sz w:val="28"/>
          <w:szCs w:val="28"/>
          <w:highlight w:val="none"/>
        </w:rPr>
        <w:t>比选公告、比选须知、合同书格式、报价单、承诺函等。</w:t>
      </w:r>
    </w:p>
    <w:p>
      <w:pPr>
        <w:ind w:firstLine="560" w:firstLineChars="200"/>
        <w:jc w:val="left"/>
        <w:rPr>
          <w:rFonts w:ascii="宋体"/>
          <w:sz w:val="28"/>
          <w:szCs w:val="28"/>
          <w:highlight w:val="none"/>
        </w:rPr>
      </w:pPr>
      <w:r>
        <w:rPr>
          <w:rFonts w:ascii="宋体" w:hAnsi="宋体" w:cs="宋体"/>
          <w:sz w:val="28"/>
          <w:szCs w:val="28"/>
          <w:highlight w:val="none"/>
        </w:rPr>
        <w:t xml:space="preserve">3.2 </w:t>
      </w:r>
      <w:r>
        <w:rPr>
          <w:rFonts w:hint="eastAsia" w:ascii="宋体" w:hAnsi="宋体" w:cs="宋体"/>
          <w:sz w:val="28"/>
          <w:szCs w:val="28"/>
          <w:highlight w:val="none"/>
        </w:rPr>
        <w:t>比选文件除</w:t>
      </w:r>
      <w:r>
        <w:rPr>
          <w:rFonts w:ascii="宋体" w:hAnsi="宋体" w:cs="宋体"/>
          <w:sz w:val="28"/>
          <w:szCs w:val="28"/>
          <w:highlight w:val="none"/>
        </w:rPr>
        <w:t>3.1</w:t>
      </w:r>
      <w:r>
        <w:rPr>
          <w:rFonts w:hint="eastAsia" w:ascii="宋体" w:hAnsi="宋体" w:cs="宋体"/>
          <w:sz w:val="28"/>
          <w:szCs w:val="28"/>
          <w:highlight w:val="none"/>
        </w:rPr>
        <w:t>内容外，比选人在比选期间发出的书面文件和其他修改或补充函件，均是比选文件不可分割的组成部分。</w:t>
      </w:r>
    </w:p>
    <w:p>
      <w:pPr>
        <w:jc w:val="left"/>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、比选文件的澄清</w:t>
      </w:r>
    </w:p>
    <w:p>
      <w:pPr>
        <w:ind w:firstLine="560" w:firstLineChars="200"/>
        <w:jc w:val="left"/>
        <w:rPr>
          <w:rFonts w:ascii="宋体"/>
          <w:sz w:val="28"/>
          <w:szCs w:val="28"/>
          <w:highlight w:val="none"/>
        </w:rPr>
      </w:pPr>
      <w:r>
        <w:rPr>
          <w:rFonts w:hint="eastAsia" w:ascii="宋体" w:hAnsi="宋体" w:cs="宋体"/>
          <w:sz w:val="28"/>
          <w:szCs w:val="28"/>
          <w:highlight w:val="none"/>
        </w:rPr>
        <w:t>参选人获取比选文件后，应仔细检查比选文件的所有内容，如有残缺等问题应在获得招标文件</w:t>
      </w:r>
      <w:r>
        <w:rPr>
          <w:rFonts w:ascii="宋体" w:hAnsi="宋体" w:cs="宋体"/>
          <w:sz w:val="28"/>
          <w:szCs w:val="28"/>
          <w:highlight w:val="none"/>
        </w:rPr>
        <w:t>3</w:t>
      </w:r>
      <w:r>
        <w:rPr>
          <w:rFonts w:hint="eastAsia" w:ascii="宋体" w:hAnsi="宋体" w:cs="宋体"/>
          <w:sz w:val="28"/>
          <w:szCs w:val="28"/>
          <w:highlight w:val="none"/>
        </w:rPr>
        <w:t>日内向比选人提出。参选人若对招标文件有任何疑问，应在参选截止时间前</w:t>
      </w:r>
      <w:r>
        <w:rPr>
          <w:rFonts w:ascii="宋体" w:hAnsi="宋体" w:cs="宋体"/>
          <w:sz w:val="28"/>
          <w:szCs w:val="28"/>
          <w:highlight w:val="none"/>
        </w:rPr>
        <w:t>5</w:t>
      </w:r>
      <w:r>
        <w:rPr>
          <w:rFonts w:hint="eastAsia" w:ascii="宋体" w:hAnsi="宋体" w:cs="宋体"/>
          <w:sz w:val="28"/>
          <w:szCs w:val="28"/>
          <w:highlight w:val="none"/>
        </w:rPr>
        <w:t>日，按参选须知载明的地址以书面形式（包括</w:t>
      </w:r>
      <w:r>
        <w:rPr>
          <w:rFonts w:hint="eastAsia" w:ascii="宋体" w:hAnsi="宋体" w:cs="宋体"/>
          <w:color w:val="000000"/>
          <w:sz w:val="28"/>
          <w:szCs w:val="28"/>
          <w:highlight w:val="none"/>
        </w:rPr>
        <w:t>书面、传真、电子邮件</w:t>
      </w:r>
      <w:r>
        <w:rPr>
          <w:rFonts w:hint="eastAsia" w:ascii="宋体" w:hAnsi="宋体" w:cs="宋体"/>
          <w:sz w:val="28"/>
          <w:szCs w:val="28"/>
          <w:highlight w:val="none"/>
        </w:rPr>
        <w:t>下同）通知到比选人。比选人将视情况确定采用适当方式予以澄清或以书面形式予以答复，澄清文件作为比选文件的组成部分，具有约束作用。</w:t>
      </w:r>
    </w:p>
    <w:p>
      <w:pPr>
        <w:jc w:val="left"/>
        <w:rPr>
          <w:rFonts w:ascii="宋体"/>
          <w:b/>
          <w:bCs/>
          <w:sz w:val="28"/>
          <w:szCs w:val="28"/>
          <w:highlight w:val="none"/>
        </w:rPr>
      </w:pPr>
      <w:r>
        <w:rPr>
          <w:rFonts w:ascii="宋体" w:hAnsi="宋体" w:cs="宋体"/>
          <w:b/>
          <w:bCs/>
          <w:sz w:val="28"/>
          <w:szCs w:val="28"/>
          <w:highlight w:val="none"/>
        </w:rPr>
        <w:t>5</w:t>
      </w:r>
      <w:r>
        <w:rPr>
          <w:rFonts w:hint="eastAsia" w:ascii="宋体" w:hAnsi="宋体" w:cs="宋体"/>
          <w:b/>
          <w:bCs/>
          <w:sz w:val="28"/>
          <w:szCs w:val="28"/>
          <w:highlight w:val="none"/>
        </w:rPr>
        <w:t>、比选文件的修改、补充</w:t>
      </w:r>
    </w:p>
    <w:p>
      <w:pPr>
        <w:ind w:firstLine="560" w:firstLineChars="200"/>
        <w:jc w:val="left"/>
        <w:rPr>
          <w:rFonts w:ascii="宋体"/>
          <w:sz w:val="28"/>
          <w:szCs w:val="28"/>
          <w:highlight w:val="none"/>
        </w:rPr>
      </w:pPr>
      <w:r>
        <w:rPr>
          <w:rFonts w:ascii="宋体" w:hAnsi="宋体" w:cs="宋体"/>
          <w:sz w:val="28"/>
          <w:szCs w:val="28"/>
          <w:highlight w:val="none"/>
        </w:rPr>
        <w:t xml:space="preserve">5.1 </w:t>
      </w:r>
      <w:r>
        <w:rPr>
          <w:rFonts w:hint="eastAsia" w:ascii="宋体" w:hAnsi="宋体" w:cs="宋体"/>
          <w:sz w:val="28"/>
          <w:szCs w:val="28"/>
          <w:highlight w:val="none"/>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560" w:firstLineChars="200"/>
        <w:jc w:val="left"/>
        <w:rPr>
          <w:rFonts w:ascii="宋体"/>
          <w:sz w:val="28"/>
          <w:szCs w:val="28"/>
          <w:highlight w:val="none"/>
        </w:rPr>
      </w:pPr>
      <w:r>
        <w:rPr>
          <w:rFonts w:ascii="宋体" w:hAnsi="宋体" w:cs="宋体"/>
          <w:sz w:val="28"/>
          <w:szCs w:val="28"/>
          <w:highlight w:val="none"/>
        </w:rPr>
        <w:t xml:space="preserve">5.2 </w:t>
      </w:r>
      <w:r>
        <w:rPr>
          <w:rFonts w:hint="eastAsia" w:ascii="宋体" w:hAnsi="宋体" w:cs="宋体"/>
          <w:sz w:val="28"/>
          <w:szCs w:val="28"/>
          <w:highlight w:val="none"/>
        </w:rPr>
        <w:t>为使参选人在准备投标文件时有合理的时间考虑比选文件的修改，比选人可酌情推迟参选截止时间和开评时间，并以书面形式通知已获得比选文件的每一参选人。</w:t>
      </w:r>
    </w:p>
    <w:p>
      <w:pPr>
        <w:ind w:firstLine="560" w:firstLineChars="200"/>
        <w:jc w:val="left"/>
        <w:rPr>
          <w:rFonts w:ascii="宋体"/>
          <w:sz w:val="28"/>
          <w:szCs w:val="28"/>
          <w:highlight w:val="none"/>
        </w:rPr>
      </w:pPr>
      <w:r>
        <w:rPr>
          <w:rFonts w:ascii="宋体" w:hAnsi="宋体" w:cs="宋体"/>
          <w:sz w:val="28"/>
          <w:szCs w:val="28"/>
          <w:highlight w:val="none"/>
        </w:rPr>
        <w:t xml:space="preserve">5.3 </w:t>
      </w:r>
      <w:r>
        <w:rPr>
          <w:rFonts w:hint="eastAsia" w:ascii="宋体" w:hAnsi="宋体" w:cs="宋体"/>
          <w:sz w:val="28"/>
          <w:szCs w:val="28"/>
          <w:highlight w:val="none"/>
        </w:rPr>
        <w:t>比选文件的修改书将构成比选文件的一部分，对参选人具有约束作用。</w:t>
      </w:r>
    </w:p>
    <w:p>
      <w:pPr>
        <w:jc w:val="left"/>
        <w:rPr>
          <w:rFonts w:ascii="宋体"/>
          <w:b/>
          <w:bCs/>
          <w:sz w:val="28"/>
          <w:szCs w:val="28"/>
          <w:highlight w:val="none"/>
        </w:rPr>
      </w:pPr>
      <w:r>
        <w:rPr>
          <w:rFonts w:ascii="宋体" w:hAnsi="宋体" w:cs="宋体"/>
          <w:b/>
          <w:bCs/>
          <w:sz w:val="28"/>
          <w:szCs w:val="28"/>
          <w:highlight w:val="none"/>
        </w:rPr>
        <w:t>6</w:t>
      </w:r>
      <w:r>
        <w:rPr>
          <w:rFonts w:hint="eastAsia" w:ascii="宋体" w:hAnsi="宋体" w:cs="宋体"/>
          <w:b/>
          <w:bCs/>
          <w:sz w:val="28"/>
          <w:szCs w:val="28"/>
          <w:highlight w:val="none"/>
        </w:rPr>
        <w:t>、参选人资格</w:t>
      </w:r>
    </w:p>
    <w:p>
      <w:pPr>
        <w:autoSpaceDE w:val="0"/>
        <w:autoSpaceDN w:val="0"/>
        <w:spacing w:before="105" w:after="105"/>
        <w:rPr>
          <w:rFonts w:ascii="宋体" w:hAnsi="宋体" w:cs="宋体"/>
          <w:color w:val="21201E"/>
          <w:sz w:val="28"/>
          <w:szCs w:val="28"/>
          <w:highlight w:val="none"/>
        </w:rPr>
      </w:pPr>
      <w:r>
        <w:rPr>
          <w:rFonts w:hint="eastAsia" w:ascii="宋体" w:hAnsi="宋体"/>
          <w:sz w:val="28"/>
          <w:szCs w:val="28"/>
          <w:highlight w:val="none"/>
        </w:rPr>
        <w:t xml:space="preserve">  6.1</w:t>
      </w:r>
      <w:r>
        <w:rPr>
          <w:rFonts w:hint="eastAsia" w:ascii="宋体" w:hAnsi="宋体" w:cs="宋体"/>
          <w:color w:val="21201E"/>
          <w:sz w:val="28"/>
          <w:szCs w:val="28"/>
          <w:highlight w:val="none"/>
        </w:rPr>
        <w:t>具备独立法人资格，有能力提供比选所需服务并能提供运输费的正式税务发票的国内运输企业</w:t>
      </w:r>
      <w:r>
        <w:rPr>
          <w:rFonts w:hint="eastAsia" w:ascii="宋体" w:hAnsi="宋体" w:cs="宋体"/>
          <w:b/>
          <w:color w:val="21201E"/>
          <w:sz w:val="28"/>
          <w:szCs w:val="28"/>
          <w:highlight w:val="none"/>
        </w:rPr>
        <w:t>[参选人应在参选文件中提供经年检合格的法人营业执照（副本）复印件、税务登记证复印件、组织机构代码证复印件及法人代表身份证复印件并加盖参选人单位公章</w:t>
      </w:r>
      <w:r>
        <w:rPr>
          <w:rFonts w:ascii="宋体" w:hAnsi="宋体" w:cs="宋体"/>
          <w:b/>
          <w:color w:val="21201E"/>
          <w:sz w:val="28"/>
          <w:szCs w:val="28"/>
          <w:highlight w:val="none"/>
        </w:rPr>
        <w:t>]</w:t>
      </w:r>
      <w:r>
        <w:rPr>
          <w:rFonts w:hint="eastAsia" w:ascii="宋体" w:hAnsi="宋体" w:cs="宋体"/>
          <w:color w:val="21201E"/>
          <w:sz w:val="28"/>
          <w:szCs w:val="28"/>
          <w:highlight w:val="none"/>
        </w:rPr>
        <w:t xml:space="preserve">； </w:t>
      </w:r>
    </w:p>
    <w:p>
      <w:pPr>
        <w:autoSpaceDE w:val="0"/>
        <w:autoSpaceDN w:val="0"/>
        <w:spacing w:before="105" w:after="105"/>
        <w:ind w:firstLine="560" w:firstLineChars="200"/>
        <w:rPr>
          <w:rFonts w:ascii="宋体" w:hAnsi="宋体"/>
          <w:b/>
          <w:sz w:val="28"/>
          <w:szCs w:val="28"/>
          <w:highlight w:val="none"/>
        </w:rPr>
      </w:pPr>
      <w:r>
        <w:rPr>
          <w:rFonts w:hint="eastAsia" w:ascii="宋体" w:hAnsi="宋体" w:cs="宋体"/>
          <w:color w:val="21201E"/>
          <w:sz w:val="28"/>
          <w:szCs w:val="28"/>
          <w:highlight w:val="none"/>
        </w:rPr>
        <w:t>6.2参选人应具备有效的道路运输许可证</w:t>
      </w:r>
      <w:r>
        <w:rPr>
          <w:rFonts w:hint="eastAsia" w:ascii="宋体" w:hAnsi="宋体" w:cs="宋体"/>
          <w:b/>
          <w:color w:val="21201E"/>
          <w:sz w:val="28"/>
          <w:szCs w:val="28"/>
          <w:highlight w:val="none"/>
        </w:rPr>
        <w:t>（参选人应在参选文件中提供有关部门颁发的道路运输许可证复印件并加盖参选人单位公章）；</w:t>
      </w:r>
    </w:p>
    <w:p>
      <w:pPr>
        <w:jc w:val="left"/>
        <w:rPr>
          <w:rFonts w:ascii="宋体"/>
          <w:b/>
          <w:bCs/>
          <w:sz w:val="28"/>
          <w:szCs w:val="28"/>
          <w:highlight w:val="none"/>
        </w:rPr>
      </w:pPr>
      <w:r>
        <w:rPr>
          <w:rFonts w:ascii="宋体" w:hAnsi="宋体" w:cs="宋体"/>
          <w:b/>
          <w:bCs/>
          <w:sz w:val="28"/>
          <w:szCs w:val="28"/>
          <w:highlight w:val="none"/>
        </w:rPr>
        <w:t>7</w:t>
      </w:r>
      <w:r>
        <w:rPr>
          <w:rFonts w:hint="eastAsia" w:ascii="宋体" w:hAnsi="宋体" w:cs="宋体"/>
          <w:b/>
          <w:bCs/>
          <w:sz w:val="28"/>
          <w:szCs w:val="28"/>
          <w:highlight w:val="none"/>
        </w:rPr>
        <w:t>、比选文件的递交</w:t>
      </w:r>
    </w:p>
    <w:p>
      <w:pPr>
        <w:ind w:firstLine="560" w:firstLineChars="200"/>
        <w:jc w:val="left"/>
        <w:rPr>
          <w:rFonts w:ascii="宋体"/>
          <w:sz w:val="28"/>
          <w:szCs w:val="28"/>
          <w:highlight w:val="none"/>
        </w:rPr>
      </w:pPr>
      <w:r>
        <w:rPr>
          <w:rFonts w:ascii="宋体" w:hAnsi="宋体" w:cs="宋体"/>
          <w:sz w:val="28"/>
          <w:szCs w:val="28"/>
          <w:highlight w:val="none"/>
        </w:rPr>
        <w:t>7.1</w:t>
      </w:r>
      <w:r>
        <w:rPr>
          <w:rFonts w:hint="eastAsia" w:ascii="宋体" w:hAnsi="宋体" w:cs="宋体"/>
          <w:sz w:val="28"/>
          <w:szCs w:val="28"/>
          <w:highlight w:val="none"/>
        </w:rPr>
        <w:t>比选文件递交的截止时间：</w:t>
      </w:r>
      <w:r>
        <w:rPr>
          <w:rFonts w:ascii="宋体" w:hAnsi="宋体" w:cs="宋体"/>
          <w:sz w:val="28"/>
          <w:szCs w:val="28"/>
          <w:highlight w:val="none"/>
        </w:rPr>
        <w:t>201</w:t>
      </w:r>
      <w:r>
        <w:rPr>
          <w:rFonts w:hint="eastAsia" w:ascii="宋体" w:hAnsi="宋体" w:cs="宋体"/>
          <w:sz w:val="28"/>
          <w:szCs w:val="28"/>
          <w:highlight w:val="none"/>
          <w:lang w:val="en-US" w:eastAsia="zh-CN"/>
        </w:rPr>
        <w:t>9</w:t>
      </w:r>
      <w:r>
        <w:rPr>
          <w:rFonts w:hint="eastAsia" w:ascii="宋体" w:hAnsi="宋体" w:cs="宋体"/>
          <w:sz w:val="28"/>
          <w:szCs w:val="28"/>
          <w:highlight w:val="none"/>
        </w:rPr>
        <w:t>年</w:t>
      </w:r>
      <w:r>
        <w:rPr>
          <w:rFonts w:hint="eastAsia" w:ascii="宋体" w:hAnsi="宋体" w:cs="宋体"/>
          <w:sz w:val="28"/>
          <w:szCs w:val="28"/>
          <w:highlight w:val="none"/>
          <w:lang w:val="en-US" w:eastAsia="zh-CN"/>
        </w:rPr>
        <w:t>3</w:t>
      </w:r>
      <w:r>
        <w:rPr>
          <w:rFonts w:hint="eastAsia" w:ascii="宋体" w:hAnsi="宋体" w:cs="宋体"/>
          <w:sz w:val="28"/>
          <w:szCs w:val="28"/>
          <w:highlight w:val="none"/>
        </w:rPr>
        <w:t>月</w:t>
      </w:r>
      <w:r>
        <w:rPr>
          <w:rFonts w:hint="eastAsia" w:ascii="宋体" w:hAnsi="宋体" w:cs="宋体"/>
          <w:sz w:val="28"/>
          <w:szCs w:val="28"/>
          <w:highlight w:val="none"/>
          <w:lang w:val="en-US" w:eastAsia="zh-CN"/>
        </w:rPr>
        <w:t>8</w:t>
      </w:r>
      <w:r>
        <w:rPr>
          <w:rFonts w:hint="eastAsia" w:ascii="宋体" w:hAnsi="宋体" w:cs="宋体"/>
          <w:sz w:val="28"/>
          <w:szCs w:val="28"/>
          <w:highlight w:val="none"/>
        </w:rPr>
        <w:t>日1</w:t>
      </w:r>
      <w:r>
        <w:rPr>
          <w:rFonts w:hint="eastAsia" w:ascii="宋体" w:hAnsi="宋体" w:cs="宋体"/>
          <w:sz w:val="28"/>
          <w:szCs w:val="28"/>
          <w:highlight w:val="none"/>
          <w:lang w:val="en-US" w:eastAsia="zh-CN"/>
        </w:rPr>
        <w:t>6</w:t>
      </w:r>
      <w:r>
        <w:rPr>
          <w:rFonts w:hint="eastAsia" w:ascii="宋体" w:hAnsi="宋体" w:cs="宋体"/>
          <w:sz w:val="28"/>
          <w:szCs w:val="28"/>
          <w:highlight w:val="none"/>
        </w:rPr>
        <w:t>时</w:t>
      </w:r>
      <w:r>
        <w:rPr>
          <w:rFonts w:hint="eastAsia" w:ascii="宋体" w:cs="宋体"/>
          <w:sz w:val="28"/>
          <w:szCs w:val="28"/>
          <w:highlight w:val="none"/>
          <w:lang w:val="en-US" w:eastAsia="zh-CN"/>
        </w:rPr>
        <w:t>0</w:t>
      </w:r>
      <w:bookmarkStart w:id="4" w:name="_GoBack"/>
      <w:bookmarkEnd w:id="4"/>
      <w:r>
        <w:rPr>
          <w:rFonts w:ascii="宋体" w:cs="宋体"/>
          <w:sz w:val="28"/>
          <w:szCs w:val="28"/>
          <w:highlight w:val="none"/>
        </w:rPr>
        <w:t>0</w:t>
      </w:r>
      <w:r>
        <w:rPr>
          <w:rFonts w:hint="eastAsia" w:ascii="宋体" w:hAnsi="宋体" w:cs="宋体"/>
          <w:sz w:val="28"/>
          <w:szCs w:val="28"/>
          <w:highlight w:val="none"/>
        </w:rPr>
        <w:t>分。</w:t>
      </w:r>
    </w:p>
    <w:p>
      <w:pPr>
        <w:ind w:firstLine="560" w:firstLineChars="200"/>
        <w:jc w:val="left"/>
        <w:rPr>
          <w:rFonts w:ascii="宋体"/>
          <w:sz w:val="28"/>
          <w:szCs w:val="28"/>
          <w:highlight w:val="none"/>
        </w:rPr>
      </w:pPr>
      <w:r>
        <w:rPr>
          <w:rFonts w:ascii="宋体" w:hAnsi="宋体" w:cs="宋体"/>
          <w:sz w:val="28"/>
          <w:szCs w:val="28"/>
          <w:highlight w:val="none"/>
        </w:rPr>
        <w:t>7.2</w:t>
      </w:r>
      <w:r>
        <w:rPr>
          <w:rFonts w:hint="eastAsia" w:ascii="宋体" w:hAnsi="宋体" w:cs="宋体"/>
          <w:sz w:val="28"/>
          <w:szCs w:val="28"/>
          <w:highlight w:val="none"/>
        </w:rPr>
        <w:t>提交投标文件的地点为：福建省东南电化公司</w:t>
      </w:r>
      <w:r>
        <w:rPr>
          <w:rFonts w:hint="eastAsia" w:ascii="宋体" w:hAnsi="宋体" w:cs="宋体"/>
          <w:sz w:val="28"/>
          <w:szCs w:val="28"/>
          <w:highlight w:val="none"/>
          <w:lang w:eastAsia="zh-CN"/>
        </w:rPr>
        <w:t>商务</w:t>
      </w:r>
      <w:r>
        <w:rPr>
          <w:rFonts w:hint="eastAsia" w:ascii="宋体" w:hAnsi="宋体" w:cs="宋体"/>
          <w:sz w:val="28"/>
          <w:szCs w:val="28"/>
          <w:highlight w:val="none"/>
        </w:rPr>
        <w:t>室招投标箱内（福建省福州市江阴工业集中区内），联系人：</w:t>
      </w:r>
      <w:r>
        <w:rPr>
          <w:rFonts w:hint="eastAsia" w:ascii="宋体" w:hAnsi="宋体" w:cs="宋体"/>
          <w:sz w:val="28"/>
          <w:szCs w:val="28"/>
          <w:highlight w:val="none"/>
          <w:lang w:eastAsia="zh-CN"/>
        </w:rPr>
        <w:t>陈智敏</w:t>
      </w:r>
      <w:r>
        <w:rPr>
          <w:rFonts w:hint="eastAsia" w:ascii="宋体" w:hAnsi="宋体" w:cs="宋体"/>
          <w:sz w:val="28"/>
          <w:szCs w:val="28"/>
          <w:highlight w:val="none"/>
        </w:rPr>
        <w:t>、联系电话：</w:t>
      </w:r>
      <w:r>
        <w:rPr>
          <w:rFonts w:ascii="宋体" w:hAnsi="宋体" w:cs="宋体"/>
          <w:sz w:val="28"/>
          <w:szCs w:val="28"/>
          <w:highlight w:val="none"/>
        </w:rPr>
        <w:t>86552</w:t>
      </w:r>
      <w:r>
        <w:rPr>
          <w:rFonts w:hint="eastAsia" w:ascii="宋体" w:hAnsi="宋体" w:cs="宋体"/>
          <w:sz w:val="28"/>
          <w:szCs w:val="28"/>
          <w:highlight w:val="none"/>
          <w:lang w:val="en-US" w:eastAsia="zh-CN"/>
        </w:rPr>
        <w:t>258</w:t>
      </w:r>
      <w:r>
        <w:rPr>
          <w:rFonts w:hint="eastAsia" w:ascii="宋体" w:hAnsi="宋体" w:cs="宋体"/>
          <w:sz w:val="28"/>
          <w:szCs w:val="28"/>
          <w:highlight w:val="none"/>
        </w:rPr>
        <w:t>。</w:t>
      </w:r>
    </w:p>
    <w:p>
      <w:pPr>
        <w:ind w:firstLine="560" w:firstLineChars="200"/>
        <w:jc w:val="left"/>
        <w:rPr>
          <w:rFonts w:hint="eastAsia" w:ascii="宋体" w:hAnsi="宋体" w:cs="宋体"/>
          <w:color w:val="000000"/>
          <w:sz w:val="32"/>
          <w:szCs w:val="32"/>
          <w:highlight w:val="none"/>
        </w:rPr>
      </w:pPr>
      <w:r>
        <w:rPr>
          <w:rFonts w:ascii="宋体" w:hAnsi="宋体" w:cs="宋体"/>
          <w:sz w:val="28"/>
          <w:szCs w:val="28"/>
          <w:highlight w:val="none"/>
        </w:rPr>
        <w:t>7.3</w:t>
      </w:r>
      <w:r>
        <w:rPr>
          <w:rFonts w:hint="eastAsia" w:ascii="宋体" w:hAnsi="宋体" w:cs="宋体"/>
          <w:sz w:val="28"/>
          <w:szCs w:val="28"/>
          <w:highlight w:val="none"/>
        </w:rPr>
        <w:t>逾期送达的或未送达指定地点或投标文件密封不符合规定要求的投标文件，比选人不予受理。</w:t>
      </w:r>
    </w:p>
    <w:p>
      <w:pPr>
        <w:jc w:val="center"/>
        <w:rPr>
          <w:rFonts w:hint="eastAsia" w:ascii="宋体" w:hAnsi="宋体" w:cs="宋体"/>
          <w:color w:val="000000"/>
          <w:sz w:val="32"/>
          <w:szCs w:val="32"/>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snapToGrid w:val="0"/>
        <w:spacing w:line="360" w:lineRule="auto"/>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、参选文件的组成：</w:t>
      </w:r>
    </w:p>
    <w:p>
      <w:pPr>
        <w:spacing w:line="360" w:lineRule="auto"/>
        <w:ind w:firstLine="560" w:firstLineChars="200"/>
        <w:rPr>
          <w:rFonts w:ascii="宋体"/>
          <w:color w:val="000000"/>
          <w:sz w:val="28"/>
          <w:szCs w:val="28"/>
          <w:highlight w:val="none"/>
        </w:rPr>
      </w:pPr>
      <w:r>
        <w:rPr>
          <w:rFonts w:hint="eastAsia" w:ascii="宋体" w:hAnsi="宋体" w:cs="宋体"/>
          <w:color w:val="000000"/>
          <w:sz w:val="28"/>
          <w:szCs w:val="28"/>
          <w:highlight w:val="none"/>
        </w:rPr>
        <w:t>①</w:t>
      </w:r>
      <w:r>
        <w:rPr>
          <w:rFonts w:hint="eastAsia" w:ascii="宋体" w:hAnsi="宋体" w:cs="宋体"/>
          <w:sz w:val="28"/>
          <w:szCs w:val="28"/>
          <w:highlight w:val="none"/>
        </w:rPr>
        <w:t>有良好经营业绩的证明。其中包括以往承包业绩的合同、营业收入证明等其他可以证明派遣单位具有良好运营业绩的相关材料；</w:t>
      </w:r>
      <w:r>
        <w:rPr>
          <w:rFonts w:hint="eastAsia" w:ascii="宋体" w:hAnsi="宋体" w:cs="宋体"/>
          <w:color w:val="000000"/>
          <w:sz w:val="28"/>
          <w:szCs w:val="28"/>
          <w:highlight w:val="none"/>
        </w:rPr>
        <w:t>凡弄虚作假的，一经查实，比选人有权取消其中选资格。</w:t>
      </w:r>
    </w:p>
    <w:p>
      <w:pPr>
        <w:spacing w:line="360" w:lineRule="auto"/>
        <w:ind w:firstLine="560" w:firstLineChars="200"/>
        <w:rPr>
          <w:rFonts w:ascii="宋体"/>
          <w:sz w:val="28"/>
          <w:szCs w:val="28"/>
          <w:highlight w:val="none"/>
        </w:rPr>
      </w:pPr>
      <w:r>
        <w:rPr>
          <w:rFonts w:hint="eastAsia" w:ascii="宋体" w:hAnsi="宋体" w:cs="宋体"/>
          <w:color w:val="000000"/>
          <w:sz w:val="28"/>
          <w:szCs w:val="28"/>
          <w:highlight w:val="none"/>
        </w:rPr>
        <w:t>②</w:t>
      </w:r>
      <w:r>
        <w:rPr>
          <w:rFonts w:hint="eastAsia" w:ascii="宋体" w:hAnsi="宋体" w:cs="宋体"/>
          <w:sz w:val="28"/>
          <w:szCs w:val="28"/>
          <w:highlight w:val="none"/>
        </w:rPr>
        <w:t>参选单位企业概况（企业简介、经营状况、近三年业绩）、营业执照、</w:t>
      </w:r>
      <w:r>
        <w:rPr>
          <w:rFonts w:hint="eastAsia" w:ascii="宋体" w:hAnsi="宋体" w:cs="宋体"/>
          <w:sz w:val="28"/>
          <w:szCs w:val="28"/>
          <w:highlight w:val="none"/>
          <w:lang w:eastAsia="zh-CN"/>
        </w:rPr>
        <w:t>开户许可证</w:t>
      </w:r>
      <w:r>
        <w:rPr>
          <w:rFonts w:hint="eastAsia" w:ascii="宋体" w:hAnsi="宋体" w:cs="宋体"/>
          <w:color w:val="000000"/>
          <w:sz w:val="28"/>
          <w:szCs w:val="28"/>
          <w:highlight w:val="none"/>
          <w:lang w:eastAsia="zh-CN"/>
        </w:rPr>
        <w:t>（经年检或年审合格的）、道路运输许可证、相关车辆</w:t>
      </w:r>
      <w:r>
        <w:rPr>
          <w:rFonts w:hint="eastAsia" w:asciiTheme="minorEastAsia" w:hAnsiTheme="minorEastAsia" w:eastAsiaTheme="minorEastAsia"/>
          <w:color w:val="000000"/>
          <w:sz w:val="28"/>
          <w:szCs w:val="28"/>
          <w:highlight w:val="none"/>
        </w:rPr>
        <w:t>登记证书</w:t>
      </w:r>
      <w:r>
        <w:rPr>
          <w:rFonts w:hint="eastAsia" w:ascii="宋体" w:hAnsi="宋体" w:cs="宋体"/>
          <w:color w:val="000000"/>
          <w:sz w:val="28"/>
          <w:szCs w:val="28"/>
          <w:highlight w:val="none"/>
          <w:lang w:eastAsia="zh-CN"/>
        </w:rPr>
        <w:t>等</w:t>
      </w:r>
      <w:r>
        <w:rPr>
          <w:rFonts w:hint="eastAsia" w:ascii="宋体" w:hAnsi="宋体" w:cs="宋体"/>
          <w:sz w:val="28"/>
          <w:szCs w:val="28"/>
          <w:highlight w:val="none"/>
        </w:rPr>
        <w:t>。</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③参选单位出具业务联系人的授权</w:t>
      </w:r>
      <w:r>
        <w:rPr>
          <w:rFonts w:hint="eastAsia" w:ascii="宋体" w:hAnsi="宋体" w:cs="宋体"/>
          <w:color w:val="000000"/>
          <w:sz w:val="28"/>
          <w:szCs w:val="28"/>
          <w:highlight w:val="none"/>
        </w:rPr>
        <w:t>代表</w:t>
      </w:r>
      <w:r>
        <w:rPr>
          <w:rFonts w:hint="eastAsia" w:ascii="宋体" w:hAnsi="宋体" w:cs="宋体"/>
          <w:sz w:val="28"/>
          <w:szCs w:val="28"/>
          <w:highlight w:val="none"/>
        </w:rPr>
        <w:t>证明，业务联系人或被授权代表变更时应取得相应的具有</w:t>
      </w:r>
      <w:r>
        <w:rPr>
          <w:rFonts w:hint="eastAsia" w:ascii="宋体" w:hAnsi="宋体" w:cs="宋体"/>
          <w:color w:val="000000"/>
          <w:sz w:val="28"/>
          <w:szCs w:val="28"/>
          <w:highlight w:val="none"/>
        </w:rPr>
        <w:t>法律</w:t>
      </w:r>
      <w:r>
        <w:rPr>
          <w:rFonts w:hint="eastAsia" w:ascii="宋体" w:hAnsi="宋体" w:cs="宋体"/>
          <w:sz w:val="28"/>
          <w:szCs w:val="28"/>
          <w:highlight w:val="none"/>
        </w:rPr>
        <w:t>效力的证明材料。</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④提供参选报价表。报价单参照附件</w:t>
      </w:r>
      <w:r>
        <w:rPr>
          <w:rFonts w:hint="eastAsia" w:ascii="宋体" w:hAnsi="宋体" w:cs="宋体"/>
          <w:color w:val="000000"/>
          <w:sz w:val="28"/>
          <w:szCs w:val="28"/>
          <w:highlight w:val="none"/>
          <w:lang w:eastAsia="zh-CN"/>
        </w:rPr>
        <w:t>二</w:t>
      </w:r>
      <w:r>
        <w:rPr>
          <w:rFonts w:hint="eastAsia" w:ascii="宋体" w:hAnsi="宋体" w:cs="宋体"/>
          <w:color w:val="000000"/>
          <w:sz w:val="28"/>
          <w:szCs w:val="28"/>
          <w:highlight w:val="none"/>
        </w:rPr>
        <w:t>格式进行报价。如私自修改报价格式按废标处理。</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⑤以上①至</w:t>
      </w:r>
      <w:r>
        <w:rPr>
          <w:rFonts w:hint="eastAsia" w:ascii="宋体" w:hAnsi="宋体" w:cs="宋体"/>
          <w:sz w:val="28"/>
          <w:szCs w:val="28"/>
          <w:highlight w:val="none"/>
        </w:rPr>
        <w:t>③项内容合并密封并加盖公章；</w:t>
      </w:r>
      <w:r>
        <w:rPr>
          <w:rFonts w:hint="eastAsia" w:ascii="宋体" w:hAnsi="宋体" w:cs="宋体"/>
          <w:color w:val="000000"/>
          <w:sz w:val="28"/>
          <w:szCs w:val="28"/>
          <w:highlight w:val="none"/>
        </w:rPr>
        <w:t>④项内容单独密封并加盖公章；在密封封面上要有明确的注明表示密封内的项号。</w:t>
      </w:r>
    </w:p>
    <w:p>
      <w:pPr>
        <w:spacing w:line="360" w:lineRule="auto"/>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、参选书格式</w:t>
      </w:r>
    </w:p>
    <w:p>
      <w:pPr>
        <w:spacing w:line="360" w:lineRule="auto"/>
        <w:ind w:firstLine="549" w:firstLineChars="196"/>
        <w:rPr>
          <w:rFonts w:ascii="宋体"/>
          <w:sz w:val="28"/>
          <w:szCs w:val="28"/>
          <w:highlight w:val="none"/>
        </w:rPr>
      </w:pPr>
      <w:r>
        <w:rPr>
          <w:rFonts w:hint="eastAsia" w:ascii="宋体" w:hAnsi="宋体" w:cs="宋体"/>
          <w:sz w:val="28"/>
          <w:szCs w:val="28"/>
          <w:highlight w:val="none"/>
        </w:rPr>
        <w:t>参选人应按规定制作参选文件并需加盖公司章，按规定填写报价表并需加盖公司章，法定代表人或委托代表人签字。</w:t>
      </w:r>
    </w:p>
    <w:p>
      <w:pPr>
        <w:snapToGrid w:val="0"/>
        <w:spacing w:line="360" w:lineRule="auto"/>
        <w:rPr>
          <w:rFonts w:ascii="宋体"/>
          <w:b/>
          <w:bCs/>
          <w:color w:val="000000"/>
          <w:sz w:val="28"/>
          <w:szCs w:val="28"/>
          <w:highlight w:val="none"/>
        </w:rPr>
      </w:pPr>
      <w:r>
        <w:rPr>
          <w:rFonts w:ascii="宋体" w:hAnsi="宋体" w:cs="宋体"/>
          <w:b/>
          <w:bCs/>
          <w:color w:val="000000"/>
          <w:sz w:val="28"/>
          <w:szCs w:val="28"/>
          <w:highlight w:val="none"/>
        </w:rPr>
        <w:t>3</w:t>
      </w:r>
      <w:r>
        <w:rPr>
          <w:rFonts w:hint="eastAsia" w:ascii="宋体" w:hAnsi="宋体" w:cs="宋体"/>
          <w:b/>
          <w:bCs/>
          <w:color w:val="000000"/>
          <w:sz w:val="28"/>
          <w:szCs w:val="28"/>
          <w:highlight w:val="none"/>
        </w:rPr>
        <w:t>、参选报价</w:t>
      </w:r>
    </w:p>
    <w:p>
      <w:pPr>
        <w:snapToGrid w:val="0"/>
        <w:spacing w:line="360" w:lineRule="auto"/>
        <w:ind w:firstLine="557" w:firstLineChars="199"/>
        <w:rPr>
          <w:rFonts w:ascii="宋体" w:hAnsi="宋体" w:cs="宋体"/>
          <w:sz w:val="28"/>
          <w:szCs w:val="28"/>
          <w:highlight w:val="none"/>
        </w:rPr>
      </w:pPr>
      <w:r>
        <w:rPr>
          <w:rFonts w:hint="eastAsia" w:ascii="宋体" w:hAnsi="宋体" w:cs="宋体"/>
          <w:color w:val="000000"/>
          <w:sz w:val="28"/>
          <w:szCs w:val="28"/>
          <w:highlight w:val="none"/>
        </w:rPr>
        <w:t>参选</w:t>
      </w:r>
      <w:r>
        <w:rPr>
          <w:rFonts w:hint="eastAsia" w:ascii="宋体" w:hAnsi="宋体" w:cs="宋体"/>
          <w:sz w:val="28"/>
          <w:szCs w:val="28"/>
          <w:highlight w:val="none"/>
        </w:rPr>
        <w:t>人须现场勘查，对参选报价负责。</w:t>
      </w:r>
      <w:r>
        <w:rPr>
          <w:rFonts w:hint="eastAsia" w:ascii="宋体" w:hAnsi="宋体" w:cs="宋体"/>
          <w:color w:val="000000"/>
          <w:sz w:val="28"/>
          <w:szCs w:val="28"/>
          <w:highlight w:val="none"/>
        </w:rPr>
        <w:t>参选报价应根据</w:t>
      </w:r>
      <w:r>
        <w:rPr>
          <w:rFonts w:hint="eastAsia" w:ascii="宋体" w:hAnsi="宋体" w:cs="宋体"/>
          <w:sz w:val="28"/>
          <w:szCs w:val="28"/>
          <w:highlight w:val="none"/>
        </w:rPr>
        <w:t>报价函填写，加盖参选人印章，字迹清晰，否则视为无效。</w:t>
      </w:r>
      <w:r>
        <w:rPr>
          <w:rFonts w:ascii="宋体" w:hAnsi="宋体" w:cs="宋体"/>
          <w:sz w:val="28"/>
          <w:szCs w:val="28"/>
          <w:highlight w:val="none"/>
        </w:rPr>
        <w:t xml:space="preserve"> </w:t>
      </w:r>
    </w:p>
    <w:p>
      <w:pPr>
        <w:snapToGrid w:val="0"/>
        <w:spacing w:line="360" w:lineRule="auto"/>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、特别说明</w:t>
      </w:r>
    </w:p>
    <w:p>
      <w:pPr>
        <w:widowControl/>
        <w:snapToGrid w:val="0"/>
        <w:spacing w:line="360" w:lineRule="auto"/>
        <w:ind w:firstLine="560" w:firstLineChars="200"/>
        <w:rPr>
          <w:rFonts w:ascii="宋体"/>
          <w:sz w:val="28"/>
          <w:szCs w:val="28"/>
          <w:highlight w:val="none"/>
        </w:rPr>
      </w:pPr>
      <w:r>
        <w:rPr>
          <w:rFonts w:ascii="宋体" w:hAnsi="宋体" w:cs="宋体"/>
          <w:sz w:val="28"/>
          <w:szCs w:val="28"/>
          <w:highlight w:val="none"/>
        </w:rPr>
        <w:t>4.1</w:t>
      </w:r>
      <w:r>
        <w:rPr>
          <w:rFonts w:hint="eastAsia" w:ascii="宋体" w:hAnsi="宋体" w:cs="宋体"/>
          <w:sz w:val="28"/>
          <w:szCs w:val="28"/>
          <w:highlight w:val="none"/>
        </w:rPr>
        <w:t>参选人需承担所有与比选有关的费用，比选人在任何情况</w:t>
      </w:r>
    </w:p>
    <w:p>
      <w:pPr>
        <w:widowControl/>
        <w:snapToGrid w:val="0"/>
        <w:spacing w:line="360" w:lineRule="auto"/>
        <w:rPr>
          <w:rFonts w:ascii="宋体"/>
          <w:sz w:val="28"/>
          <w:szCs w:val="28"/>
          <w:highlight w:val="none"/>
        </w:rPr>
      </w:pPr>
      <w:r>
        <w:rPr>
          <w:rFonts w:hint="eastAsia" w:ascii="宋体" w:hAnsi="宋体" w:cs="宋体"/>
          <w:sz w:val="28"/>
          <w:szCs w:val="28"/>
          <w:highlight w:val="none"/>
        </w:rPr>
        <w:t>不负担上述费用。</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4.2</w:t>
      </w:r>
      <w:r>
        <w:rPr>
          <w:rFonts w:hint="eastAsia" w:ascii="宋体" w:hAnsi="宋体" w:cs="宋体"/>
          <w:color w:val="000000"/>
          <w:sz w:val="28"/>
          <w:szCs w:val="28"/>
          <w:highlight w:val="none"/>
        </w:rPr>
        <w:t>参选收到比选文件后，如有疑问需要澄清，请以</w:t>
      </w:r>
      <w:r>
        <w:rPr>
          <w:rFonts w:hint="eastAsia" w:ascii="宋体" w:hAnsi="宋体" w:cs="宋体"/>
          <w:sz w:val="28"/>
          <w:szCs w:val="28"/>
          <w:highlight w:val="none"/>
        </w:rPr>
        <w:t>书面形式</w:t>
      </w:r>
      <w:r>
        <w:rPr>
          <w:rFonts w:hint="eastAsia" w:ascii="宋体" w:hAnsi="宋体" w:cs="宋体"/>
          <w:color w:val="000000"/>
          <w:sz w:val="28"/>
          <w:szCs w:val="28"/>
          <w:highlight w:val="none"/>
        </w:rPr>
        <w:t>在规定时间内报比选人汇总。</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4.3</w:t>
      </w:r>
      <w:r>
        <w:rPr>
          <w:rFonts w:hint="eastAsia" w:ascii="宋体" w:hAnsi="宋体" w:cs="宋体"/>
          <w:color w:val="000000"/>
          <w:sz w:val="28"/>
          <w:szCs w:val="28"/>
          <w:highlight w:val="none"/>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宋体"/>
          <w:b/>
          <w:bCs/>
          <w:color w:val="000000"/>
          <w:sz w:val="28"/>
          <w:szCs w:val="28"/>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第四章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评比规则</w:t>
      </w:r>
    </w:p>
    <w:p>
      <w:pPr>
        <w:spacing w:line="510" w:lineRule="exact"/>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、评分规则：</w:t>
      </w:r>
    </w:p>
    <w:p>
      <w:pPr>
        <w:spacing w:line="360" w:lineRule="auto"/>
        <w:ind w:firstLine="560" w:firstLineChars="200"/>
        <w:rPr>
          <w:rFonts w:hint="eastAsia" w:ascii="宋体" w:hAnsi="宋体" w:cs="宋体"/>
          <w:sz w:val="28"/>
          <w:szCs w:val="28"/>
          <w:highlight w:val="none"/>
          <w:lang w:val="en-US" w:eastAsia="zh-CN"/>
        </w:rPr>
      </w:pPr>
      <w:r>
        <w:rPr>
          <w:rFonts w:hint="eastAsia" w:ascii="宋体" w:hAnsi="宋体"/>
          <w:color w:val="000000"/>
          <w:sz w:val="28"/>
          <w:szCs w:val="28"/>
          <w:highlight w:val="none"/>
        </w:rPr>
        <w:t>1.1比选人在评选时，</w:t>
      </w:r>
      <w:r>
        <w:rPr>
          <w:rFonts w:hint="eastAsia" w:ascii="宋体" w:hAnsi="宋体"/>
          <w:sz w:val="28"/>
          <w:szCs w:val="28"/>
          <w:highlight w:val="none"/>
        </w:rPr>
        <w:t>原则以</w:t>
      </w:r>
      <w:r>
        <w:rPr>
          <w:rFonts w:hint="eastAsia" w:ascii="宋体" w:hAnsi="宋体"/>
          <w:sz w:val="28"/>
          <w:szCs w:val="28"/>
          <w:highlight w:val="none"/>
          <w:lang w:eastAsia="zh-CN"/>
        </w:rPr>
        <w:t>报价</w:t>
      </w:r>
      <w:r>
        <w:rPr>
          <w:rFonts w:hint="eastAsia" w:ascii="宋体" w:hAnsi="宋体"/>
          <w:sz w:val="28"/>
          <w:szCs w:val="28"/>
          <w:highlight w:val="none"/>
        </w:rPr>
        <w:t>最</w:t>
      </w:r>
      <w:r>
        <w:rPr>
          <w:rFonts w:hint="eastAsia" w:ascii="宋体" w:hAnsi="宋体"/>
          <w:sz w:val="28"/>
          <w:szCs w:val="28"/>
          <w:highlight w:val="none"/>
          <w:lang w:eastAsia="zh-CN"/>
        </w:rPr>
        <w:t>低</w:t>
      </w:r>
      <w:r>
        <w:rPr>
          <w:rFonts w:hint="eastAsia" w:ascii="宋体" w:hAnsi="宋体"/>
          <w:sz w:val="28"/>
          <w:szCs w:val="28"/>
          <w:highlight w:val="none"/>
        </w:rPr>
        <w:t>者做为中选单位</w:t>
      </w:r>
      <w:r>
        <w:rPr>
          <w:rFonts w:hint="eastAsia" w:ascii="宋体" w:hAnsi="宋体"/>
          <w:sz w:val="28"/>
          <w:szCs w:val="28"/>
          <w:highlight w:val="none"/>
          <w:lang w:eastAsia="zh-CN"/>
        </w:rPr>
        <w:t>，但须满足以下条件：</w:t>
      </w:r>
    </w:p>
    <w:p>
      <w:pPr>
        <w:spacing w:line="360" w:lineRule="auto"/>
        <w:ind w:firstLine="560" w:firstLineChars="200"/>
        <w:rPr>
          <w:rFonts w:hint="eastAsia" w:asciiTheme="minorEastAsia" w:hAnsiTheme="minorEastAsia" w:eastAsiaTheme="minorEastAsia"/>
          <w:color w:val="000000"/>
          <w:sz w:val="28"/>
          <w:szCs w:val="28"/>
          <w:highlight w:val="none"/>
          <w:lang w:eastAsia="zh-CN"/>
        </w:rPr>
      </w:pPr>
      <w:r>
        <w:rPr>
          <w:rFonts w:hint="eastAsia" w:ascii="宋体" w:hAnsi="宋体" w:cs="宋体"/>
          <w:sz w:val="28"/>
          <w:szCs w:val="28"/>
          <w:highlight w:val="none"/>
          <w:lang w:val="en-US" w:eastAsia="zh-CN"/>
        </w:rPr>
        <w:t>1.1.1 参选单位需提供至少6部大型客运车辆（45或50座）、1部中型客运车辆（33座）、1部小型客运车辆（19座）的</w:t>
      </w:r>
      <w:r>
        <w:rPr>
          <w:rFonts w:hint="eastAsia" w:asciiTheme="minorEastAsia" w:hAnsiTheme="minorEastAsia" w:eastAsiaTheme="minorEastAsia"/>
          <w:color w:val="000000"/>
          <w:sz w:val="28"/>
          <w:szCs w:val="28"/>
          <w:highlight w:val="none"/>
        </w:rPr>
        <w:t>车辆登记证书</w:t>
      </w:r>
      <w:r>
        <w:rPr>
          <w:rFonts w:hint="eastAsia" w:asciiTheme="minorEastAsia" w:hAnsiTheme="minorEastAsia" w:eastAsiaTheme="minorEastAsia"/>
          <w:color w:val="000000"/>
          <w:sz w:val="28"/>
          <w:szCs w:val="28"/>
          <w:highlight w:val="none"/>
          <w:lang w:eastAsia="zh-CN"/>
        </w:rPr>
        <w:t>。</w:t>
      </w:r>
    </w:p>
    <w:p>
      <w:pPr>
        <w:spacing w:line="360" w:lineRule="auto"/>
        <w:ind w:firstLine="560" w:firstLineChars="200"/>
        <w:rPr>
          <w:rFonts w:hint="eastAsia" w:asciiTheme="minorEastAsia" w:hAnsiTheme="minorEastAsia" w:eastAsiaTheme="minorEastAsia"/>
          <w:color w:val="000000"/>
          <w:sz w:val="28"/>
          <w:szCs w:val="28"/>
          <w:highlight w:val="none"/>
          <w:lang w:val="en-US" w:eastAsia="zh-CN"/>
        </w:rPr>
      </w:pPr>
      <w:r>
        <w:rPr>
          <w:rFonts w:hint="eastAsia" w:asciiTheme="minorEastAsia" w:hAnsiTheme="minorEastAsia" w:eastAsiaTheme="minorEastAsia"/>
          <w:color w:val="000000"/>
          <w:sz w:val="28"/>
          <w:szCs w:val="28"/>
          <w:highlight w:val="none"/>
          <w:lang w:val="en-US" w:eastAsia="zh-CN"/>
        </w:rPr>
        <w:t>1.1.2 参选单位需提供2016年-2018年3年内3份以上相关类似承包服务合同。</w:t>
      </w:r>
    </w:p>
    <w:p>
      <w:pPr>
        <w:spacing w:line="360" w:lineRule="auto"/>
        <w:ind w:firstLine="560" w:firstLineChars="200"/>
        <w:rPr>
          <w:rFonts w:hint="eastAsia" w:asciiTheme="minorEastAsia" w:hAnsiTheme="minorEastAsia" w:eastAsiaTheme="minorEastAsia"/>
          <w:color w:val="000000"/>
          <w:sz w:val="28"/>
          <w:szCs w:val="28"/>
          <w:highlight w:val="none"/>
          <w:lang w:val="en-US" w:eastAsia="zh-CN"/>
        </w:rPr>
      </w:pPr>
      <w:r>
        <w:rPr>
          <w:rFonts w:hint="eastAsia" w:asciiTheme="minorEastAsia" w:hAnsiTheme="minorEastAsia" w:eastAsiaTheme="minorEastAsia"/>
          <w:color w:val="000000"/>
          <w:sz w:val="28"/>
          <w:szCs w:val="28"/>
          <w:highlight w:val="none"/>
          <w:lang w:val="en-US" w:eastAsia="zh-CN"/>
        </w:rPr>
        <w:t>1.1.3 以大型客运车辆（45或50座）的报价为主进行评比，选择中选单位。其中包1我司每年大型客运车辆使用量约在2部车单程100趟，往返180趟，包2为每天2部车4趟。比选人将根据参选人报价乘以以上预估数量，总价最低者为中选单位。如大型客运车辆报价总价相同，则参考小型车辆的报价。</w:t>
      </w:r>
    </w:p>
    <w:p>
      <w:pPr>
        <w:spacing w:line="360" w:lineRule="auto"/>
        <w:ind w:firstLine="560" w:firstLineChars="200"/>
        <w:rPr>
          <w:rFonts w:hint="eastAsia" w:ascii="宋体" w:hAnsi="宋体" w:cs="宋体"/>
          <w:sz w:val="28"/>
          <w:szCs w:val="28"/>
          <w:highlight w:val="none"/>
          <w:lang w:val="en-US" w:eastAsia="zh-CN"/>
        </w:rPr>
      </w:pPr>
      <w:r>
        <w:rPr>
          <w:rFonts w:hint="eastAsia" w:asciiTheme="minorEastAsia" w:hAnsiTheme="minorEastAsia" w:eastAsiaTheme="minorEastAsia"/>
          <w:color w:val="000000"/>
          <w:sz w:val="28"/>
          <w:szCs w:val="28"/>
          <w:highlight w:val="none"/>
          <w:lang w:val="en-US" w:eastAsia="zh-CN"/>
        </w:rPr>
        <w:t>1.1.4报价规则：</w:t>
      </w:r>
      <w:r>
        <w:rPr>
          <w:rFonts w:hint="eastAsia" w:ascii="宋体" w:hAnsi="宋体" w:cs="宋体"/>
          <w:sz w:val="28"/>
          <w:szCs w:val="28"/>
          <w:highlight w:val="none"/>
          <w:lang w:val="en-US" w:eastAsia="zh-CN"/>
        </w:rPr>
        <w:t>小型客运车辆（19座）报价＜中型客运车辆（33座）报价＜大型客运车辆（45或50座）报价，单程报价＜往返报价。</w:t>
      </w:r>
    </w:p>
    <w:p>
      <w:pPr>
        <w:spacing w:line="360" w:lineRule="auto"/>
        <w:ind w:firstLine="560" w:firstLineChars="200"/>
        <w:rPr>
          <w:rFonts w:hint="eastAsia" w:ascii="宋体" w:hAnsi="宋体" w:cs="宋体"/>
          <w:sz w:val="28"/>
          <w:szCs w:val="28"/>
          <w:highlight w:val="yellow"/>
          <w:lang w:val="en-US" w:eastAsia="zh-CN"/>
        </w:rPr>
      </w:pPr>
      <w:r>
        <w:rPr>
          <w:rFonts w:hint="eastAsia" w:ascii="宋体" w:hAnsi="宋体" w:cs="宋体"/>
          <w:sz w:val="28"/>
          <w:szCs w:val="28"/>
          <w:highlight w:val="yellow"/>
          <w:lang w:val="en-US" w:eastAsia="zh-CN"/>
        </w:rPr>
        <w:t>1.1.5参选人的营运资质要求5年以上，信誉良好，行车安全无事故。</w:t>
      </w:r>
    </w:p>
    <w:p>
      <w:pPr>
        <w:spacing w:line="360" w:lineRule="auto"/>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1.2参选最高限价如下：</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8"/>
        <w:gridCol w:w="1417"/>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jc w:val="center"/>
              <w:rPr>
                <w:rFonts w:ascii="宋体"/>
                <w:sz w:val="24"/>
                <w:szCs w:val="24"/>
                <w:highlight w:val="none"/>
              </w:rPr>
            </w:pPr>
            <w:r>
              <w:rPr>
                <w:rFonts w:hint="eastAsia" w:ascii="宋体" w:hAnsi="宋体"/>
                <w:sz w:val="24"/>
                <w:szCs w:val="24"/>
                <w:highlight w:val="none"/>
              </w:rPr>
              <w:t>服务项目</w:t>
            </w:r>
          </w:p>
        </w:tc>
        <w:tc>
          <w:tcPr>
            <w:tcW w:w="1418" w:type="dxa"/>
            <w:vAlign w:val="center"/>
          </w:tcPr>
          <w:p>
            <w:pPr>
              <w:jc w:val="center"/>
              <w:rPr>
                <w:rFonts w:ascii="宋体"/>
                <w:sz w:val="24"/>
                <w:szCs w:val="24"/>
                <w:highlight w:val="none"/>
              </w:rPr>
            </w:pPr>
            <w:r>
              <w:rPr>
                <w:rFonts w:ascii="宋体" w:hAnsi="宋体"/>
                <w:sz w:val="24"/>
                <w:szCs w:val="24"/>
                <w:highlight w:val="none"/>
              </w:rPr>
              <w:t>19</w:t>
            </w:r>
            <w:r>
              <w:rPr>
                <w:rFonts w:hint="eastAsia" w:ascii="宋体" w:hAnsi="宋体"/>
                <w:sz w:val="24"/>
                <w:szCs w:val="24"/>
                <w:highlight w:val="none"/>
              </w:rPr>
              <w:t>座</w:t>
            </w:r>
          </w:p>
        </w:tc>
        <w:tc>
          <w:tcPr>
            <w:tcW w:w="1417" w:type="dxa"/>
            <w:vAlign w:val="center"/>
          </w:tcPr>
          <w:p>
            <w:pPr>
              <w:jc w:val="center"/>
              <w:rPr>
                <w:rFonts w:ascii="宋体"/>
                <w:sz w:val="24"/>
                <w:szCs w:val="24"/>
                <w:highlight w:val="none"/>
              </w:rPr>
            </w:pPr>
            <w:r>
              <w:rPr>
                <w:rFonts w:ascii="宋体" w:hAnsi="宋体"/>
                <w:sz w:val="24"/>
                <w:szCs w:val="24"/>
                <w:highlight w:val="none"/>
              </w:rPr>
              <w:t>33</w:t>
            </w:r>
            <w:r>
              <w:rPr>
                <w:rFonts w:hint="eastAsia" w:ascii="宋体" w:hAnsi="宋体"/>
                <w:sz w:val="24"/>
                <w:szCs w:val="24"/>
                <w:highlight w:val="none"/>
              </w:rPr>
              <w:t>座</w:t>
            </w:r>
          </w:p>
        </w:tc>
        <w:tc>
          <w:tcPr>
            <w:tcW w:w="1418" w:type="dxa"/>
            <w:vAlign w:val="center"/>
          </w:tcPr>
          <w:p>
            <w:pPr>
              <w:jc w:val="center"/>
              <w:rPr>
                <w:rFonts w:ascii="宋体"/>
                <w:sz w:val="24"/>
                <w:szCs w:val="24"/>
                <w:highlight w:val="none"/>
              </w:rPr>
            </w:pPr>
            <w:r>
              <w:rPr>
                <w:rFonts w:ascii="宋体" w:hAnsi="宋体"/>
                <w:sz w:val="24"/>
                <w:szCs w:val="24"/>
                <w:highlight w:val="none"/>
              </w:rPr>
              <w:t>45</w:t>
            </w:r>
            <w:r>
              <w:rPr>
                <w:rFonts w:hint="eastAsia" w:ascii="宋体" w:hAnsi="宋体"/>
                <w:sz w:val="24"/>
                <w:szCs w:val="24"/>
                <w:highlight w:val="none"/>
              </w:rPr>
              <w:t>座</w:t>
            </w:r>
          </w:p>
        </w:tc>
        <w:tc>
          <w:tcPr>
            <w:tcW w:w="1326" w:type="dxa"/>
            <w:vAlign w:val="center"/>
          </w:tcPr>
          <w:p>
            <w:pPr>
              <w:jc w:val="center"/>
              <w:rPr>
                <w:rFonts w:ascii="宋体"/>
                <w:sz w:val="24"/>
                <w:szCs w:val="24"/>
                <w:highlight w:val="none"/>
              </w:rPr>
            </w:pPr>
            <w:r>
              <w:rPr>
                <w:rFonts w:ascii="宋体" w:hAnsi="宋体"/>
                <w:sz w:val="24"/>
                <w:szCs w:val="24"/>
                <w:highlight w:val="none"/>
              </w:rPr>
              <w:t>50</w:t>
            </w:r>
            <w:r>
              <w:rPr>
                <w:rFonts w:hint="eastAsia" w:ascii="宋体" w:hAnsi="宋体"/>
                <w:sz w:val="24"/>
                <w:szCs w:val="24"/>
                <w:highlight w:val="none"/>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jc w:val="center"/>
              <w:rPr>
                <w:rFonts w:ascii="宋体"/>
                <w:sz w:val="24"/>
                <w:szCs w:val="24"/>
                <w:highlight w:val="none"/>
              </w:rPr>
            </w:pPr>
            <w:r>
              <w:rPr>
                <w:rFonts w:hint="eastAsia" w:ascii="宋体" w:hAnsi="宋体"/>
                <w:sz w:val="24"/>
                <w:szCs w:val="24"/>
                <w:highlight w:val="none"/>
              </w:rPr>
              <w:t>福州市区</w:t>
            </w:r>
            <w:r>
              <w:rPr>
                <w:rFonts w:ascii="宋体" w:hAnsi="宋体"/>
                <w:sz w:val="24"/>
                <w:szCs w:val="24"/>
                <w:highlight w:val="none"/>
              </w:rPr>
              <w:t>——</w:t>
            </w:r>
            <w:r>
              <w:rPr>
                <w:rFonts w:hint="eastAsia" w:ascii="宋体" w:hAnsi="宋体"/>
                <w:sz w:val="24"/>
                <w:szCs w:val="24"/>
                <w:highlight w:val="none"/>
              </w:rPr>
              <w:t>江阴厂区（单程）</w:t>
            </w:r>
          </w:p>
        </w:tc>
        <w:tc>
          <w:tcPr>
            <w:tcW w:w="1418" w:type="dxa"/>
            <w:vAlign w:val="center"/>
          </w:tcPr>
          <w:p>
            <w:pPr>
              <w:jc w:val="center"/>
              <w:rPr>
                <w:rFonts w:ascii="宋体"/>
                <w:sz w:val="24"/>
                <w:szCs w:val="24"/>
                <w:highlight w:val="none"/>
              </w:rPr>
            </w:pPr>
            <w:r>
              <w:rPr>
                <w:rFonts w:hint="eastAsia" w:ascii="宋体" w:hAnsi="宋体"/>
                <w:sz w:val="24"/>
                <w:szCs w:val="24"/>
                <w:highlight w:val="none"/>
                <w:lang w:val="en-US" w:eastAsia="zh-CN"/>
              </w:rPr>
              <w:t>830</w:t>
            </w:r>
            <w:r>
              <w:rPr>
                <w:rFonts w:hint="eastAsia" w:ascii="宋体" w:hAnsi="宋体"/>
                <w:sz w:val="24"/>
                <w:szCs w:val="24"/>
                <w:highlight w:val="none"/>
              </w:rPr>
              <w:t>元</w:t>
            </w:r>
          </w:p>
        </w:tc>
        <w:tc>
          <w:tcPr>
            <w:tcW w:w="1417" w:type="dxa"/>
            <w:vAlign w:val="center"/>
          </w:tcPr>
          <w:p>
            <w:pPr>
              <w:jc w:val="center"/>
              <w:rPr>
                <w:rFonts w:ascii="宋体"/>
                <w:sz w:val="24"/>
                <w:szCs w:val="24"/>
                <w:highlight w:val="none"/>
              </w:rPr>
            </w:pPr>
            <w:r>
              <w:rPr>
                <w:rFonts w:hint="eastAsia" w:ascii="宋体" w:hAnsi="宋体"/>
                <w:sz w:val="24"/>
                <w:szCs w:val="24"/>
                <w:highlight w:val="none"/>
                <w:lang w:val="en-US" w:eastAsia="zh-CN"/>
              </w:rPr>
              <w:t>930</w:t>
            </w:r>
            <w:r>
              <w:rPr>
                <w:rFonts w:hint="eastAsia" w:ascii="宋体" w:hAnsi="宋体"/>
                <w:sz w:val="24"/>
                <w:szCs w:val="24"/>
                <w:highlight w:val="none"/>
              </w:rPr>
              <w:t>元</w:t>
            </w:r>
          </w:p>
        </w:tc>
        <w:tc>
          <w:tcPr>
            <w:tcW w:w="2744" w:type="dxa"/>
            <w:gridSpan w:val="2"/>
            <w:vAlign w:val="center"/>
          </w:tcPr>
          <w:p>
            <w:pPr>
              <w:jc w:val="center"/>
              <w:rPr>
                <w:rFonts w:ascii="宋体"/>
                <w:sz w:val="24"/>
                <w:szCs w:val="24"/>
                <w:highlight w:val="none"/>
              </w:rPr>
            </w:pPr>
            <w:r>
              <w:rPr>
                <w:rFonts w:hint="eastAsia" w:ascii="宋体" w:hAnsi="宋体"/>
                <w:sz w:val="24"/>
                <w:szCs w:val="24"/>
                <w:highlight w:val="none"/>
                <w:lang w:val="en-US" w:eastAsia="zh-CN"/>
              </w:rPr>
              <w:t>990</w:t>
            </w:r>
            <w:r>
              <w:rPr>
                <w:rFonts w:hint="eastAsia" w:ascii="宋体" w:hAnsi="宋体"/>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jc w:val="center"/>
              <w:rPr>
                <w:rFonts w:ascii="宋体"/>
                <w:sz w:val="24"/>
                <w:szCs w:val="24"/>
                <w:highlight w:val="none"/>
              </w:rPr>
            </w:pPr>
            <w:r>
              <w:rPr>
                <w:rFonts w:hint="eastAsia" w:ascii="宋体" w:hAnsi="宋体"/>
                <w:sz w:val="24"/>
                <w:szCs w:val="24"/>
                <w:highlight w:val="none"/>
              </w:rPr>
              <w:t>福州市区</w:t>
            </w:r>
            <w:r>
              <w:rPr>
                <w:rFonts w:ascii="宋体" w:hAnsi="宋体"/>
                <w:sz w:val="24"/>
                <w:szCs w:val="24"/>
                <w:highlight w:val="none"/>
              </w:rPr>
              <w:t>——</w:t>
            </w:r>
            <w:r>
              <w:rPr>
                <w:rFonts w:hint="eastAsia" w:ascii="宋体" w:hAnsi="宋体"/>
                <w:sz w:val="24"/>
                <w:szCs w:val="24"/>
                <w:highlight w:val="none"/>
              </w:rPr>
              <w:t>江阴厂区</w:t>
            </w:r>
          </w:p>
          <w:p>
            <w:pPr>
              <w:jc w:val="center"/>
              <w:rPr>
                <w:rFonts w:ascii="宋体"/>
                <w:sz w:val="24"/>
                <w:szCs w:val="24"/>
                <w:highlight w:val="none"/>
              </w:rPr>
            </w:pPr>
            <w:r>
              <w:rPr>
                <w:rFonts w:hint="eastAsia" w:ascii="宋体" w:hAnsi="宋体"/>
                <w:sz w:val="24"/>
                <w:szCs w:val="24"/>
                <w:highlight w:val="none"/>
              </w:rPr>
              <w:t>（往返）</w:t>
            </w:r>
          </w:p>
        </w:tc>
        <w:tc>
          <w:tcPr>
            <w:tcW w:w="1418" w:type="dxa"/>
            <w:vAlign w:val="center"/>
          </w:tcPr>
          <w:p>
            <w:pPr>
              <w:jc w:val="center"/>
              <w:rPr>
                <w:rFonts w:ascii="宋体"/>
                <w:sz w:val="24"/>
                <w:szCs w:val="24"/>
                <w:highlight w:val="none"/>
              </w:rPr>
            </w:pPr>
            <w:r>
              <w:rPr>
                <w:rFonts w:hint="eastAsia" w:ascii="宋体" w:hAnsi="宋体"/>
                <w:kern w:val="0"/>
                <w:sz w:val="24"/>
                <w:szCs w:val="24"/>
                <w:highlight w:val="none"/>
                <w:lang w:val="en-US" w:eastAsia="zh-CN"/>
              </w:rPr>
              <w:t>1000</w:t>
            </w:r>
            <w:r>
              <w:rPr>
                <w:rFonts w:hint="eastAsia" w:ascii="宋体" w:hAnsi="宋体"/>
                <w:kern w:val="0"/>
                <w:sz w:val="24"/>
                <w:szCs w:val="24"/>
                <w:highlight w:val="none"/>
              </w:rPr>
              <w:t>元</w:t>
            </w:r>
          </w:p>
        </w:tc>
        <w:tc>
          <w:tcPr>
            <w:tcW w:w="1417" w:type="dxa"/>
            <w:vAlign w:val="center"/>
          </w:tcPr>
          <w:p>
            <w:pPr>
              <w:jc w:val="center"/>
              <w:rPr>
                <w:rFonts w:ascii="宋体"/>
                <w:sz w:val="24"/>
                <w:szCs w:val="24"/>
                <w:highlight w:val="none"/>
              </w:rPr>
            </w:pPr>
            <w:r>
              <w:rPr>
                <w:rFonts w:hint="eastAsia" w:ascii="宋体" w:hAnsi="宋体"/>
                <w:kern w:val="0"/>
                <w:sz w:val="24"/>
                <w:szCs w:val="24"/>
                <w:highlight w:val="none"/>
                <w:lang w:val="en-US" w:eastAsia="zh-CN"/>
              </w:rPr>
              <w:t>1100</w:t>
            </w:r>
            <w:r>
              <w:rPr>
                <w:rFonts w:hint="eastAsia" w:ascii="宋体" w:hAnsi="宋体"/>
                <w:kern w:val="0"/>
                <w:sz w:val="24"/>
                <w:szCs w:val="24"/>
                <w:highlight w:val="none"/>
              </w:rPr>
              <w:t>元</w:t>
            </w:r>
          </w:p>
        </w:tc>
        <w:tc>
          <w:tcPr>
            <w:tcW w:w="2744" w:type="dxa"/>
            <w:gridSpan w:val="2"/>
            <w:vAlign w:val="center"/>
          </w:tcPr>
          <w:p>
            <w:pPr>
              <w:jc w:val="center"/>
              <w:rPr>
                <w:rFonts w:ascii="宋体"/>
                <w:sz w:val="24"/>
                <w:szCs w:val="24"/>
                <w:highlight w:val="none"/>
              </w:rPr>
            </w:pPr>
            <w:r>
              <w:rPr>
                <w:rFonts w:hint="eastAsia" w:ascii="宋体"/>
                <w:sz w:val="24"/>
                <w:szCs w:val="24"/>
                <w:highlight w:val="none"/>
                <w:lang w:val="en-US" w:eastAsia="zh-CN"/>
              </w:rPr>
              <w:t>1190</w:t>
            </w:r>
            <w:r>
              <w:rPr>
                <w:rFonts w:hint="eastAsia" w:ascii="宋体"/>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2943" w:type="dxa"/>
            <w:vAlign w:val="center"/>
          </w:tcPr>
          <w:p>
            <w:pPr>
              <w:jc w:val="center"/>
              <w:rPr>
                <w:rFonts w:ascii="宋体"/>
                <w:sz w:val="24"/>
                <w:szCs w:val="24"/>
                <w:highlight w:val="none"/>
              </w:rPr>
            </w:pPr>
            <w:r>
              <w:rPr>
                <w:rFonts w:hint="eastAsia" w:ascii="宋体" w:hAnsi="宋体"/>
                <w:sz w:val="24"/>
                <w:szCs w:val="24"/>
                <w:highlight w:val="none"/>
              </w:rPr>
              <w:t>新厝生活区</w:t>
            </w:r>
            <w:r>
              <w:rPr>
                <w:rFonts w:ascii="宋体" w:hAnsi="宋体"/>
                <w:sz w:val="24"/>
                <w:szCs w:val="24"/>
                <w:highlight w:val="none"/>
              </w:rPr>
              <w:t>——</w:t>
            </w:r>
            <w:r>
              <w:rPr>
                <w:rFonts w:hint="eastAsia" w:ascii="宋体" w:hAnsi="宋体"/>
                <w:sz w:val="24"/>
                <w:szCs w:val="24"/>
                <w:highlight w:val="none"/>
              </w:rPr>
              <w:t>江阴厂区</w:t>
            </w:r>
            <w:r>
              <w:rPr>
                <w:rFonts w:ascii="宋体" w:hAnsi="宋体"/>
                <w:sz w:val="24"/>
                <w:szCs w:val="24"/>
                <w:highlight w:val="none"/>
              </w:rPr>
              <w:t>(</w:t>
            </w:r>
            <w:r>
              <w:rPr>
                <w:rFonts w:hint="eastAsia" w:ascii="宋体" w:hAnsi="宋体"/>
                <w:sz w:val="24"/>
                <w:szCs w:val="24"/>
                <w:highlight w:val="none"/>
              </w:rPr>
              <w:t>四趟</w:t>
            </w:r>
            <w:r>
              <w:rPr>
                <w:rFonts w:ascii="宋体" w:hAnsi="宋体"/>
                <w:sz w:val="24"/>
                <w:szCs w:val="24"/>
                <w:highlight w:val="none"/>
              </w:rPr>
              <w:t>/</w:t>
            </w:r>
            <w:r>
              <w:rPr>
                <w:rFonts w:hint="eastAsia" w:ascii="宋体" w:hAnsi="宋体"/>
                <w:sz w:val="24"/>
                <w:szCs w:val="24"/>
                <w:highlight w:val="none"/>
              </w:rPr>
              <w:t>天</w:t>
            </w:r>
            <w:r>
              <w:rPr>
                <w:rFonts w:ascii="宋体" w:hAnsi="宋体"/>
                <w:sz w:val="24"/>
                <w:szCs w:val="24"/>
                <w:highlight w:val="none"/>
              </w:rPr>
              <w:t>)</w:t>
            </w:r>
          </w:p>
        </w:tc>
        <w:tc>
          <w:tcPr>
            <w:tcW w:w="1418" w:type="dxa"/>
            <w:vAlign w:val="center"/>
          </w:tcPr>
          <w:p>
            <w:pPr>
              <w:jc w:val="center"/>
              <w:rPr>
                <w:rFonts w:ascii="宋体"/>
                <w:sz w:val="24"/>
                <w:szCs w:val="24"/>
                <w:highlight w:val="none"/>
              </w:rPr>
            </w:pPr>
            <w:r>
              <w:rPr>
                <w:rFonts w:hint="eastAsia" w:ascii="宋体"/>
                <w:sz w:val="24"/>
                <w:szCs w:val="24"/>
                <w:highlight w:val="none"/>
              </w:rPr>
              <w:t>/</w:t>
            </w:r>
          </w:p>
        </w:tc>
        <w:tc>
          <w:tcPr>
            <w:tcW w:w="1417" w:type="dxa"/>
            <w:vAlign w:val="center"/>
          </w:tcPr>
          <w:p>
            <w:pPr>
              <w:jc w:val="center"/>
              <w:rPr>
                <w:rFonts w:ascii="宋体"/>
                <w:sz w:val="24"/>
                <w:szCs w:val="24"/>
                <w:highlight w:val="none"/>
              </w:rPr>
            </w:pPr>
            <w:r>
              <w:rPr>
                <w:rFonts w:hint="eastAsia" w:ascii="宋体"/>
                <w:sz w:val="24"/>
                <w:szCs w:val="24"/>
                <w:highlight w:val="none"/>
              </w:rPr>
              <w:t>/</w:t>
            </w:r>
          </w:p>
        </w:tc>
        <w:tc>
          <w:tcPr>
            <w:tcW w:w="1418" w:type="dxa"/>
            <w:vAlign w:val="center"/>
          </w:tcPr>
          <w:p>
            <w:pPr>
              <w:jc w:val="center"/>
              <w:rPr>
                <w:rFonts w:ascii="宋体"/>
                <w:sz w:val="24"/>
                <w:szCs w:val="24"/>
                <w:highlight w:val="none"/>
              </w:rPr>
            </w:pPr>
            <w:r>
              <w:rPr>
                <w:rFonts w:hint="eastAsia" w:ascii="宋体"/>
                <w:sz w:val="24"/>
                <w:szCs w:val="24"/>
                <w:highlight w:val="none"/>
              </w:rPr>
              <w:t>/</w:t>
            </w:r>
          </w:p>
        </w:tc>
        <w:tc>
          <w:tcPr>
            <w:tcW w:w="1326" w:type="dxa"/>
            <w:vAlign w:val="center"/>
          </w:tcPr>
          <w:p>
            <w:pPr>
              <w:jc w:val="center"/>
              <w:rPr>
                <w:rFonts w:ascii="宋体"/>
                <w:sz w:val="24"/>
                <w:szCs w:val="24"/>
                <w:highlight w:val="none"/>
              </w:rPr>
            </w:pPr>
            <w:r>
              <w:rPr>
                <w:rFonts w:hint="eastAsia" w:ascii="宋体" w:hAnsi="宋体"/>
                <w:sz w:val="24"/>
                <w:szCs w:val="24"/>
                <w:highlight w:val="none"/>
                <w:lang w:val="en-US" w:eastAsia="zh-CN"/>
              </w:rPr>
              <w:t>790</w:t>
            </w:r>
            <w:r>
              <w:rPr>
                <w:rFonts w:hint="eastAsia" w:ascii="宋体" w:hAnsi="宋体"/>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jc w:val="center"/>
              <w:rPr>
                <w:rFonts w:ascii="宋体"/>
                <w:sz w:val="24"/>
                <w:szCs w:val="24"/>
                <w:highlight w:val="none"/>
              </w:rPr>
            </w:pPr>
            <w:r>
              <w:rPr>
                <w:rFonts w:hint="eastAsia" w:ascii="宋体" w:hAnsi="宋体"/>
                <w:sz w:val="24"/>
                <w:szCs w:val="24"/>
                <w:highlight w:val="none"/>
              </w:rPr>
              <w:t>新厝生活区</w:t>
            </w:r>
            <w:r>
              <w:rPr>
                <w:rFonts w:ascii="宋体" w:hAnsi="宋体"/>
                <w:sz w:val="24"/>
                <w:szCs w:val="24"/>
                <w:highlight w:val="none"/>
              </w:rPr>
              <w:t>——</w:t>
            </w:r>
            <w:r>
              <w:rPr>
                <w:rFonts w:hint="eastAsia" w:ascii="宋体" w:hAnsi="宋体"/>
                <w:sz w:val="24"/>
                <w:szCs w:val="24"/>
                <w:highlight w:val="none"/>
              </w:rPr>
              <w:t>江阴厂区（临时）</w:t>
            </w:r>
          </w:p>
        </w:tc>
        <w:tc>
          <w:tcPr>
            <w:tcW w:w="5579" w:type="dxa"/>
            <w:gridSpan w:val="4"/>
            <w:vAlign w:val="center"/>
          </w:tcPr>
          <w:p>
            <w:pPr>
              <w:jc w:val="left"/>
              <w:rPr>
                <w:rFonts w:ascii="宋体"/>
                <w:sz w:val="24"/>
                <w:szCs w:val="24"/>
                <w:highlight w:val="none"/>
              </w:rPr>
            </w:pPr>
            <w:r>
              <w:rPr>
                <w:rFonts w:hint="eastAsia" w:ascii="宋体" w:hAnsi="宋体"/>
                <w:sz w:val="24"/>
                <w:szCs w:val="24"/>
                <w:highlight w:val="none"/>
              </w:rPr>
              <w:t>新厝至江阴接送</w:t>
            </w:r>
            <w:r>
              <w:rPr>
                <w:rFonts w:hint="eastAsia" w:ascii="宋体" w:hAnsi="宋体"/>
                <w:sz w:val="24"/>
                <w:szCs w:val="24"/>
                <w:highlight w:val="none"/>
                <w:lang w:val="en-US" w:eastAsia="zh-CN"/>
              </w:rPr>
              <w:t>,白天</w:t>
            </w:r>
            <w:r>
              <w:rPr>
                <w:rFonts w:hint="eastAsia" w:ascii="宋体" w:hAnsi="宋体"/>
                <w:sz w:val="24"/>
                <w:szCs w:val="24"/>
                <w:highlight w:val="none"/>
              </w:rPr>
              <w:t>每增加一单趟费用</w:t>
            </w:r>
            <w:r>
              <w:rPr>
                <w:rFonts w:ascii="宋体" w:hAnsi="宋体"/>
                <w:sz w:val="24"/>
                <w:szCs w:val="24"/>
                <w:highlight w:val="none"/>
              </w:rPr>
              <w:t>100</w:t>
            </w:r>
            <w:r>
              <w:rPr>
                <w:rFonts w:hint="eastAsia" w:ascii="宋体" w:hAnsi="宋体"/>
                <w:sz w:val="24"/>
                <w:szCs w:val="24"/>
                <w:highlight w:val="none"/>
              </w:rPr>
              <w:t>元，</w:t>
            </w:r>
            <w:r>
              <w:rPr>
                <w:rFonts w:hint="eastAsia" w:ascii="宋体" w:hAnsi="宋体"/>
                <w:sz w:val="24"/>
                <w:szCs w:val="24"/>
                <w:highlight w:val="none"/>
                <w:lang w:eastAsia="zh-CN"/>
              </w:rPr>
              <w:t>夜间另</w:t>
            </w:r>
            <w:r>
              <w:rPr>
                <w:rFonts w:hint="eastAsia" w:ascii="宋体" w:hAnsi="宋体"/>
                <w:sz w:val="24"/>
                <w:szCs w:val="24"/>
                <w:highlight w:val="none"/>
              </w:rPr>
              <w:t>增加</w:t>
            </w:r>
            <w:r>
              <w:rPr>
                <w:rFonts w:hint="eastAsia" w:ascii="宋体" w:hAnsi="宋体"/>
                <w:sz w:val="24"/>
                <w:szCs w:val="24"/>
                <w:highlight w:val="none"/>
                <w:lang w:val="en-US" w:eastAsia="zh-CN"/>
              </w:rPr>
              <w:t>200</w:t>
            </w:r>
            <w:r>
              <w:rPr>
                <w:rFonts w:hint="eastAsia" w:ascii="宋体" w:hAnsi="宋体"/>
                <w:sz w:val="24"/>
                <w:szCs w:val="24"/>
                <w:highlight w:val="none"/>
              </w:rPr>
              <w:t>元</w:t>
            </w:r>
          </w:p>
        </w:tc>
      </w:tr>
    </w:tbl>
    <w:p>
      <w:pPr>
        <w:spacing w:line="360" w:lineRule="auto"/>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1.3 如出现所有报价完全相同，则共同作为中选单位。</w:t>
      </w:r>
    </w:p>
    <w:p>
      <w:pPr>
        <w:spacing w:line="360" w:lineRule="auto"/>
        <w:rPr>
          <w:rFonts w:ascii="宋体"/>
          <w:b/>
          <w:bCs/>
          <w:color w:val="000000"/>
          <w:sz w:val="28"/>
          <w:szCs w:val="28"/>
          <w:highlight w:val="none"/>
        </w:rPr>
      </w:pPr>
      <w:r>
        <w:rPr>
          <w:rFonts w:ascii="宋体" w:hAnsi="宋体" w:cs="宋体"/>
          <w:b/>
          <w:bCs/>
          <w:color w:val="000000"/>
          <w:sz w:val="28"/>
          <w:szCs w:val="28"/>
          <w:highlight w:val="none"/>
        </w:rPr>
        <w:t>2</w:t>
      </w:r>
      <w:r>
        <w:rPr>
          <w:rFonts w:hint="eastAsia" w:ascii="宋体" w:hAnsi="宋体" w:cs="宋体"/>
          <w:b/>
          <w:bCs/>
          <w:color w:val="000000"/>
          <w:sz w:val="28"/>
          <w:szCs w:val="28"/>
          <w:highlight w:val="none"/>
        </w:rPr>
        <w:t>、以下情况作废标处理：</w:t>
      </w:r>
    </w:p>
    <w:p>
      <w:pPr>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2.1</w:t>
      </w:r>
      <w:r>
        <w:rPr>
          <w:rFonts w:hint="eastAsia" w:ascii="宋体" w:hAnsi="宋体" w:cs="宋体"/>
          <w:color w:val="000000"/>
          <w:sz w:val="28"/>
          <w:szCs w:val="28"/>
          <w:highlight w:val="none"/>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2.2</w:t>
      </w:r>
      <w:r>
        <w:rPr>
          <w:rFonts w:hint="eastAsia" w:ascii="宋体" w:hAnsi="宋体" w:cs="宋体"/>
          <w:color w:val="000000"/>
          <w:sz w:val="28"/>
          <w:szCs w:val="28"/>
          <w:highlight w:val="none"/>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2.3</w:t>
      </w:r>
      <w:r>
        <w:rPr>
          <w:rFonts w:hint="eastAsia" w:ascii="宋体" w:hAnsi="宋体" w:cs="宋体"/>
          <w:color w:val="000000"/>
          <w:sz w:val="28"/>
          <w:szCs w:val="28"/>
          <w:highlight w:val="none"/>
        </w:rPr>
        <w:t>未按规定格式要求编制参选文件的。</w:t>
      </w:r>
    </w:p>
    <w:p>
      <w:pPr>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2.4</w:t>
      </w:r>
      <w:r>
        <w:rPr>
          <w:rFonts w:hint="eastAsia" w:ascii="宋体" w:hAnsi="宋体" w:cs="宋体"/>
          <w:color w:val="000000"/>
          <w:sz w:val="28"/>
          <w:szCs w:val="28"/>
          <w:highlight w:val="none"/>
        </w:rPr>
        <w:t>参选人未通过质询和综合管理能力测试的。</w:t>
      </w:r>
    </w:p>
    <w:p>
      <w:pPr>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2.5</w:t>
      </w:r>
      <w:r>
        <w:rPr>
          <w:rFonts w:hint="eastAsia" w:ascii="宋体" w:hAnsi="宋体" w:cs="宋体"/>
          <w:color w:val="000000"/>
          <w:sz w:val="28"/>
          <w:szCs w:val="28"/>
          <w:highlight w:val="none"/>
        </w:rPr>
        <w:t>违反规定影响开选评选工作或采取其他方式对比选人施加影响的。</w:t>
      </w: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第五章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参选人选定</w:t>
      </w:r>
    </w:p>
    <w:p>
      <w:pPr>
        <w:widowControl/>
        <w:spacing w:line="500" w:lineRule="exact"/>
        <w:ind w:firstLine="536" w:firstLineChars="200"/>
        <w:jc w:val="left"/>
        <w:rPr>
          <w:rFonts w:ascii="宋体"/>
          <w:sz w:val="28"/>
          <w:szCs w:val="28"/>
          <w:highlight w:val="none"/>
        </w:rPr>
      </w:pPr>
      <w:r>
        <w:rPr>
          <w:rFonts w:ascii="宋体" w:hAnsi="宋体" w:cs="宋体"/>
          <w:spacing w:val="-6"/>
          <w:sz w:val="28"/>
          <w:szCs w:val="28"/>
          <w:highlight w:val="none"/>
        </w:rPr>
        <w:t>1</w:t>
      </w:r>
      <w:r>
        <w:rPr>
          <w:rFonts w:hint="eastAsia" w:ascii="宋体" w:hAnsi="宋体" w:cs="宋体"/>
          <w:spacing w:val="-6"/>
          <w:sz w:val="28"/>
          <w:szCs w:val="28"/>
          <w:highlight w:val="none"/>
        </w:rPr>
        <w:t>、</w:t>
      </w:r>
      <w:r>
        <w:rPr>
          <w:rFonts w:hint="eastAsia" w:ascii="宋体" w:hAnsi="宋体" w:cs="宋体"/>
          <w:sz w:val="28"/>
          <w:szCs w:val="28"/>
          <w:highlight w:val="none"/>
        </w:rPr>
        <w:t>比选人将在投标截至日期后另行组织比选会，参选人选定工作在比选人有关部门监督下，由比选人依法组建的招投标小组负责。</w:t>
      </w:r>
    </w:p>
    <w:p>
      <w:pPr>
        <w:spacing w:line="360" w:lineRule="auto"/>
        <w:ind w:firstLine="536" w:firstLineChars="200"/>
        <w:rPr>
          <w:rFonts w:ascii="宋体"/>
          <w:spacing w:val="-6"/>
          <w:sz w:val="28"/>
          <w:szCs w:val="28"/>
          <w:highlight w:val="none"/>
        </w:rPr>
      </w:pPr>
      <w:r>
        <w:rPr>
          <w:rFonts w:ascii="宋体" w:hAnsi="宋体" w:cs="宋体"/>
          <w:spacing w:val="-6"/>
          <w:sz w:val="28"/>
          <w:szCs w:val="28"/>
          <w:highlight w:val="none"/>
        </w:rPr>
        <w:t>2</w:t>
      </w:r>
      <w:r>
        <w:rPr>
          <w:rFonts w:hint="eastAsia" w:ascii="宋体" w:hAnsi="宋体" w:cs="宋体"/>
          <w:spacing w:val="-6"/>
          <w:sz w:val="28"/>
          <w:szCs w:val="28"/>
          <w:highlight w:val="none"/>
        </w:rPr>
        <w:t>、比选人会根据</w:t>
      </w:r>
      <w:r>
        <w:rPr>
          <w:rFonts w:hint="eastAsia" w:ascii="宋体" w:hAnsi="宋体" w:cs="宋体"/>
          <w:spacing w:val="-6"/>
          <w:sz w:val="28"/>
          <w:szCs w:val="28"/>
          <w:highlight w:val="none"/>
          <w:lang w:eastAsia="zh-CN"/>
        </w:rPr>
        <w:t>合同包及</w:t>
      </w:r>
      <w:r>
        <w:rPr>
          <w:rFonts w:hint="eastAsia" w:ascii="宋体" w:hAnsi="宋体" w:cs="宋体"/>
          <w:spacing w:val="-6"/>
          <w:sz w:val="28"/>
          <w:szCs w:val="28"/>
          <w:highlight w:val="none"/>
        </w:rPr>
        <w:t>评比规则选取中选单位。</w:t>
      </w:r>
    </w:p>
    <w:p>
      <w:pPr>
        <w:widowControl/>
        <w:spacing w:line="500" w:lineRule="exact"/>
        <w:ind w:firstLine="536" w:firstLineChars="200"/>
        <w:jc w:val="left"/>
        <w:rPr>
          <w:rFonts w:ascii="宋体"/>
          <w:spacing w:val="-6"/>
          <w:sz w:val="28"/>
          <w:szCs w:val="28"/>
          <w:highlight w:val="none"/>
        </w:rPr>
      </w:pPr>
      <w:r>
        <w:rPr>
          <w:rFonts w:ascii="宋体" w:hAnsi="宋体" w:cs="宋体"/>
          <w:spacing w:val="-6"/>
          <w:sz w:val="28"/>
          <w:szCs w:val="28"/>
          <w:highlight w:val="none"/>
        </w:rPr>
        <w:t>3</w:t>
      </w:r>
      <w:r>
        <w:rPr>
          <w:rFonts w:hint="eastAsia" w:ascii="宋体" w:hAnsi="宋体" w:cs="宋体"/>
          <w:spacing w:val="-6"/>
          <w:sz w:val="28"/>
          <w:szCs w:val="28"/>
          <w:highlight w:val="none"/>
        </w:rPr>
        <w:t>、参选人串标、相互勾结故意压低标价以排挤竞争对手的公平竞争的，其竞买无效。</w:t>
      </w:r>
      <w:r>
        <w:rPr>
          <w:rFonts w:ascii="宋体"/>
          <w:spacing w:val="-6"/>
          <w:sz w:val="28"/>
          <w:szCs w:val="28"/>
          <w:highlight w:val="none"/>
        </w:rPr>
        <w:t> </w:t>
      </w: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r>
        <w:rPr>
          <w:rFonts w:hint="eastAsia" w:ascii="宋体"/>
          <w:color w:val="000000"/>
          <w:sz w:val="32"/>
          <w:szCs w:val="32"/>
          <w:highlight w:val="none"/>
        </w:rPr>
        <w:t>.</w:t>
      </w:r>
    </w:p>
    <w:p>
      <w:pPr>
        <w:jc w:val="center"/>
        <w:rPr>
          <w:rFonts w:ascii="宋体"/>
          <w:color w:val="000000"/>
          <w:sz w:val="32"/>
          <w:szCs w:val="32"/>
          <w:highlight w:val="none"/>
        </w:rPr>
      </w:pPr>
      <w:r>
        <w:rPr>
          <w:rFonts w:hint="eastAsia" w:ascii="宋体" w:hAnsi="宋体" w:cs="宋体"/>
          <w:color w:val="000000"/>
          <w:sz w:val="32"/>
          <w:szCs w:val="32"/>
          <w:highlight w:val="none"/>
        </w:rPr>
        <w:t>第六章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snapToGrid w:val="0"/>
        <w:spacing w:line="360" w:lineRule="auto"/>
        <w:ind w:firstLine="560" w:firstLineChars="200"/>
        <w:rPr>
          <w:rFonts w:ascii="宋体" w:hAnsi="宋体" w:cs="宋体"/>
          <w:color w:val="000000"/>
          <w:sz w:val="28"/>
          <w:szCs w:val="28"/>
          <w:highlight w:val="none"/>
        </w:rPr>
      </w:pPr>
      <w:r>
        <w:rPr>
          <w:rFonts w:ascii="宋体" w:hAnsi="宋体" w:cs="宋体"/>
          <w:color w:val="000000"/>
          <w:sz w:val="28"/>
          <w:szCs w:val="28"/>
          <w:highlight w:val="none"/>
        </w:rPr>
        <w:t>1</w:t>
      </w:r>
      <w:r>
        <w:rPr>
          <w:rFonts w:hint="eastAsia" w:ascii="宋体" w:hAnsi="宋体" w:cs="宋体"/>
          <w:color w:val="000000"/>
          <w:sz w:val="28"/>
          <w:szCs w:val="28"/>
          <w:highlight w:val="none"/>
        </w:rPr>
        <w:t>、比选人将把合同授予中选人；在授予前，仍需进行资格审查。</w:t>
      </w:r>
      <w:r>
        <w:rPr>
          <w:rFonts w:ascii="宋体" w:hAnsi="宋体" w:cs="宋体"/>
          <w:color w:val="000000"/>
          <w:sz w:val="28"/>
          <w:szCs w:val="28"/>
          <w:highlight w:val="none"/>
        </w:rPr>
        <w:t xml:space="preserve"> </w:t>
      </w:r>
    </w:p>
    <w:p>
      <w:pPr>
        <w:snapToGrid w:val="0"/>
        <w:spacing w:line="360" w:lineRule="auto"/>
        <w:rPr>
          <w:rFonts w:ascii="宋体"/>
          <w:color w:val="000000"/>
          <w:sz w:val="28"/>
          <w:szCs w:val="28"/>
          <w:highlight w:val="none"/>
        </w:rPr>
      </w:pPr>
      <w:r>
        <w:rPr>
          <w:rFonts w:ascii="宋体" w:hAnsi="宋体" w:cs="宋体"/>
          <w:color w:val="000000"/>
          <w:sz w:val="28"/>
          <w:szCs w:val="28"/>
          <w:highlight w:val="none"/>
        </w:rPr>
        <w:t xml:space="preserve">    2</w:t>
      </w:r>
      <w:r>
        <w:rPr>
          <w:rFonts w:hint="eastAsia" w:ascii="宋体" w:hAnsi="宋体" w:cs="宋体"/>
          <w:color w:val="000000"/>
          <w:sz w:val="28"/>
          <w:szCs w:val="28"/>
          <w:highlight w:val="none"/>
        </w:rPr>
        <w:t>、中选人确定后，比选将通知中选人。</w:t>
      </w:r>
    </w:p>
    <w:p>
      <w:pPr>
        <w:snapToGrid w:val="0"/>
        <w:spacing w:line="360" w:lineRule="auto"/>
        <w:ind w:firstLine="560" w:firstLineChars="200"/>
        <w:rPr>
          <w:rFonts w:ascii="宋体"/>
          <w:sz w:val="28"/>
          <w:szCs w:val="28"/>
          <w:highlight w:val="none"/>
        </w:rPr>
      </w:pPr>
      <w:r>
        <w:rPr>
          <w:rFonts w:ascii="宋体" w:hAnsi="宋体" w:cs="宋体"/>
          <w:color w:val="000000"/>
          <w:sz w:val="28"/>
          <w:szCs w:val="28"/>
          <w:highlight w:val="none"/>
        </w:rPr>
        <w:t>3</w:t>
      </w:r>
      <w:r>
        <w:rPr>
          <w:rFonts w:hint="eastAsia" w:ascii="宋体" w:hAnsi="宋体" w:cs="宋体"/>
          <w:color w:val="000000"/>
          <w:sz w:val="28"/>
          <w:szCs w:val="28"/>
          <w:highlight w:val="none"/>
        </w:rPr>
        <w:t>、中选通知对比选人和参选人具有法律效力。中选单位需在比选人通知中选后</w:t>
      </w:r>
      <w:r>
        <w:rPr>
          <w:rFonts w:ascii="宋体" w:hAnsi="宋体" w:cs="宋体"/>
          <w:color w:val="000000"/>
          <w:sz w:val="28"/>
          <w:szCs w:val="28"/>
          <w:highlight w:val="none"/>
        </w:rPr>
        <w:t>3</w:t>
      </w:r>
      <w:r>
        <w:rPr>
          <w:rFonts w:hint="eastAsia" w:ascii="宋体" w:hAnsi="宋体" w:cs="宋体"/>
          <w:color w:val="000000"/>
          <w:sz w:val="28"/>
          <w:szCs w:val="28"/>
          <w:highlight w:val="none"/>
        </w:rPr>
        <w:t>个工作日内与比选人签订合同。</w:t>
      </w:r>
      <w:r>
        <w:rPr>
          <w:rFonts w:hint="eastAsia" w:ascii="宋体" w:hAnsi="宋体" w:cs="宋体"/>
          <w:sz w:val="28"/>
          <w:szCs w:val="28"/>
          <w:highlight w:val="none"/>
        </w:rPr>
        <w:t>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、中选人签署合同后必须履行中选价格，按合同要求</w:t>
      </w:r>
      <w:r>
        <w:rPr>
          <w:rFonts w:hint="eastAsia" w:ascii="宋体" w:hAnsi="宋体" w:cs="宋体"/>
          <w:sz w:val="28"/>
          <w:szCs w:val="28"/>
          <w:highlight w:val="none"/>
          <w:lang w:eastAsia="zh-CN"/>
        </w:rPr>
        <w:t>提供相关服务</w:t>
      </w:r>
      <w:r>
        <w:rPr>
          <w:rFonts w:hint="eastAsia" w:ascii="宋体" w:hAnsi="宋体" w:cs="宋体"/>
          <w:sz w:val="28"/>
          <w:szCs w:val="28"/>
          <w:highlight w:val="none"/>
        </w:rPr>
        <w:t>。若因中选单位原因未在规定的时间内完成</w:t>
      </w:r>
      <w:r>
        <w:rPr>
          <w:rFonts w:hint="eastAsia" w:ascii="宋体" w:hAnsi="宋体" w:cs="宋体"/>
          <w:sz w:val="28"/>
          <w:szCs w:val="28"/>
          <w:highlight w:val="none"/>
          <w:lang w:eastAsia="zh-CN"/>
        </w:rPr>
        <w:t>合同约定</w:t>
      </w:r>
      <w:r>
        <w:rPr>
          <w:rFonts w:hint="eastAsia" w:ascii="宋体" w:hAnsi="宋体" w:cs="宋体"/>
          <w:sz w:val="28"/>
          <w:szCs w:val="28"/>
          <w:highlight w:val="none"/>
        </w:rPr>
        <w:t>工作，则比选人有权单方面取消中选单位的资格。并取消参选人三年内在比选人的业务中的参选资格，由此给比选人造成的损失，比选人有权追究中标单位的全部责任。</w:t>
      </w:r>
    </w:p>
    <w:p>
      <w:pPr>
        <w:snapToGrid w:val="0"/>
        <w:spacing w:line="360" w:lineRule="auto"/>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、比选文件与合同附件作为签定合同的条款，比选文件合同条款中没有规定的内容，比选人、参选人认为有必要进行补充，可另行商定解决。</w:t>
      </w:r>
      <w:r>
        <w:rPr>
          <w:rFonts w:ascii="宋体" w:hAnsi="宋体" w:cs="宋体"/>
          <w:sz w:val="28"/>
          <w:szCs w:val="28"/>
          <w:highlight w:val="none"/>
        </w:rPr>
        <w:t xml:space="preserve"> </w:t>
      </w: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第七章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、中选单位应服从比选的管理规定，不得影响甲方的生产运行，如有违反，取消中选单位的继续履行合同的资格，同时，由此给比选人造成的损失，比选人有权追究中选单位的全部责任。</w:t>
      </w:r>
    </w:p>
    <w:p>
      <w:pPr>
        <w:ind w:firstLine="560"/>
        <w:jc w:val="both"/>
        <w:rPr>
          <w:sz w:val="36"/>
          <w:szCs w:val="36"/>
          <w:highlight w:val="none"/>
        </w:rPr>
      </w:pPr>
      <w:r>
        <w:rPr>
          <w:rFonts w:ascii="宋体" w:hAnsi="宋体" w:cs="宋体"/>
          <w:sz w:val="28"/>
          <w:szCs w:val="28"/>
          <w:highlight w:val="none"/>
        </w:rPr>
        <w:t>2</w:t>
      </w:r>
      <w:r>
        <w:rPr>
          <w:rFonts w:hint="eastAsia" w:ascii="宋体" w:hAnsi="宋体" w:cs="宋体"/>
          <w:sz w:val="28"/>
          <w:szCs w:val="28"/>
          <w:highlight w:val="none"/>
        </w:rPr>
        <w:t>、中选人必须严格执行《福建省东南电化股份有限公司员工接送车辆运输服务项目</w:t>
      </w:r>
      <w:r>
        <w:rPr>
          <w:rFonts w:hint="eastAsia" w:ascii="宋体" w:hAnsi="宋体" w:cs="宋体"/>
          <w:sz w:val="28"/>
          <w:szCs w:val="28"/>
          <w:highlight w:val="none"/>
          <w:lang w:eastAsia="zh-CN"/>
        </w:rPr>
        <w:t>合同</w:t>
      </w:r>
      <w:r>
        <w:rPr>
          <w:rFonts w:hint="eastAsia" w:ascii="宋体" w:hAnsi="宋体" w:cs="宋体"/>
          <w:sz w:val="28"/>
          <w:szCs w:val="28"/>
          <w:highlight w:val="none"/>
        </w:rPr>
        <w:t>》（详见附件一）、《服务承诺函》（详见附件四）的规定。</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、中选人需遵守甲方的各项管理规章制度。如触犯相关条例者则按福建省东南电化股份有限公司相应处罚条款进行处罚。</w:t>
      </w: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both"/>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第八章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、参选人的参选文件无论其是否中选，均不退回。</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、比选人郑重承诺：参选人所提交的参选文件及相关资料不向第三方泄露。</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、本比选文件的解释权归福建省东南电化股份有限公司。</w:t>
      </w:r>
    </w:p>
    <w:p>
      <w:pPr>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4、比选联系人：林先生（13600852194）</w:t>
      </w: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snapToGrid w:val="0"/>
        <w:spacing w:line="360" w:lineRule="auto"/>
        <w:rPr>
          <w:rFonts w:ascii="宋体"/>
          <w:sz w:val="28"/>
          <w:szCs w:val="28"/>
          <w:highlight w:val="none"/>
        </w:rPr>
      </w:pPr>
      <w:r>
        <w:rPr>
          <w:rFonts w:hint="eastAsia" w:ascii="宋体" w:hAnsi="宋体" w:cs="宋体"/>
          <w:color w:val="000000"/>
          <w:sz w:val="32"/>
          <w:szCs w:val="32"/>
          <w:highlight w:val="none"/>
        </w:rPr>
        <w:t>附件一：</w:t>
      </w:r>
      <w:r>
        <w:rPr>
          <w:rFonts w:hint="eastAsia" w:ascii="宋体" w:hAnsi="宋体" w:cs="宋体"/>
          <w:color w:val="000000"/>
          <w:sz w:val="32"/>
          <w:szCs w:val="32"/>
          <w:highlight w:val="none"/>
          <w:lang w:eastAsia="zh-CN"/>
        </w:rPr>
        <w:t>合同</w:t>
      </w:r>
    </w:p>
    <w:p>
      <w:pPr>
        <w:spacing w:line="520" w:lineRule="exact"/>
        <w:jc w:val="center"/>
        <w:rPr>
          <w:highlight w:val="none"/>
        </w:rPr>
      </w:pPr>
      <w:r>
        <w:rPr>
          <w:rFonts w:hint="eastAsia"/>
          <w:highlight w:val="none"/>
        </w:rPr>
        <w:t>福建省东南电化股份有限公司员工接送车辆运输服务项目</w:t>
      </w:r>
      <w:r>
        <w:rPr>
          <w:rFonts w:hint="eastAsia"/>
          <w:highlight w:val="none"/>
          <w:lang w:eastAsia="zh-CN"/>
        </w:rPr>
        <w:t>合同</w:t>
      </w:r>
    </w:p>
    <w:p>
      <w:pPr>
        <w:spacing w:line="520" w:lineRule="exact"/>
        <w:rPr>
          <w:highlight w:val="none"/>
        </w:rPr>
      </w:pPr>
      <w:r>
        <w:rPr>
          <w:rFonts w:hint="eastAsia"/>
          <w:highlight w:val="none"/>
        </w:rPr>
        <w:t xml:space="preserve">合同编号： </w:t>
      </w:r>
      <w:r>
        <w:rPr>
          <w:rFonts w:hint="eastAsia"/>
          <w:highlight w:val="none"/>
        </w:rPr>
        <w:br w:type="textWrapping"/>
      </w:r>
      <w:r>
        <w:rPr>
          <w:rFonts w:hint="eastAsia"/>
          <w:highlight w:val="none"/>
        </w:rPr>
        <w:t>包车方：福建省东南电化股份有限公司（以下简称甲方）</w:t>
      </w:r>
    </w:p>
    <w:p>
      <w:pPr>
        <w:spacing w:line="520" w:lineRule="exact"/>
        <w:rPr>
          <w:highlight w:val="none"/>
        </w:rPr>
      </w:pPr>
      <w:r>
        <w:rPr>
          <w:rFonts w:hint="eastAsia"/>
          <w:highlight w:val="none"/>
        </w:rPr>
        <w:t>承运方：                          （以下简称乙方）</w:t>
      </w:r>
      <w:r>
        <w:rPr>
          <w:rFonts w:hint="eastAsia"/>
          <w:highlight w:val="none"/>
        </w:rPr>
        <w:br w:type="textWrapping"/>
      </w:r>
      <w:r>
        <w:rPr>
          <w:rFonts w:hint="eastAsia"/>
          <w:highlight w:val="none"/>
        </w:rPr>
        <w:t xml:space="preserve">    甲、乙双方根据《中华人民共和国合同法》等有关法律法规的规定，本着平等自愿、诚实信用的原则，就乙方提供甲方员工上下班接送客运包车服务，特签订本合同，以资共同遵守执行：</w:t>
      </w:r>
    </w:p>
    <w:p>
      <w:pPr>
        <w:spacing w:line="520" w:lineRule="exact"/>
        <w:rPr>
          <w:highlight w:val="none"/>
        </w:rPr>
      </w:pPr>
      <w:r>
        <w:rPr>
          <w:rFonts w:hint="eastAsia"/>
          <w:highlight w:val="none"/>
        </w:rPr>
        <w:t>第一条  乙方资质</w:t>
      </w:r>
    </w:p>
    <w:p>
      <w:pPr>
        <w:spacing w:line="520" w:lineRule="exact"/>
        <w:rPr>
          <w:highlight w:val="none"/>
        </w:rPr>
      </w:pPr>
      <w:r>
        <w:rPr>
          <w:rFonts w:hint="eastAsia"/>
          <w:highlight w:val="none"/>
        </w:rPr>
        <w:t>乙方必须具备国家法律、法规所要求的客运资质，驾驶员驾驶证必须与所驾驶车辆一致，驾驶员和承运车辆必须经过当年度年检注册登记。</w:t>
      </w:r>
    </w:p>
    <w:p>
      <w:pPr>
        <w:spacing w:line="520" w:lineRule="exact"/>
        <w:rPr>
          <w:highlight w:val="none"/>
        </w:rPr>
      </w:pPr>
    </w:p>
    <w:p>
      <w:pPr>
        <w:spacing w:line="520" w:lineRule="exact"/>
        <w:rPr>
          <w:highlight w:val="none"/>
        </w:rPr>
      </w:pPr>
      <w:r>
        <w:rPr>
          <w:rFonts w:hint="eastAsia"/>
          <w:highlight w:val="none"/>
        </w:rPr>
        <w:t>第二条  包车期限、地点、运费：</w:t>
      </w:r>
      <w:r>
        <w:rPr>
          <w:rFonts w:hint="eastAsia"/>
          <w:highlight w:val="none"/>
        </w:rPr>
        <w:br w:type="textWrapping"/>
      </w:r>
      <w:r>
        <w:rPr>
          <w:rFonts w:hint="eastAsia"/>
          <w:highlight w:val="none"/>
        </w:rPr>
        <w:t>1.甲方包车期限为</w:t>
      </w:r>
      <w:r>
        <w:rPr>
          <w:rFonts w:hint="eastAsia"/>
          <w:highlight w:val="none"/>
          <w:lang w:val="en-US" w:eastAsia="zh-CN"/>
        </w:rPr>
        <w:t xml:space="preserve">  </w:t>
      </w:r>
      <w:r>
        <w:rPr>
          <w:rFonts w:hint="eastAsia"/>
          <w:highlight w:val="none"/>
        </w:rPr>
        <w:t>个月，自201</w:t>
      </w:r>
      <w:r>
        <w:rPr>
          <w:rFonts w:hint="eastAsia"/>
          <w:highlight w:val="none"/>
          <w:lang w:val="en-US" w:eastAsia="zh-CN"/>
        </w:rPr>
        <w:t>9</w:t>
      </w:r>
      <w:r>
        <w:rPr>
          <w:rFonts w:hint="eastAsia"/>
          <w:highlight w:val="none"/>
        </w:rPr>
        <w:t>年</w:t>
      </w:r>
      <w:r>
        <w:rPr>
          <w:rFonts w:hint="eastAsia"/>
          <w:highlight w:val="none"/>
          <w:lang w:val="en-US" w:eastAsia="zh-CN"/>
        </w:rPr>
        <w:t>3</w:t>
      </w:r>
      <w:r>
        <w:rPr>
          <w:rFonts w:hint="eastAsia"/>
          <w:highlight w:val="none"/>
        </w:rPr>
        <w:t>月1日至20</w:t>
      </w:r>
      <w:r>
        <w:rPr>
          <w:rFonts w:hint="eastAsia"/>
          <w:highlight w:val="none"/>
          <w:lang w:val="en-US" w:eastAsia="zh-CN"/>
        </w:rPr>
        <w:t>21</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28</w:t>
      </w:r>
      <w:r>
        <w:rPr>
          <w:rFonts w:hint="eastAsia"/>
          <w:highlight w:val="none"/>
        </w:rPr>
        <w:t>日止，包车期限满后双方另行协商是否延长包车期限。</w:t>
      </w:r>
      <w:r>
        <w:rPr>
          <w:rFonts w:hint="eastAsia"/>
          <w:highlight w:val="none"/>
        </w:rPr>
        <w:br w:type="textWrapping"/>
      </w:r>
      <w:r>
        <w:rPr>
          <w:rFonts w:hint="eastAsia"/>
          <w:highlight w:val="none"/>
        </w:rPr>
        <w:t>2.甲方包车行程：（以合同包1、2及最终确认的行程为准）</w:t>
      </w:r>
      <w:r>
        <w:rPr>
          <w:rFonts w:hint="eastAsia"/>
          <w:highlight w:val="none"/>
        </w:rPr>
        <w:br w:type="textWrapping"/>
      </w:r>
      <w:r>
        <w:rPr>
          <w:rFonts w:hint="eastAsia"/>
          <w:highlight w:val="none"/>
        </w:rPr>
        <w:t>3.包车费结算方法：</w:t>
      </w:r>
      <w:r>
        <w:rPr>
          <w:rFonts w:hint="eastAsia"/>
          <w:highlight w:val="none"/>
        </w:rPr>
        <w:br w:type="textWrapping"/>
      </w:r>
      <w:r>
        <w:rPr>
          <w:rFonts w:hint="eastAsia"/>
          <w:highlight w:val="none"/>
        </w:rPr>
        <w:t xml:space="preserve">    甲方包车费用每月结算一次，按当月实际甲方用车次数进行结算，乙方于次月10日前开具正式运输发票并送交甲方，经双方确认用车数量、金额后，甲方在10个工作日内以银行转账方式支付。甲、乙双方应做好用车登记，每次用车后甲方签字人员应与乙方人员均应在用车登记表上签字确认（用车登记表一式二份，双方各持一份），每月凭《用车登记表》进行核对、结算。</w:t>
      </w:r>
      <w:r>
        <w:rPr>
          <w:rFonts w:hint="eastAsia"/>
          <w:highlight w:val="none"/>
        </w:rPr>
        <w:br w:type="textWrapping"/>
      </w:r>
      <w:r>
        <w:rPr>
          <w:rFonts w:hint="eastAsia"/>
          <w:highlight w:val="none"/>
        </w:rPr>
        <w:t>4.各种车型包车费用见下表（此包车费用包含车辆运营的油费、高速过路费、税金、保险费、管理费、利润、司机工资等一切费用）。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5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r>
              <w:rPr>
                <w:rFonts w:hint="eastAsia"/>
                <w:highlight w:val="none"/>
              </w:rPr>
              <w:t>服务项目</w:t>
            </w:r>
          </w:p>
        </w:tc>
        <w:tc>
          <w:tcPr>
            <w:tcW w:w="1457"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r>
              <w:rPr>
                <w:rFonts w:hint="eastAsia"/>
                <w:highlight w:val="none"/>
              </w:rPr>
              <w:t>19座</w:t>
            </w:r>
          </w:p>
        </w:tc>
        <w:tc>
          <w:tcPr>
            <w:tcW w:w="1704"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r>
              <w:rPr>
                <w:rFonts w:hint="eastAsia"/>
                <w:highlight w:val="none"/>
              </w:rPr>
              <w:t>33座</w:t>
            </w:r>
          </w:p>
        </w:tc>
        <w:tc>
          <w:tcPr>
            <w:tcW w:w="1705"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r>
              <w:rPr>
                <w:rFonts w:hint="eastAsia"/>
                <w:highlight w:val="none"/>
              </w:rPr>
              <w:t>45座</w:t>
            </w:r>
          </w:p>
        </w:tc>
        <w:tc>
          <w:tcPr>
            <w:tcW w:w="1705"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r>
              <w:rPr>
                <w:rFonts w:hint="eastAsia"/>
                <w:highlight w:val="none"/>
              </w:rPr>
              <w:t>50座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r>
              <w:rPr>
                <w:rFonts w:hint="eastAsia"/>
                <w:highlight w:val="none"/>
              </w:rPr>
              <w:t>以最终签订</w:t>
            </w:r>
          </w:p>
          <w:p>
            <w:pPr>
              <w:spacing w:line="520" w:lineRule="exact"/>
              <w:rPr>
                <w:highlight w:val="none"/>
              </w:rPr>
            </w:pPr>
            <w:r>
              <w:rPr>
                <w:rFonts w:hint="eastAsia"/>
                <w:highlight w:val="none"/>
              </w:rPr>
              <w:t>为准</w:t>
            </w:r>
          </w:p>
        </w:tc>
        <w:tc>
          <w:tcPr>
            <w:tcW w:w="1457"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r>
              <w:rPr>
                <w:rFonts w:hint="eastAsia"/>
                <w:highlight w:val="none"/>
              </w:rPr>
              <w:t>以最终签订</w:t>
            </w:r>
          </w:p>
          <w:p>
            <w:pPr>
              <w:spacing w:line="520" w:lineRule="exact"/>
              <w:rPr>
                <w:highlight w:val="none"/>
              </w:rPr>
            </w:pPr>
            <w:r>
              <w:rPr>
                <w:rFonts w:hint="eastAsia"/>
                <w:highlight w:val="none"/>
              </w:rPr>
              <w:t>为准</w:t>
            </w:r>
          </w:p>
        </w:tc>
        <w:tc>
          <w:tcPr>
            <w:tcW w:w="1457"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520" w:lineRule="exact"/>
              <w:rPr>
                <w:highlight w:val="none"/>
              </w:rPr>
            </w:pPr>
          </w:p>
        </w:tc>
      </w:tr>
    </w:tbl>
    <w:p>
      <w:pPr>
        <w:spacing w:line="520" w:lineRule="exact"/>
        <w:rPr>
          <w:highlight w:val="none"/>
        </w:rPr>
      </w:pPr>
    </w:p>
    <w:p>
      <w:pPr>
        <w:spacing w:line="520" w:lineRule="exact"/>
        <w:rPr>
          <w:highlight w:val="none"/>
        </w:rPr>
      </w:pPr>
      <w:r>
        <w:rPr>
          <w:rFonts w:hint="eastAsia"/>
          <w:highlight w:val="none"/>
        </w:rPr>
        <w:t>以上包车费为签订合同（投标截止时间）时的油价的包车价格，以签订合同（投标截止时间）时的油价作为基准价，根据油价浮动情况每两个月调整一次包车费（合同签订时0号柴油福州市一类价区最高零售价格   元/升，以第二个月最后一天的油价为准），柴油价若发生变化，该变化幅度[变化幅度＝（调整后的价格－基价）/基价*100%]在±5%以内单价不调整，变化幅度超过±5%时单价进行调整，计算方法为每个5%的变动幅度为20元/车次（上涨5%内增加20元，下调5%内减少20元，依此类推）。</w:t>
      </w:r>
    </w:p>
    <w:p>
      <w:pPr>
        <w:spacing w:line="520" w:lineRule="exact"/>
        <w:rPr>
          <w:highlight w:val="none"/>
        </w:rPr>
      </w:pPr>
    </w:p>
    <w:p>
      <w:pPr>
        <w:spacing w:line="520" w:lineRule="exact"/>
        <w:rPr>
          <w:highlight w:val="none"/>
        </w:rPr>
      </w:pPr>
      <w:r>
        <w:rPr>
          <w:rFonts w:hint="eastAsia"/>
          <w:highlight w:val="none"/>
        </w:rPr>
        <w:t>第三条  甲方权利与义务</w:t>
      </w:r>
    </w:p>
    <w:p>
      <w:pPr>
        <w:spacing w:line="520" w:lineRule="exact"/>
        <w:rPr>
          <w:highlight w:val="none"/>
        </w:rPr>
      </w:pPr>
      <w:r>
        <w:rPr>
          <w:rFonts w:hint="eastAsia"/>
          <w:highlight w:val="none"/>
        </w:rPr>
        <w:t>1.甲方有权对乙方委派的驾驶员和运营车辆进行核实，如不符合约定的有权要求乙方更换约定的车辆和驾驶员。</w:t>
      </w:r>
    </w:p>
    <w:p>
      <w:pPr>
        <w:spacing w:line="520" w:lineRule="exact"/>
        <w:rPr>
          <w:highlight w:val="none"/>
        </w:rPr>
      </w:pPr>
      <w:r>
        <w:rPr>
          <w:rFonts w:hint="eastAsia"/>
          <w:highlight w:val="none"/>
        </w:rPr>
        <w:t>2.甲方有权要求乙方按时接送甲方员工上下班，并对服务质量问题和车辆安全问题要求乙方立即整改。</w:t>
      </w:r>
    </w:p>
    <w:p>
      <w:pPr>
        <w:spacing w:line="520" w:lineRule="exact"/>
        <w:rPr>
          <w:highlight w:val="none"/>
        </w:rPr>
      </w:pPr>
      <w:r>
        <w:rPr>
          <w:rFonts w:hint="eastAsia"/>
          <w:highlight w:val="none"/>
        </w:rPr>
        <w:t>3.甲方应按合同约定按时支付乙方包车费用。</w:t>
      </w:r>
    </w:p>
    <w:p>
      <w:pPr>
        <w:spacing w:line="520" w:lineRule="exact"/>
        <w:rPr>
          <w:highlight w:val="none"/>
        </w:rPr>
      </w:pPr>
      <w:r>
        <w:rPr>
          <w:rFonts w:hint="eastAsia"/>
          <w:highlight w:val="none"/>
        </w:rPr>
        <w:t>4.甲方安排乘车员工不应超过承运车辆核定载客人数，甲方员工应文明有序乘车，不得干扰乙方驾驶员正常驾驶。</w:t>
      </w:r>
    </w:p>
    <w:p>
      <w:pPr>
        <w:spacing w:line="520" w:lineRule="exact"/>
        <w:rPr>
          <w:highlight w:val="none"/>
        </w:rPr>
      </w:pPr>
      <w:r>
        <w:rPr>
          <w:rFonts w:hint="eastAsia"/>
          <w:highlight w:val="none"/>
        </w:rPr>
        <w:t>5.甲方有义务教育员工文明乘车，因甲方原因导致车内设施损坏的，应由甲方承担相应赔偿责任。</w:t>
      </w:r>
    </w:p>
    <w:p>
      <w:pPr>
        <w:spacing w:line="520" w:lineRule="exact"/>
        <w:rPr>
          <w:highlight w:val="none"/>
        </w:rPr>
      </w:pPr>
      <w:r>
        <w:rPr>
          <w:rFonts w:hint="eastAsia"/>
          <w:highlight w:val="none"/>
        </w:rPr>
        <w:t>6.甲方保证乘车员工严禁携带易燃易爆、有毒、腐蚀性、放射性及危险品上车，确保乘客人身安全。</w:t>
      </w:r>
    </w:p>
    <w:p>
      <w:pPr>
        <w:spacing w:line="520" w:lineRule="exact"/>
        <w:rPr>
          <w:highlight w:val="none"/>
        </w:rPr>
      </w:pPr>
    </w:p>
    <w:p>
      <w:pPr>
        <w:spacing w:line="520" w:lineRule="exact"/>
        <w:rPr>
          <w:highlight w:val="none"/>
        </w:rPr>
      </w:pPr>
      <w:r>
        <w:rPr>
          <w:rFonts w:hint="eastAsia"/>
          <w:highlight w:val="none"/>
        </w:rPr>
        <w:t>第四条  乙方权利义务</w:t>
      </w:r>
    </w:p>
    <w:p>
      <w:pPr>
        <w:spacing w:line="520" w:lineRule="exact"/>
        <w:rPr>
          <w:highlight w:val="none"/>
        </w:rPr>
      </w:pPr>
      <w:r>
        <w:rPr>
          <w:rFonts w:hint="eastAsia"/>
          <w:highlight w:val="none"/>
        </w:rPr>
        <w:t>1.乙方提供具备营运资质的车辆供甲方接送员工使用，并确保提供的车辆符合有关管理部门对经营车辆规定的安全等方面的要求。</w:t>
      </w:r>
    </w:p>
    <w:p>
      <w:pPr>
        <w:spacing w:line="520" w:lineRule="exact"/>
        <w:rPr>
          <w:highlight w:val="none"/>
        </w:rPr>
      </w:pPr>
      <w:r>
        <w:rPr>
          <w:rFonts w:hint="eastAsia"/>
          <w:highlight w:val="none"/>
        </w:rPr>
        <w:t>2.乙方应定期对驾驶员进行交通安全、车辆卫生、服务态度、文明用语等相关要求的教育和检查，对多次遭甲方投诉或评价不合格的驾驶员，甲方有权要求乙方更换，乙方应在接到甲方更换要求后立即更换驾驶员，并不得再行任用该驾驶员为甲方服务。</w:t>
      </w:r>
    </w:p>
    <w:p>
      <w:pPr>
        <w:spacing w:line="520" w:lineRule="exact"/>
        <w:rPr>
          <w:highlight w:val="none"/>
        </w:rPr>
      </w:pPr>
      <w:r>
        <w:rPr>
          <w:rFonts w:hint="eastAsia"/>
          <w:highlight w:val="none"/>
        </w:rPr>
        <w:t>3.乙方提供的承运车辆应取得相应的客运营业运输许可，符合相关的营运条件、车况较好。</w:t>
      </w:r>
    </w:p>
    <w:p>
      <w:pPr>
        <w:spacing w:line="520" w:lineRule="exact"/>
        <w:rPr>
          <w:highlight w:val="none"/>
        </w:rPr>
      </w:pPr>
      <w:r>
        <w:rPr>
          <w:rFonts w:hint="eastAsia"/>
          <w:highlight w:val="none"/>
        </w:rPr>
        <w:t>4.乙方应按国家规定为承运车辆办理的各类商业保险，其中必须包含车辆保险、承运人责任险、司乘人员保险、第三方责任险等保险，所有保险均有乙方自行承担。</w:t>
      </w:r>
    </w:p>
    <w:p>
      <w:pPr>
        <w:spacing w:line="520" w:lineRule="exact"/>
        <w:rPr>
          <w:highlight w:val="none"/>
        </w:rPr>
      </w:pPr>
      <w:r>
        <w:rPr>
          <w:rFonts w:hint="eastAsia"/>
          <w:highlight w:val="none"/>
        </w:rPr>
        <w:t>5.乙方严格按照甲方要求选定车型，准时出车、到达目的地，按双方约定路线行驶，提供承运服务。乙方不得擅自终止行程、更改路线、提前发车、拒开车门、搭乘无关人员等。甲方因需要更改行车路程的，应与乙方业务人员联系，经协商同意确认后，方可执行，因更改路程延误返回，乙方向甲方另收包车费。</w:t>
      </w:r>
    </w:p>
    <w:p>
      <w:pPr>
        <w:spacing w:line="520" w:lineRule="exact"/>
        <w:rPr>
          <w:highlight w:val="none"/>
        </w:rPr>
      </w:pPr>
      <w:r>
        <w:rPr>
          <w:rFonts w:hint="eastAsia"/>
          <w:highlight w:val="none"/>
        </w:rPr>
        <w:t>6.乙方为保证甲方乘车员工的人身安全，出车前应全面对车辆各部件进行安检。</w:t>
      </w:r>
    </w:p>
    <w:p>
      <w:pPr>
        <w:spacing w:line="520" w:lineRule="exact"/>
        <w:rPr>
          <w:highlight w:val="none"/>
        </w:rPr>
      </w:pPr>
      <w:r>
        <w:rPr>
          <w:rFonts w:hint="eastAsia"/>
          <w:highlight w:val="none"/>
        </w:rPr>
        <w:t>7.乙方驾驶员在到达目的地时，应当提醒乘客带好行李，未经甲方签字人同意不得擅离前往洗车、加油、保养，避免造成接待事故发生。</w:t>
      </w:r>
    </w:p>
    <w:p>
      <w:pPr>
        <w:spacing w:line="520" w:lineRule="exact"/>
        <w:rPr>
          <w:highlight w:val="none"/>
        </w:rPr>
      </w:pPr>
      <w:r>
        <w:rPr>
          <w:rFonts w:hint="eastAsia"/>
          <w:highlight w:val="none"/>
        </w:rPr>
        <w:t>8.乙方应为甲方提供良好的乘车环境，行驶途中应遵守国家道路交通法律法规，做到文明安全行车，并采取必要的措施防止在承运过程中发生损害甲方员工人身、财产安全的违法行为。行驶途中发生交通事故或其他事故造成甲方员工伤亡的，其相关责任、赔偿及费用均由乙方承担。</w:t>
      </w:r>
    </w:p>
    <w:p>
      <w:pPr>
        <w:spacing w:line="520" w:lineRule="exact"/>
        <w:rPr>
          <w:highlight w:val="none"/>
        </w:rPr>
      </w:pPr>
      <w:r>
        <w:rPr>
          <w:rFonts w:hint="eastAsia"/>
          <w:highlight w:val="none"/>
        </w:rPr>
        <w:t>9.为保证承运车辆正常、安全行驶，乙方应按照车辆保养维护规定进行正常的车辆维护保养，保证承运车辆及附属设施、设备性能完好，甲方有权对承运车辆维修保养记录进行不定期检查。</w:t>
      </w:r>
    </w:p>
    <w:p>
      <w:pPr>
        <w:spacing w:line="520" w:lineRule="exact"/>
        <w:rPr>
          <w:highlight w:val="none"/>
        </w:rPr>
      </w:pPr>
      <w:r>
        <w:rPr>
          <w:rFonts w:hint="eastAsia"/>
          <w:highlight w:val="none"/>
        </w:rPr>
        <w:t>10.未经甲方同意，乙方不得更换车辆或将承运任务擅自转交他人，否则按乙方违约处理；如乙方因自身原因确需从其他客运公司调剂车辆时，应事先征得甲方同意，但所有责任仍由乙方承担。承运车辆因各种原因无法继续使用的，乙方应立即更换同品牌、型号、配置车辆；经甲方同意后可更换其他同等车辆。</w:t>
      </w:r>
    </w:p>
    <w:p>
      <w:pPr>
        <w:spacing w:line="520" w:lineRule="exact"/>
        <w:rPr>
          <w:highlight w:val="none"/>
        </w:rPr>
      </w:pPr>
      <w:r>
        <w:rPr>
          <w:rFonts w:hint="eastAsia"/>
          <w:highlight w:val="none"/>
        </w:rPr>
        <w:t>11.承运车辆在行车过程中发生车辆故障的，乙方驾驶员应及时修复，如故障无法立即修复或发生交通事故或其他事故无法运行的，乙方应立即指派备用车辆载运甲方员工。如因此造成甲方员工无法正常上下班的，甲方有权拒付车费并追究乙方相应责任。如因乙方未能立即指派备用车辆载运甲方员工从而造成甲方员工承用其他交通工具上下班的，由乙方承担每位员工发生的交通费用。</w:t>
      </w:r>
    </w:p>
    <w:p>
      <w:pPr>
        <w:spacing w:line="520" w:lineRule="exact"/>
        <w:rPr>
          <w:highlight w:val="none"/>
        </w:rPr>
      </w:pPr>
      <w:r>
        <w:rPr>
          <w:rFonts w:hint="eastAsia"/>
          <w:highlight w:val="none"/>
        </w:rPr>
        <w:t>12.乙方提供的承运车辆因安全事故、赔偿事故、商务纠纷等而产生的相关法律责任和违章罚款、扣证、扣车停业以及车辆保养维修等事项而产生的相关责任和费用均由乙方自行承担。</w:t>
      </w:r>
    </w:p>
    <w:p>
      <w:pPr>
        <w:spacing w:line="520" w:lineRule="exact"/>
        <w:rPr>
          <w:highlight w:val="none"/>
        </w:rPr>
      </w:pPr>
    </w:p>
    <w:p>
      <w:pPr>
        <w:spacing w:line="520" w:lineRule="exact"/>
        <w:rPr>
          <w:highlight w:val="none"/>
        </w:rPr>
      </w:pPr>
      <w:r>
        <w:rPr>
          <w:rFonts w:hint="eastAsia"/>
          <w:highlight w:val="none"/>
        </w:rPr>
        <w:t>第五条 违约责任</w:t>
      </w:r>
      <w:r>
        <w:rPr>
          <w:rFonts w:hint="eastAsia"/>
          <w:highlight w:val="none"/>
        </w:rPr>
        <w:br w:type="textWrapping"/>
      </w:r>
      <w:r>
        <w:rPr>
          <w:rFonts w:hint="eastAsia"/>
          <w:highlight w:val="none"/>
        </w:rPr>
        <w:t>1.甲、乙任何一方因故更改承运出车日期，须提前24小时 告知对方，否则由此造成的经济损失，按包车费的15%由有过错一方负责赔偿。</w:t>
      </w:r>
      <w:r>
        <w:rPr>
          <w:rFonts w:hint="eastAsia"/>
          <w:highlight w:val="none"/>
        </w:rPr>
        <w:br w:type="textWrapping"/>
      </w:r>
      <w:r>
        <w:rPr>
          <w:rFonts w:hint="eastAsia"/>
          <w:highlight w:val="none"/>
        </w:rPr>
        <w:t>2.乙方因事故或车辆故障严重影响甲方员工上下班的，乙方应积极采取措施组织协调其它车辆接送。确因乙方车辆原因给甲方造成损失的，按照《道路运输法》相关规定予以赔偿。</w:t>
      </w:r>
      <w:r>
        <w:rPr>
          <w:rFonts w:hint="eastAsia"/>
          <w:highlight w:val="none"/>
        </w:rPr>
        <w:br w:type="textWrapping"/>
      </w:r>
      <w:r>
        <w:rPr>
          <w:rFonts w:hint="eastAsia"/>
          <w:highlight w:val="none"/>
        </w:rPr>
        <w:t>3.乙方如未按合同约定支付运费的，乙方有权要求甲方支付滞纳金（逾期按所欠租车费每日万分之一收取）。</w:t>
      </w:r>
    </w:p>
    <w:p>
      <w:pPr>
        <w:spacing w:line="520" w:lineRule="exact"/>
        <w:rPr>
          <w:highlight w:val="none"/>
        </w:rPr>
      </w:pPr>
      <w:r>
        <w:rPr>
          <w:rFonts w:hint="eastAsia"/>
          <w:highlight w:val="none"/>
        </w:rPr>
        <w:t>4.乙方未按合同规定的时间和要求完成车辆调度</w:t>
      </w:r>
      <w:r>
        <w:rPr>
          <w:highlight w:val="none"/>
        </w:rPr>
        <w:fldChar w:fldCharType="begin"/>
      </w:r>
      <w:r>
        <w:rPr>
          <w:highlight w:val="none"/>
        </w:rPr>
        <w:instrText xml:space="preserve"> HYPERLINK "http://www.51paper.net/" \t "_blank" \o "论文资料网" </w:instrText>
      </w:r>
      <w:r>
        <w:rPr>
          <w:highlight w:val="none"/>
        </w:rPr>
        <w:fldChar w:fldCharType="separate"/>
      </w:r>
      <w:r>
        <w:rPr>
          <w:rFonts w:hint="eastAsia"/>
          <w:highlight w:val="none"/>
        </w:rPr>
        <w:t>，</w:t>
      </w:r>
      <w:r>
        <w:rPr>
          <w:rFonts w:hint="eastAsia"/>
          <w:highlight w:val="none"/>
        </w:rPr>
        <w:fldChar w:fldCharType="end"/>
      </w:r>
      <w:r>
        <w:rPr>
          <w:rFonts w:hint="eastAsia"/>
          <w:highlight w:val="none"/>
        </w:rPr>
        <w:t>造成车辆迟到的</w:t>
      </w:r>
      <w:r>
        <w:rPr>
          <w:highlight w:val="none"/>
        </w:rPr>
        <w:fldChar w:fldCharType="begin"/>
      </w:r>
      <w:r>
        <w:rPr>
          <w:highlight w:val="none"/>
        </w:rPr>
        <w:instrText xml:space="preserve"> HYPERLINK "http://www.51paper.net/" \t "_blank" \o "论文资料网" </w:instrText>
      </w:r>
      <w:r>
        <w:rPr>
          <w:highlight w:val="none"/>
        </w:rPr>
        <w:fldChar w:fldCharType="separate"/>
      </w:r>
      <w:r>
        <w:rPr>
          <w:rFonts w:hint="eastAsia"/>
          <w:highlight w:val="none"/>
        </w:rPr>
        <w:t>，</w:t>
      </w:r>
      <w:r>
        <w:rPr>
          <w:rFonts w:hint="eastAsia"/>
          <w:highlight w:val="none"/>
        </w:rPr>
        <w:fldChar w:fldCharType="end"/>
      </w:r>
      <w:r>
        <w:rPr>
          <w:rFonts w:hint="eastAsia"/>
          <w:highlight w:val="none"/>
        </w:rPr>
        <w:t>乙方按每车500元偿付给甲方</w:t>
      </w:r>
      <w:r>
        <w:rPr>
          <w:highlight w:val="none"/>
        </w:rPr>
        <w:fldChar w:fldCharType="begin"/>
      </w:r>
      <w:r>
        <w:rPr>
          <w:highlight w:val="none"/>
        </w:rPr>
        <w:instrText xml:space="preserve"> HYPERLINK "http://www.51paper.net/" \t "_blank" \o "论文资料网" </w:instrText>
      </w:r>
      <w:r>
        <w:rPr>
          <w:highlight w:val="none"/>
        </w:rPr>
        <w:fldChar w:fldCharType="separate"/>
      </w:r>
      <w:r>
        <w:rPr>
          <w:rFonts w:hint="eastAsia"/>
          <w:highlight w:val="none"/>
        </w:rPr>
        <w:t>。</w:t>
      </w:r>
      <w:r>
        <w:rPr>
          <w:rFonts w:hint="eastAsia"/>
          <w:highlight w:val="none"/>
        </w:rPr>
        <w:fldChar w:fldCharType="end"/>
      </w:r>
    </w:p>
    <w:p>
      <w:pPr>
        <w:spacing w:line="520" w:lineRule="exact"/>
        <w:rPr>
          <w:highlight w:val="none"/>
        </w:rPr>
      </w:pPr>
      <w:r>
        <w:rPr>
          <w:rFonts w:hint="eastAsia"/>
          <w:highlight w:val="none"/>
        </w:rPr>
        <w:t>5.因不可抗力情形造成无法履行本合同，甲、乙双方互不承担违约责任。在履行合同中如发生异议双方同意向人民法院提起诉讼。</w:t>
      </w:r>
      <w:r>
        <w:rPr>
          <w:rFonts w:hint="eastAsia"/>
          <w:highlight w:val="none"/>
        </w:rPr>
        <w:br w:type="textWrapping"/>
      </w:r>
    </w:p>
    <w:p>
      <w:pPr>
        <w:spacing w:line="520" w:lineRule="exact"/>
        <w:rPr>
          <w:highlight w:val="none"/>
        </w:rPr>
      </w:pPr>
      <w:r>
        <w:rPr>
          <w:rFonts w:hint="eastAsia"/>
          <w:highlight w:val="none"/>
        </w:rPr>
        <w:t>第六条 履约保证金</w:t>
      </w:r>
    </w:p>
    <w:p>
      <w:pPr>
        <w:spacing w:line="520" w:lineRule="exact"/>
        <w:rPr>
          <w:highlight w:val="none"/>
        </w:rPr>
      </w:pPr>
      <w:r>
        <w:rPr>
          <w:rFonts w:hint="eastAsia"/>
          <w:highlight w:val="none"/>
        </w:rPr>
        <w:t>乙方须在签订合同时提供人民币伍万元的履约保证金，履约保证金将于本合同期满后28天内予以无息退还。</w:t>
      </w:r>
    </w:p>
    <w:p>
      <w:pPr>
        <w:spacing w:line="520" w:lineRule="exact"/>
        <w:rPr>
          <w:highlight w:val="none"/>
        </w:rPr>
      </w:pPr>
    </w:p>
    <w:p>
      <w:pPr>
        <w:spacing w:line="520" w:lineRule="exact"/>
        <w:rPr>
          <w:highlight w:val="none"/>
        </w:rPr>
      </w:pPr>
      <w:r>
        <w:rPr>
          <w:rFonts w:hint="eastAsia"/>
          <w:highlight w:val="none"/>
        </w:rPr>
        <w:t>第七条 其他</w:t>
      </w:r>
    </w:p>
    <w:p>
      <w:pPr>
        <w:spacing w:line="520" w:lineRule="exact"/>
        <w:rPr>
          <w:highlight w:val="none"/>
        </w:rPr>
      </w:pPr>
      <w:r>
        <w:rPr>
          <w:rFonts w:hint="eastAsia"/>
          <w:highlight w:val="none"/>
        </w:rPr>
        <w:t>本合同未尽事宜，甲、乙双方可协商一致签订补充协议，与本合同具有同等法律效力。</w:t>
      </w:r>
    </w:p>
    <w:p>
      <w:pPr>
        <w:spacing w:line="520" w:lineRule="exact"/>
        <w:rPr>
          <w:highlight w:val="none"/>
        </w:rPr>
      </w:pPr>
      <w:r>
        <w:rPr>
          <w:rFonts w:hint="eastAsia"/>
          <w:highlight w:val="none"/>
        </w:rPr>
        <w:t>本协议自甲、乙双方签字、盖章之日起生效，本合同一式肆份，甲、乙双方各执贰份。本合同自履行完毕之日起自行终止。</w:t>
      </w:r>
      <w:r>
        <w:rPr>
          <w:rFonts w:hint="eastAsia"/>
          <w:highlight w:val="none"/>
        </w:rPr>
        <w:br w:type="textWrapping"/>
      </w:r>
      <w:r>
        <w:rPr>
          <w:rFonts w:hint="eastAsia"/>
          <w:highlight w:val="none"/>
        </w:rPr>
        <w:br w:type="textWrapping"/>
      </w:r>
    </w:p>
    <w:p>
      <w:pPr>
        <w:spacing w:line="520" w:lineRule="exact"/>
        <w:rPr>
          <w:highlight w:val="none"/>
        </w:rPr>
      </w:pPr>
      <w:r>
        <w:rPr>
          <w:rFonts w:hint="eastAsia"/>
          <w:highlight w:val="none"/>
        </w:rPr>
        <w:t>发  包  人：福建省东南电化股份     承  包  人：</w:t>
      </w:r>
      <w:r>
        <w:rPr>
          <w:highlight w:val="none"/>
        </w:rPr>
        <w:t xml:space="preserve"> </w:t>
      </w:r>
    </w:p>
    <w:p>
      <w:pPr>
        <w:spacing w:line="520" w:lineRule="exact"/>
        <w:rPr>
          <w:highlight w:val="none"/>
        </w:rPr>
      </w:pPr>
      <w:r>
        <w:rPr>
          <w:rFonts w:hint="eastAsia"/>
          <w:highlight w:val="none"/>
        </w:rPr>
        <w:t xml:space="preserve">（公章）    有限公司               （公章）            </w:t>
      </w:r>
    </w:p>
    <w:p>
      <w:pPr>
        <w:spacing w:line="520" w:lineRule="exact"/>
        <w:rPr>
          <w:highlight w:val="none"/>
        </w:rPr>
      </w:pPr>
      <w:r>
        <w:rPr>
          <w:rFonts w:hint="eastAsia"/>
          <w:highlight w:val="none"/>
        </w:rPr>
        <w:t>住      所：福建省福州市           住      所：</w:t>
      </w:r>
    </w:p>
    <w:p>
      <w:pPr>
        <w:spacing w:line="520" w:lineRule="exact"/>
        <w:rPr>
          <w:highlight w:val="none"/>
        </w:rPr>
      </w:pPr>
      <w:r>
        <w:rPr>
          <w:rFonts w:hint="eastAsia"/>
          <w:highlight w:val="none"/>
        </w:rPr>
        <w:t xml:space="preserve">        连江北路118号                                 </w:t>
      </w:r>
    </w:p>
    <w:p>
      <w:pPr>
        <w:spacing w:line="520" w:lineRule="exact"/>
        <w:rPr>
          <w:highlight w:val="none"/>
        </w:rPr>
      </w:pPr>
      <w:r>
        <w:rPr>
          <w:rFonts w:hint="eastAsia"/>
          <w:highlight w:val="none"/>
        </w:rPr>
        <w:t xml:space="preserve">法定代表人：                       法定代表人：             </w:t>
      </w:r>
    </w:p>
    <w:p>
      <w:pPr>
        <w:spacing w:line="520" w:lineRule="exact"/>
        <w:rPr>
          <w:highlight w:val="none"/>
        </w:rPr>
      </w:pPr>
    </w:p>
    <w:p>
      <w:pPr>
        <w:spacing w:line="520" w:lineRule="exact"/>
        <w:rPr>
          <w:highlight w:val="none"/>
        </w:rPr>
      </w:pPr>
      <w:r>
        <w:rPr>
          <w:rFonts w:hint="eastAsia"/>
          <w:highlight w:val="none"/>
        </w:rPr>
        <w:t xml:space="preserve">或委托代表人：                     或委托代表人：             </w:t>
      </w:r>
    </w:p>
    <w:p>
      <w:pPr>
        <w:spacing w:line="520" w:lineRule="exact"/>
        <w:rPr>
          <w:highlight w:val="none"/>
        </w:rPr>
      </w:pPr>
    </w:p>
    <w:p>
      <w:pPr>
        <w:spacing w:line="520" w:lineRule="exact"/>
        <w:rPr>
          <w:highlight w:val="none"/>
        </w:rPr>
      </w:pPr>
      <w:r>
        <w:rPr>
          <w:rFonts w:hint="eastAsia"/>
          <w:highlight w:val="none"/>
        </w:rPr>
        <w:t xml:space="preserve">电      话：0591-86552002          电      话：             </w:t>
      </w:r>
    </w:p>
    <w:p>
      <w:pPr>
        <w:spacing w:line="520" w:lineRule="exact"/>
        <w:rPr>
          <w:highlight w:val="none"/>
        </w:rPr>
      </w:pPr>
      <w:r>
        <w:rPr>
          <w:rFonts w:hint="eastAsia"/>
          <w:highlight w:val="none"/>
        </w:rPr>
        <w:t xml:space="preserve">传      真：0591-86552003          传      真：            </w:t>
      </w:r>
    </w:p>
    <w:p>
      <w:pPr>
        <w:spacing w:line="520" w:lineRule="exact"/>
        <w:rPr>
          <w:highlight w:val="none"/>
        </w:rPr>
      </w:pPr>
      <w:r>
        <w:rPr>
          <w:rFonts w:hint="eastAsia"/>
          <w:highlight w:val="none"/>
        </w:rPr>
        <w:t xml:space="preserve">开户银行：建设银行福建省分行       开户银行：               </w:t>
      </w:r>
    </w:p>
    <w:p>
      <w:pPr>
        <w:spacing w:line="520" w:lineRule="exact"/>
        <w:rPr>
          <w:highlight w:val="none"/>
        </w:rPr>
      </w:pPr>
      <w:r>
        <w:rPr>
          <w:rFonts w:hint="eastAsia"/>
          <w:highlight w:val="none"/>
        </w:rPr>
        <w:t xml:space="preserve">营业部                             </w:t>
      </w:r>
    </w:p>
    <w:p>
      <w:pPr>
        <w:spacing w:line="520" w:lineRule="exact"/>
        <w:rPr>
          <w:highlight w:val="none"/>
        </w:rPr>
      </w:pPr>
      <w:r>
        <w:rPr>
          <w:rFonts w:hint="eastAsia"/>
          <w:highlight w:val="none"/>
        </w:rPr>
        <w:t>帐     号：35001002406050008558    帐     号：</w:t>
      </w: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ind w:firstLine="720" w:firstLineChars="225"/>
        <w:jc w:val="left"/>
        <w:rPr>
          <w:rFonts w:ascii="宋体" w:hAnsi="宋体" w:cs="宋体"/>
          <w:color w:val="000000"/>
          <w:sz w:val="32"/>
          <w:szCs w:val="32"/>
          <w:highlight w:val="none"/>
        </w:rPr>
      </w:pPr>
    </w:p>
    <w:p>
      <w:pPr>
        <w:pStyle w:val="4"/>
        <w:spacing w:line="460" w:lineRule="exact"/>
        <w:rPr>
          <w:rFonts w:hAnsi="宋体"/>
          <w:sz w:val="30"/>
          <w:szCs w:val="30"/>
          <w:highlight w:val="none"/>
        </w:rPr>
        <w:sectPr>
          <w:footerReference r:id="rId3" w:type="default"/>
          <w:pgSz w:w="11906" w:h="16838"/>
          <w:pgMar w:top="1440" w:right="1800" w:bottom="1440" w:left="1800" w:header="851" w:footer="992" w:gutter="0"/>
          <w:cols w:space="720" w:num="1"/>
          <w:docGrid w:type="lines" w:linePitch="312" w:charSpace="0"/>
        </w:sectPr>
      </w:pPr>
      <w:bookmarkStart w:id="0" w:name="_Toc200777776"/>
      <w:bookmarkStart w:id="1" w:name="_Toc215537250"/>
      <w:bookmarkStart w:id="2" w:name="_Toc214954298"/>
      <w:bookmarkStart w:id="3" w:name="_Toc215308823"/>
    </w:p>
    <w:tbl>
      <w:tblPr>
        <w:tblStyle w:val="17"/>
        <w:tblpPr w:leftFromText="180" w:rightFromText="180" w:vertAnchor="text" w:tblpX="15506" w:tblpY="122"/>
        <w:tblOverlap w:val="never"/>
        <w:tblW w:w="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897" w:type="dxa"/>
          </w:tcPr>
          <w:p>
            <w:pPr>
              <w:pStyle w:val="4"/>
              <w:spacing w:line="460" w:lineRule="exact"/>
              <w:rPr>
                <w:rFonts w:hint="eastAsia" w:hAnsi="宋体"/>
                <w:sz w:val="32"/>
                <w:szCs w:val="32"/>
                <w:highlight w:val="none"/>
                <w:vertAlign w:val="baseline"/>
              </w:rPr>
            </w:pPr>
          </w:p>
        </w:tc>
      </w:tr>
    </w:tbl>
    <w:tbl>
      <w:tblPr>
        <w:tblStyle w:val="17"/>
        <w:tblpPr w:leftFromText="180" w:rightFromText="180" w:vertAnchor="text" w:tblpX="15506" w:tblpY="-238"/>
        <w:tblOverlap w:val="never"/>
        <w:tblW w:w="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747" w:type="dxa"/>
          </w:tcPr>
          <w:p>
            <w:pPr>
              <w:pStyle w:val="4"/>
              <w:spacing w:line="460" w:lineRule="exact"/>
              <w:rPr>
                <w:rFonts w:hint="eastAsia" w:hAnsi="宋体"/>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747" w:type="dxa"/>
          </w:tcPr>
          <w:p>
            <w:pPr>
              <w:pStyle w:val="4"/>
              <w:spacing w:line="460" w:lineRule="exact"/>
              <w:rPr>
                <w:rFonts w:hint="eastAsia" w:hAnsi="宋体" w:eastAsia="宋体"/>
                <w:sz w:val="32"/>
                <w:szCs w:val="32"/>
                <w:highlight w:val="none"/>
                <w:vertAlign w:val="baseline"/>
                <w:lang w:val="en-US" w:eastAsia="zh-CN"/>
              </w:rPr>
            </w:pPr>
            <w:r>
              <w:rPr>
                <w:rFonts w:hint="eastAsia" w:hAnsi="宋体"/>
                <w:sz w:val="32"/>
                <w:szCs w:val="32"/>
                <w:highlight w:val="none"/>
                <w:vertAlign w:val="baseline"/>
                <w:lang w:val="en-US" w:eastAsia="zh-CN"/>
              </w:rPr>
              <w:t>·</w:t>
            </w:r>
          </w:p>
        </w:tc>
      </w:tr>
    </w:tbl>
    <w:p>
      <w:pPr>
        <w:pStyle w:val="4"/>
        <w:spacing w:line="460" w:lineRule="exact"/>
        <w:rPr>
          <w:rFonts w:hAnsi="宋体"/>
          <w:sz w:val="32"/>
          <w:szCs w:val="32"/>
          <w:highlight w:val="none"/>
        </w:rPr>
      </w:pPr>
      <w:r>
        <w:rPr>
          <w:rFonts w:hint="eastAsia" w:hAnsi="宋体"/>
          <w:sz w:val="32"/>
          <w:szCs w:val="32"/>
          <w:highlight w:val="none"/>
        </w:rPr>
        <w:t>附件</w:t>
      </w:r>
      <w:r>
        <w:rPr>
          <w:rFonts w:hint="eastAsia" w:hAnsi="宋体"/>
          <w:sz w:val="32"/>
          <w:szCs w:val="32"/>
          <w:highlight w:val="none"/>
          <w:lang w:eastAsia="zh-CN"/>
        </w:rPr>
        <w:t>二</w:t>
      </w:r>
      <w:r>
        <w:rPr>
          <w:rFonts w:hint="eastAsia" w:hAnsi="宋体"/>
          <w:sz w:val="32"/>
          <w:szCs w:val="32"/>
          <w:highlight w:val="none"/>
        </w:rPr>
        <w:t>：报价单</w:t>
      </w:r>
    </w:p>
    <w:p>
      <w:pPr>
        <w:pStyle w:val="4"/>
        <w:spacing w:line="460" w:lineRule="exact"/>
        <w:rPr>
          <w:rFonts w:hAnsi="宋体"/>
          <w:sz w:val="30"/>
          <w:szCs w:val="30"/>
          <w:highlight w:val="none"/>
        </w:rPr>
      </w:pPr>
    </w:p>
    <w:tbl>
      <w:tblPr>
        <w:tblStyle w:val="16"/>
        <w:tblW w:w="1414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834"/>
        <w:gridCol w:w="1845"/>
        <w:gridCol w:w="1712"/>
        <w:gridCol w:w="1844"/>
        <w:gridCol w:w="1635"/>
        <w:gridCol w:w="1633"/>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合同包</w:t>
            </w:r>
          </w:p>
        </w:tc>
        <w:tc>
          <w:tcPr>
            <w:tcW w:w="2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服务内容</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单价（19座）</w:t>
            </w:r>
          </w:p>
        </w:tc>
        <w:tc>
          <w:tcPr>
            <w:tcW w:w="1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单价（33座）</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单价（45座）</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单价（50座）</w:t>
            </w:r>
          </w:p>
        </w:tc>
        <w:tc>
          <w:tcPr>
            <w:tcW w:w="1633" w:type="dxa"/>
            <w:tcBorders>
              <w:top w:val="single" w:color="auto" w:sz="4" w:space="0"/>
              <w:left w:val="single" w:color="auto" w:sz="4" w:space="0"/>
              <w:bottom w:val="single" w:color="auto" w:sz="4" w:space="0"/>
              <w:right w:val="single" w:color="auto" w:sz="4" w:space="0"/>
            </w:tcBorders>
            <w:vAlign w:val="center"/>
          </w:tcPr>
          <w:p>
            <w:pPr>
              <w:tabs>
                <w:tab w:val="left" w:pos="456"/>
              </w:tabs>
              <w:jc w:val="center"/>
              <w:rPr>
                <w:rFonts w:hint="eastAsia" w:ascii="宋体" w:hAnsi="宋体"/>
                <w:sz w:val="24"/>
                <w:highlight w:val="none"/>
                <w:lang w:eastAsia="zh-CN"/>
              </w:rPr>
            </w:pPr>
            <w:r>
              <w:rPr>
                <w:rFonts w:hint="eastAsia" w:ascii="宋体" w:hAnsi="宋体"/>
                <w:sz w:val="24"/>
                <w:highlight w:val="none"/>
                <w:lang w:eastAsia="zh-CN"/>
              </w:rPr>
              <w:t>报价税率</w:t>
            </w:r>
          </w:p>
        </w:tc>
        <w:tc>
          <w:tcPr>
            <w:tcW w:w="1633" w:type="dxa"/>
            <w:tcBorders>
              <w:top w:val="single" w:color="auto" w:sz="4" w:space="0"/>
              <w:left w:val="single" w:color="auto" w:sz="4" w:space="0"/>
              <w:bottom w:val="single" w:color="auto" w:sz="4" w:space="0"/>
              <w:right w:val="single" w:color="auto" w:sz="4" w:space="0"/>
            </w:tcBorders>
            <w:vAlign w:val="center"/>
          </w:tcPr>
          <w:p>
            <w:pPr>
              <w:tabs>
                <w:tab w:val="left" w:pos="456"/>
              </w:tabs>
              <w:jc w:val="center"/>
              <w:rPr>
                <w:rFonts w:hint="eastAsia" w:ascii="宋体" w:hAnsi="宋体" w:eastAsia="宋体"/>
                <w:sz w:val="24"/>
                <w:highlight w:val="none"/>
                <w:lang w:eastAsia="zh-CN"/>
              </w:rPr>
            </w:pPr>
            <w:r>
              <w:rPr>
                <w:rFonts w:hint="eastAsia" w:ascii="宋体" w:hAnsi="宋体"/>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3" w:hRule="atLeast"/>
          <w:jc w:val="center"/>
        </w:trPr>
        <w:tc>
          <w:tcPr>
            <w:tcW w:w="100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1</w:t>
            </w:r>
          </w:p>
        </w:tc>
        <w:tc>
          <w:tcPr>
            <w:tcW w:w="2834"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sz w:val="24"/>
                <w:highlight w:val="none"/>
              </w:rPr>
            </w:pPr>
            <w:r>
              <w:rPr>
                <w:rFonts w:hint="eastAsia" w:ascii="宋体" w:hAnsi="宋体"/>
                <w:sz w:val="24"/>
                <w:szCs w:val="24"/>
                <w:highlight w:val="none"/>
              </w:rPr>
              <w:t>福州市区</w:t>
            </w:r>
            <w:r>
              <w:rPr>
                <w:rFonts w:ascii="宋体" w:hAnsi="宋体"/>
                <w:sz w:val="24"/>
                <w:szCs w:val="24"/>
                <w:highlight w:val="none"/>
              </w:rPr>
              <w:t>——</w:t>
            </w:r>
            <w:r>
              <w:rPr>
                <w:rFonts w:hint="eastAsia" w:ascii="宋体" w:hAnsi="宋体"/>
                <w:sz w:val="24"/>
                <w:szCs w:val="24"/>
                <w:highlight w:val="none"/>
              </w:rPr>
              <w:t>江阴厂区（单程）</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highlight w:val="none"/>
                <w:lang w:val="en-US" w:eastAsia="zh-CN"/>
              </w:rPr>
            </w:pPr>
          </w:p>
        </w:tc>
        <w:tc>
          <w:tcPr>
            <w:tcW w:w="3479" w:type="dxa"/>
            <w:gridSpan w:val="2"/>
            <w:tcBorders>
              <w:top w:val="single" w:color="auto" w:sz="4" w:space="0"/>
              <w:left w:val="single" w:color="auto" w:sz="4" w:space="0"/>
              <w:bottom w:val="single" w:color="auto" w:sz="4" w:space="0"/>
            </w:tcBorders>
            <w:vAlign w:val="center"/>
          </w:tcPr>
          <w:p>
            <w:pPr>
              <w:jc w:val="center"/>
              <w:rPr>
                <w:rFonts w:ascii="宋体" w:hAnsi="宋体"/>
                <w:sz w:val="24"/>
                <w:highlight w:val="none"/>
              </w:rPr>
            </w:pPr>
          </w:p>
        </w:tc>
        <w:tc>
          <w:tcPr>
            <w:tcW w:w="1633" w:type="dxa"/>
            <w:vMerge w:val="restart"/>
            <w:tcBorders>
              <w:top w:val="single" w:color="auto" w:sz="4" w:space="0"/>
              <w:left w:val="single" w:color="auto" w:sz="4" w:space="0"/>
              <w:right w:val="single" w:color="auto" w:sz="4" w:space="0"/>
            </w:tcBorders>
            <w:textDirection w:val="lrTb"/>
            <w:vAlign w:val="center"/>
          </w:tcPr>
          <w:p>
            <w:pPr>
              <w:widowControl/>
              <w:jc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含</w:t>
            </w:r>
            <w:r>
              <w:rPr>
                <w:rFonts w:hint="eastAsia" w:ascii="宋体" w:hAnsi="宋体" w:cs="宋体"/>
                <w:color w:val="000000"/>
                <w:sz w:val="22"/>
                <w:highlight w:val="none"/>
                <w:u w:val="single"/>
                <w:lang w:val="en-US" w:eastAsia="zh-CN"/>
              </w:rPr>
              <w:t xml:space="preserve">   </w:t>
            </w:r>
            <w:r>
              <w:rPr>
                <w:rFonts w:hint="eastAsia" w:ascii="宋体" w:hAnsi="宋体" w:cs="宋体"/>
                <w:color w:val="000000"/>
                <w:sz w:val="22"/>
                <w:highlight w:val="none"/>
                <w:lang w:val="en-US" w:eastAsia="zh-CN"/>
              </w:rPr>
              <w:t>%增值税</w:t>
            </w:r>
          </w:p>
        </w:tc>
        <w:tc>
          <w:tcPr>
            <w:tcW w:w="1633" w:type="dxa"/>
            <w:tcBorders>
              <w:top w:val="single" w:color="auto" w:sz="4" w:space="0"/>
              <w:left w:val="single" w:color="auto" w:sz="4" w:space="0"/>
              <w:right w:val="single" w:color="auto" w:sz="4" w:space="0"/>
            </w:tcBorders>
            <w:textDirection w:val="lrTb"/>
            <w:vAlign w:val="center"/>
          </w:tcPr>
          <w:p>
            <w:pPr>
              <w:widowControl/>
              <w:jc w:val="center"/>
              <w:rPr>
                <w:rFonts w:ascii="宋体" w:hAnsi="宋体"/>
                <w:sz w:val="24"/>
                <w:highlight w:val="none"/>
              </w:rPr>
            </w:pPr>
            <w:r>
              <w:rPr>
                <w:rFonts w:hint="eastAsia" w:ascii="宋体" w:hAnsi="宋体" w:cs="宋体"/>
                <w:color w:val="000000"/>
                <w:sz w:val="22"/>
                <w:highlight w:val="none"/>
              </w:rPr>
              <w:t>周一</w:t>
            </w:r>
            <w:r>
              <w:rPr>
                <w:rFonts w:hint="eastAsia" w:ascii="宋体" w:hAnsi="宋体" w:cs="宋体"/>
                <w:color w:val="000000"/>
                <w:sz w:val="22"/>
                <w:highlight w:val="none"/>
                <w:lang w:eastAsia="zh-CN"/>
              </w:rPr>
              <w:t>、</w:t>
            </w:r>
            <w:r>
              <w:rPr>
                <w:rFonts w:hint="eastAsia" w:ascii="宋体" w:hAnsi="宋体" w:cs="宋体"/>
                <w:color w:val="000000"/>
                <w:sz w:val="22"/>
                <w:highlight w:val="none"/>
              </w:rPr>
              <w:t>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3" w:hRule="atLeast"/>
          <w:jc w:val="center"/>
        </w:trPr>
        <w:tc>
          <w:tcPr>
            <w:tcW w:w="100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sz w:val="24"/>
                <w:highlight w:val="none"/>
                <w:lang w:val="en-US" w:eastAsia="zh-CN"/>
              </w:rPr>
            </w:pPr>
          </w:p>
        </w:tc>
        <w:tc>
          <w:tcPr>
            <w:tcW w:w="2834"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sz w:val="24"/>
                <w:szCs w:val="24"/>
                <w:highlight w:val="none"/>
              </w:rPr>
            </w:pPr>
            <w:r>
              <w:rPr>
                <w:rFonts w:hint="eastAsia" w:ascii="宋体" w:hAnsi="宋体"/>
                <w:sz w:val="24"/>
                <w:szCs w:val="24"/>
                <w:highlight w:val="none"/>
              </w:rPr>
              <w:t>福州市区</w:t>
            </w:r>
            <w:r>
              <w:rPr>
                <w:rFonts w:ascii="宋体" w:hAnsi="宋体"/>
                <w:sz w:val="24"/>
                <w:szCs w:val="24"/>
                <w:highlight w:val="none"/>
              </w:rPr>
              <w:t>——</w:t>
            </w:r>
            <w:r>
              <w:rPr>
                <w:rFonts w:hint="eastAsia" w:ascii="宋体" w:hAnsi="宋体"/>
                <w:sz w:val="24"/>
                <w:szCs w:val="24"/>
                <w:highlight w:val="none"/>
              </w:rPr>
              <w:t>江阴厂区</w:t>
            </w:r>
          </w:p>
          <w:p>
            <w:pPr>
              <w:jc w:val="center"/>
              <w:rPr>
                <w:rFonts w:ascii="宋体" w:hAnsi="宋体"/>
                <w:sz w:val="24"/>
                <w:highlight w:val="none"/>
              </w:rPr>
            </w:pPr>
            <w:r>
              <w:rPr>
                <w:rFonts w:hint="eastAsia" w:ascii="宋体" w:hAnsi="宋体"/>
                <w:sz w:val="24"/>
                <w:szCs w:val="24"/>
                <w:highlight w:val="none"/>
              </w:rPr>
              <w:t>（往返）</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3479" w:type="dxa"/>
            <w:gridSpan w:val="2"/>
            <w:tcBorders>
              <w:top w:val="single" w:color="auto" w:sz="4" w:space="0"/>
              <w:left w:val="single" w:color="auto" w:sz="4" w:space="0"/>
              <w:bottom w:val="single" w:color="auto" w:sz="4" w:space="0"/>
            </w:tcBorders>
            <w:vAlign w:val="center"/>
          </w:tcPr>
          <w:p>
            <w:pPr>
              <w:jc w:val="center"/>
              <w:rPr>
                <w:rFonts w:ascii="宋体" w:hAnsi="宋体"/>
                <w:sz w:val="24"/>
                <w:highlight w:val="none"/>
              </w:rPr>
            </w:pPr>
          </w:p>
        </w:tc>
        <w:tc>
          <w:tcPr>
            <w:tcW w:w="1633" w:type="dxa"/>
            <w:vMerge w:val="continue"/>
            <w:tcBorders>
              <w:left w:val="single" w:color="auto" w:sz="4" w:space="0"/>
              <w:bottom w:val="single" w:color="auto" w:sz="4" w:space="0"/>
              <w:right w:val="single" w:color="auto" w:sz="4" w:space="0"/>
            </w:tcBorders>
            <w:textDirection w:val="lrTb"/>
            <w:vAlign w:val="center"/>
          </w:tcPr>
          <w:p>
            <w:pPr>
              <w:widowControl/>
              <w:jc w:val="center"/>
              <w:rPr>
                <w:rFonts w:ascii="宋体" w:hAnsi="宋体"/>
                <w:sz w:val="24"/>
                <w:highlight w:val="none"/>
              </w:rPr>
            </w:pPr>
          </w:p>
        </w:tc>
        <w:tc>
          <w:tcPr>
            <w:tcW w:w="1633" w:type="dxa"/>
            <w:tcBorders>
              <w:left w:val="single" w:color="auto" w:sz="4" w:space="0"/>
              <w:bottom w:val="single" w:color="auto" w:sz="4" w:space="0"/>
              <w:right w:val="single" w:color="auto" w:sz="4" w:space="0"/>
            </w:tcBorders>
            <w:textDirection w:val="lrTb"/>
            <w:vAlign w:val="center"/>
          </w:tcPr>
          <w:p>
            <w:pPr>
              <w:widowControl/>
              <w:jc w:val="center"/>
              <w:rPr>
                <w:rFonts w:ascii="宋体" w:hAnsi="宋体"/>
                <w:sz w:val="24"/>
                <w:highlight w:val="none"/>
              </w:rPr>
            </w:pPr>
            <w:r>
              <w:rPr>
                <w:rFonts w:hint="eastAsia" w:ascii="宋体" w:hAnsi="宋体" w:cs="宋体"/>
                <w:color w:val="000000"/>
                <w:sz w:val="22"/>
                <w:highlight w:val="none"/>
              </w:rPr>
              <w:t>隔天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3" w:hRule="atLeast"/>
          <w:jc w:val="center"/>
        </w:trPr>
        <w:tc>
          <w:tcPr>
            <w:tcW w:w="1004" w:type="dxa"/>
            <w:vMerge w:val="restart"/>
            <w:tcBorders>
              <w:left w:val="single" w:color="auto" w:sz="4" w:space="0"/>
              <w:right w:val="single" w:color="auto" w:sz="4" w:space="0"/>
            </w:tcBorders>
            <w:vAlign w:val="center"/>
          </w:tcPr>
          <w:p>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2</w:t>
            </w:r>
          </w:p>
        </w:tc>
        <w:tc>
          <w:tcPr>
            <w:tcW w:w="2834"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sz w:val="24"/>
                <w:highlight w:val="none"/>
              </w:rPr>
            </w:pPr>
            <w:r>
              <w:rPr>
                <w:rFonts w:hint="eastAsia" w:ascii="宋体" w:hAnsi="宋体"/>
                <w:sz w:val="24"/>
                <w:szCs w:val="24"/>
                <w:highlight w:val="none"/>
              </w:rPr>
              <w:t>新厝生活区</w:t>
            </w:r>
            <w:r>
              <w:rPr>
                <w:rFonts w:ascii="宋体" w:hAnsi="宋体"/>
                <w:sz w:val="24"/>
                <w:szCs w:val="24"/>
                <w:highlight w:val="none"/>
              </w:rPr>
              <w:t>——</w:t>
            </w:r>
            <w:r>
              <w:rPr>
                <w:rFonts w:hint="eastAsia" w:ascii="宋体" w:hAnsi="宋体"/>
                <w:sz w:val="24"/>
                <w:szCs w:val="24"/>
                <w:highlight w:val="none"/>
              </w:rPr>
              <w:t>江阴厂区</w:t>
            </w:r>
            <w:r>
              <w:rPr>
                <w:rFonts w:ascii="宋体" w:hAnsi="宋体"/>
                <w:sz w:val="24"/>
                <w:szCs w:val="24"/>
                <w:highlight w:val="none"/>
              </w:rPr>
              <w:t>(</w:t>
            </w:r>
            <w:r>
              <w:rPr>
                <w:rFonts w:hint="eastAsia" w:ascii="宋体" w:hAnsi="宋体"/>
                <w:sz w:val="24"/>
                <w:szCs w:val="24"/>
                <w:highlight w:val="none"/>
              </w:rPr>
              <w:t>四趟</w:t>
            </w:r>
            <w:r>
              <w:rPr>
                <w:rFonts w:ascii="宋体" w:hAnsi="宋体"/>
                <w:sz w:val="24"/>
                <w:szCs w:val="24"/>
                <w:highlight w:val="none"/>
              </w:rPr>
              <w:t>/</w:t>
            </w:r>
            <w:r>
              <w:rPr>
                <w:rFonts w:hint="eastAsia" w:ascii="宋体" w:hAnsi="宋体"/>
                <w:sz w:val="24"/>
                <w:szCs w:val="24"/>
                <w:highlight w:val="none"/>
              </w:rPr>
              <w:t>天</w:t>
            </w:r>
            <w:r>
              <w:rPr>
                <w:rFonts w:ascii="宋体" w:hAnsi="宋体"/>
                <w:sz w:val="24"/>
                <w:szCs w:val="24"/>
                <w:highlight w:val="none"/>
              </w:rPr>
              <w:t>)</w:t>
            </w:r>
          </w:p>
        </w:tc>
        <w:tc>
          <w:tcPr>
            <w:tcW w:w="184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sz w:val="24"/>
                <w:highlight w:val="none"/>
              </w:rPr>
            </w:pPr>
            <w:r>
              <w:rPr>
                <w:rFonts w:hint="eastAsia" w:ascii="宋体"/>
                <w:sz w:val="24"/>
                <w:szCs w:val="24"/>
                <w:highlight w:val="none"/>
              </w:rPr>
              <w:t>/</w:t>
            </w:r>
          </w:p>
        </w:tc>
        <w:tc>
          <w:tcPr>
            <w:tcW w:w="171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sz w:val="24"/>
                <w:highlight w:val="none"/>
              </w:rPr>
            </w:pPr>
            <w:r>
              <w:rPr>
                <w:rFonts w:hint="eastAsia" w:ascii="宋体"/>
                <w:sz w:val="24"/>
                <w:szCs w:val="24"/>
                <w:highlight w:val="none"/>
              </w:rPr>
              <w:t>/</w:t>
            </w:r>
          </w:p>
        </w:tc>
        <w:tc>
          <w:tcPr>
            <w:tcW w:w="1844"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eastAsia="宋体"/>
                <w:sz w:val="24"/>
                <w:highlight w:val="none"/>
                <w:lang w:val="en-US" w:eastAsia="zh-CN"/>
              </w:rPr>
            </w:pPr>
            <w:r>
              <w:rPr>
                <w:rFonts w:hint="eastAsia" w:ascii="宋体"/>
                <w:sz w:val="24"/>
                <w:szCs w:val="24"/>
                <w:highlight w:val="none"/>
              </w:rPr>
              <w:t>/</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1633" w:type="dxa"/>
            <w:vMerge w:val="restart"/>
            <w:tcBorders>
              <w:left w:val="single" w:color="auto" w:sz="4" w:space="0"/>
              <w:right w:val="single" w:color="auto" w:sz="4" w:space="0"/>
            </w:tcBorders>
            <w:vAlign w:val="center"/>
          </w:tcPr>
          <w:p>
            <w:pPr>
              <w:jc w:val="center"/>
              <w:rPr>
                <w:rFonts w:ascii="宋体" w:hAnsi="宋体"/>
                <w:sz w:val="24"/>
                <w:highlight w:val="none"/>
              </w:rPr>
            </w:pPr>
            <w:r>
              <w:rPr>
                <w:rFonts w:hint="eastAsia" w:ascii="宋体" w:hAnsi="宋体" w:cs="宋体"/>
                <w:color w:val="000000"/>
                <w:sz w:val="22"/>
                <w:highlight w:val="none"/>
                <w:lang w:eastAsia="zh-CN"/>
              </w:rPr>
              <w:t>含</w:t>
            </w:r>
            <w:r>
              <w:rPr>
                <w:rFonts w:hint="eastAsia" w:ascii="宋体" w:hAnsi="宋体" w:cs="宋体"/>
                <w:color w:val="000000"/>
                <w:sz w:val="22"/>
                <w:highlight w:val="none"/>
                <w:u w:val="single"/>
                <w:lang w:val="en-US" w:eastAsia="zh-CN"/>
              </w:rPr>
              <w:t xml:space="preserve">   </w:t>
            </w:r>
            <w:r>
              <w:rPr>
                <w:rFonts w:hint="eastAsia" w:ascii="宋体" w:hAnsi="宋体" w:cs="宋体"/>
                <w:color w:val="000000"/>
                <w:sz w:val="22"/>
                <w:highlight w:val="none"/>
                <w:lang w:val="en-US" w:eastAsia="zh-CN"/>
              </w:rPr>
              <w:t>%增值税</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highlight w:val="none"/>
                <w:lang w:eastAsia="zh-CN"/>
              </w:rPr>
            </w:pPr>
            <w:r>
              <w:rPr>
                <w:rFonts w:hint="eastAsia" w:ascii="宋体" w:hAnsi="宋体"/>
                <w:sz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100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sz w:val="24"/>
                <w:highlight w:val="none"/>
                <w:lang w:val="en-US" w:eastAsia="zh-CN"/>
              </w:rPr>
            </w:pPr>
          </w:p>
        </w:tc>
        <w:tc>
          <w:tcPr>
            <w:tcW w:w="2834"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sz w:val="24"/>
                <w:highlight w:val="none"/>
              </w:rPr>
            </w:pPr>
            <w:r>
              <w:rPr>
                <w:rFonts w:hint="eastAsia" w:ascii="宋体" w:hAnsi="宋体"/>
                <w:sz w:val="24"/>
                <w:szCs w:val="24"/>
                <w:highlight w:val="none"/>
              </w:rPr>
              <w:t>新厝生活区</w:t>
            </w:r>
            <w:r>
              <w:rPr>
                <w:rFonts w:ascii="宋体" w:hAnsi="宋体"/>
                <w:sz w:val="24"/>
                <w:szCs w:val="24"/>
                <w:highlight w:val="none"/>
              </w:rPr>
              <w:t>——</w:t>
            </w:r>
            <w:r>
              <w:rPr>
                <w:rFonts w:hint="eastAsia" w:ascii="宋体" w:hAnsi="宋体"/>
                <w:sz w:val="24"/>
                <w:szCs w:val="24"/>
                <w:highlight w:val="none"/>
              </w:rPr>
              <w:t>江阴厂区（临时）</w:t>
            </w:r>
          </w:p>
        </w:tc>
        <w:tc>
          <w:tcPr>
            <w:tcW w:w="7036" w:type="dxa"/>
            <w:gridSpan w:val="4"/>
            <w:tcBorders>
              <w:top w:val="single" w:color="auto" w:sz="4" w:space="0"/>
              <w:left w:val="single" w:color="auto" w:sz="4" w:space="0"/>
              <w:bottom w:val="single" w:color="auto" w:sz="4" w:space="0"/>
            </w:tcBorders>
            <w:vAlign w:val="center"/>
          </w:tcPr>
          <w:p>
            <w:pPr>
              <w:jc w:val="center"/>
              <w:rPr>
                <w:rFonts w:ascii="宋体" w:hAnsi="宋体"/>
                <w:sz w:val="24"/>
                <w:highlight w:val="none"/>
              </w:rPr>
            </w:pPr>
            <w:r>
              <w:rPr>
                <w:rFonts w:hint="eastAsia" w:ascii="宋体" w:hAnsi="宋体"/>
                <w:sz w:val="24"/>
                <w:szCs w:val="24"/>
                <w:highlight w:val="none"/>
              </w:rPr>
              <w:t>新厝至江阴接送</w:t>
            </w:r>
            <w:r>
              <w:rPr>
                <w:rFonts w:hint="eastAsia" w:ascii="宋体" w:hAnsi="宋体"/>
                <w:sz w:val="24"/>
                <w:szCs w:val="24"/>
                <w:highlight w:val="none"/>
                <w:lang w:val="en-US" w:eastAsia="zh-CN"/>
              </w:rPr>
              <w:t>,白天</w:t>
            </w:r>
            <w:r>
              <w:rPr>
                <w:rFonts w:hint="eastAsia" w:ascii="宋体" w:hAnsi="宋体"/>
                <w:sz w:val="24"/>
                <w:szCs w:val="24"/>
                <w:highlight w:val="none"/>
              </w:rPr>
              <w:t>每增加一单趟费用</w:t>
            </w:r>
            <w:r>
              <w:rPr>
                <w:rFonts w:hint="eastAsia" w:ascii="宋体" w:hAnsi="宋体"/>
                <w:sz w:val="24"/>
                <w:szCs w:val="24"/>
                <w:highlight w:val="none"/>
                <w:lang w:val="en-US" w:eastAsia="zh-CN"/>
              </w:rPr>
              <w:t xml:space="preserve">    </w:t>
            </w:r>
            <w:r>
              <w:rPr>
                <w:rFonts w:hint="eastAsia" w:ascii="宋体" w:hAnsi="宋体"/>
                <w:sz w:val="24"/>
                <w:szCs w:val="24"/>
                <w:highlight w:val="none"/>
              </w:rPr>
              <w:t>元，</w:t>
            </w:r>
            <w:r>
              <w:rPr>
                <w:rFonts w:hint="eastAsia" w:ascii="宋体" w:hAnsi="宋体"/>
                <w:sz w:val="24"/>
                <w:szCs w:val="24"/>
                <w:highlight w:val="none"/>
                <w:lang w:eastAsia="zh-CN"/>
              </w:rPr>
              <w:t>夜间另</w:t>
            </w:r>
            <w:r>
              <w:rPr>
                <w:rFonts w:hint="eastAsia" w:ascii="宋体" w:hAnsi="宋体"/>
                <w:sz w:val="24"/>
                <w:szCs w:val="24"/>
                <w:highlight w:val="none"/>
              </w:rPr>
              <w:t>增加</w:t>
            </w:r>
            <w:r>
              <w:rPr>
                <w:rFonts w:hint="eastAsia" w:ascii="宋体" w:hAnsi="宋体"/>
                <w:sz w:val="24"/>
                <w:szCs w:val="24"/>
                <w:highlight w:val="none"/>
                <w:lang w:val="en-US" w:eastAsia="zh-CN"/>
              </w:rPr>
              <w:t xml:space="preserve">    </w:t>
            </w:r>
            <w:r>
              <w:rPr>
                <w:rFonts w:hint="eastAsia" w:ascii="宋体" w:hAnsi="宋体"/>
                <w:sz w:val="24"/>
                <w:szCs w:val="24"/>
                <w:highlight w:val="none"/>
              </w:rPr>
              <w:t>元</w:t>
            </w:r>
          </w:p>
        </w:tc>
        <w:tc>
          <w:tcPr>
            <w:tcW w:w="163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sz w:val="24"/>
                <w:szCs w:val="24"/>
                <w:highlight w:val="none"/>
              </w:rPr>
            </w:pPr>
          </w:p>
        </w:tc>
        <w:tc>
          <w:tcPr>
            <w:tcW w:w="1633" w:type="dxa"/>
            <w:tcBorders>
              <w:top w:val="single" w:color="auto" w:sz="4" w:space="0"/>
              <w:left w:val="single" w:color="auto" w:sz="4" w:space="0"/>
              <w:bottom w:val="single" w:color="auto" w:sz="4" w:space="0"/>
            </w:tcBorders>
            <w:vAlign w:val="center"/>
          </w:tcPr>
          <w:p>
            <w:pPr>
              <w:jc w:val="center"/>
              <w:rPr>
                <w:rFonts w:hint="eastAsia" w:ascii="宋体" w:hAnsi="宋体"/>
                <w:sz w:val="24"/>
                <w:szCs w:val="24"/>
                <w:highlight w:val="none"/>
              </w:rPr>
            </w:pPr>
            <w:r>
              <w:rPr>
                <w:rFonts w:hint="eastAsia" w:ascii="宋体" w:hAnsi="宋体"/>
                <w:sz w:val="24"/>
                <w:highlight w:val="none"/>
                <w:lang w:eastAsia="zh-CN"/>
              </w:rPr>
              <w:t>无</w:t>
            </w:r>
          </w:p>
        </w:tc>
      </w:tr>
    </w:tbl>
    <w:p>
      <w:pPr>
        <w:snapToGrid w:val="0"/>
        <w:spacing w:line="300" w:lineRule="auto"/>
        <w:rPr>
          <w:rFonts w:ascii="黑体" w:eastAsia="黑体"/>
          <w:sz w:val="28"/>
          <w:highlight w:val="none"/>
        </w:rPr>
      </w:pPr>
    </w:p>
    <w:p>
      <w:pPr>
        <w:snapToGrid w:val="0"/>
        <w:spacing w:line="300" w:lineRule="auto"/>
        <w:rPr>
          <w:rFonts w:ascii="黑体" w:eastAsia="黑体"/>
          <w:sz w:val="28"/>
          <w:highlight w:val="none"/>
        </w:rPr>
      </w:pPr>
      <w:r>
        <w:rPr>
          <w:rFonts w:hint="eastAsia" w:ascii="黑体" w:eastAsia="黑体"/>
          <w:sz w:val="28"/>
          <w:highlight w:val="none"/>
        </w:rPr>
        <w:t>注：此表应单独密封、加盖公章、在封面注明报价单。</w:t>
      </w:r>
    </w:p>
    <w:p>
      <w:pPr>
        <w:rPr>
          <w:rFonts w:hAnsi="宋体"/>
          <w:sz w:val="24"/>
          <w:szCs w:val="21"/>
          <w:highlight w:val="none"/>
        </w:rPr>
      </w:pPr>
      <w:r>
        <w:rPr>
          <w:rFonts w:hint="eastAsia" w:hAnsi="宋体"/>
          <w:sz w:val="24"/>
          <w:szCs w:val="21"/>
          <w:highlight w:val="none"/>
        </w:rPr>
        <w:t>　　</w:t>
      </w:r>
    </w:p>
    <w:p>
      <w:pPr>
        <w:rPr>
          <w:rFonts w:ascii="宋体" w:hAnsi="宋体"/>
          <w:sz w:val="24"/>
          <w:highlight w:val="none"/>
        </w:rPr>
      </w:pPr>
      <w:r>
        <w:rPr>
          <w:rFonts w:hint="eastAsia" w:ascii="宋体" w:hAnsi="宋体"/>
          <w:sz w:val="24"/>
          <w:highlight w:val="none"/>
        </w:rPr>
        <w:t>参选人公司名称：_____________</w:t>
      </w:r>
      <w:r>
        <w:rPr>
          <w:rFonts w:hint="eastAsia" w:ascii="宋体" w:hAnsi="宋体"/>
          <w:sz w:val="24"/>
          <w:highlight w:val="none"/>
          <w:u w:val="single"/>
        </w:rPr>
        <w:t xml:space="preserve">           </w:t>
      </w:r>
      <w:r>
        <w:rPr>
          <w:rFonts w:hint="eastAsia" w:ascii="宋体" w:hAnsi="宋体"/>
          <w:sz w:val="24"/>
          <w:highlight w:val="none"/>
        </w:rPr>
        <w:t>_(盖章)</w:t>
      </w:r>
    </w:p>
    <w:p>
      <w:pPr>
        <w:rPr>
          <w:rFonts w:ascii="宋体" w:hAnsi="宋体"/>
          <w:sz w:val="24"/>
          <w:highlight w:val="none"/>
        </w:rPr>
      </w:pPr>
    </w:p>
    <w:p>
      <w:pPr>
        <w:rPr>
          <w:rFonts w:ascii="宋体" w:hAnsi="宋体"/>
          <w:sz w:val="24"/>
          <w:highlight w:val="none"/>
        </w:rPr>
      </w:pPr>
      <w:r>
        <w:rPr>
          <w:rFonts w:hint="eastAsia" w:ascii="宋体" w:hAnsi="宋体"/>
          <w:sz w:val="24"/>
          <w:highlight w:val="none"/>
        </w:rPr>
        <w:t>参选人代表签字：</w:t>
      </w:r>
      <w:r>
        <w:rPr>
          <w:rFonts w:hint="eastAsia" w:ascii="宋体" w:hAnsi="宋体"/>
          <w:sz w:val="24"/>
          <w:highlight w:val="none"/>
          <w:u w:val="single"/>
        </w:rPr>
        <w:t>_________    ___    __</w:t>
      </w:r>
      <w:r>
        <w:rPr>
          <w:rFonts w:hint="eastAsia" w:ascii="宋体" w:hAnsi="宋体"/>
          <w:sz w:val="24"/>
          <w:highlight w:val="none"/>
        </w:rPr>
        <w:t>（签字）  职务：_________________ 日期：________________</w:t>
      </w:r>
    </w:p>
    <w:p>
      <w:pPr>
        <w:pStyle w:val="4"/>
        <w:spacing w:line="460" w:lineRule="exact"/>
        <w:rPr>
          <w:rFonts w:hAnsi="宋体" w:cs="宋体"/>
          <w:b/>
          <w:sz w:val="32"/>
          <w:szCs w:val="32"/>
          <w:highlight w:val="none"/>
        </w:rPr>
        <w:sectPr>
          <w:pgSz w:w="16838" w:h="11906" w:orient="landscape"/>
          <w:pgMar w:top="1797" w:right="1440" w:bottom="1797" w:left="1440" w:header="851" w:footer="992" w:gutter="0"/>
          <w:cols w:space="720" w:num="1"/>
          <w:docGrid w:type="linesAndChars" w:linePitch="312" w:charSpace="0"/>
        </w:sectPr>
      </w:pPr>
    </w:p>
    <w:bookmarkEnd w:id="0"/>
    <w:bookmarkEnd w:id="1"/>
    <w:bookmarkEnd w:id="2"/>
    <w:bookmarkEnd w:id="3"/>
    <w:p>
      <w:pPr>
        <w:jc w:val="left"/>
        <w:rPr>
          <w:rFonts w:ascii="宋体" w:hAnsi="宋体" w:cs="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color w:val="000000"/>
          <w:sz w:val="32"/>
          <w:szCs w:val="32"/>
          <w:highlight w:val="none"/>
          <w:lang w:eastAsia="zh-CN"/>
        </w:rPr>
        <w:t>三</w:t>
      </w:r>
      <w:r>
        <w:rPr>
          <w:rFonts w:hint="eastAsia" w:ascii="宋体" w:hAnsi="宋体" w:cs="宋体"/>
          <w:color w:val="000000"/>
          <w:sz w:val="32"/>
          <w:szCs w:val="32"/>
          <w:highlight w:val="none"/>
        </w:rPr>
        <w:t>：</w:t>
      </w:r>
      <w:r>
        <w:rPr>
          <w:rFonts w:ascii="宋体" w:hAnsi="宋体" w:cs="宋体"/>
          <w:color w:val="000000"/>
          <w:sz w:val="32"/>
          <w:szCs w:val="32"/>
          <w:highlight w:val="none"/>
        </w:rPr>
        <w:t xml:space="preserve"> </w:t>
      </w:r>
    </w:p>
    <w:p>
      <w:pPr>
        <w:snapToGrid w:val="0"/>
        <w:spacing w:line="360" w:lineRule="auto"/>
        <w:jc w:val="center"/>
        <w:rPr>
          <w:rFonts w:ascii="宋体" w:hAnsi="宋体"/>
          <w:b/>
          <w:sz w:val="36"/>
          <w:szCs w:val="36"/>
          <w:highlight w:val="none"/>
        </w:rPr>
      </w:pPr>
      <w:r>
        <w:rPr>
          <w:rFonts w:hint="eastAsia" w:ascii="宋体" w:hAnsi="宋体"/>
          <w:b/>
          <w:sz w:val="36"/>
          <w:szCs w:val="36"/>
          <w:highlight w:val="none"/>
        </w:rPr>
        <w:t>法定代表人授权委托书</w:t>
      </w:r>
    </w:p>
    <w:p>
      <w:pPr>
        <w:snapToGrid w:val="0"/>
        <w:spacing w:line="360" w:lineRule="auto"/>
        <w:jc w:val="center"/>
        <w:rPr>
          <w:rFonts w:ascii="宋体" w:hAnsi="宋体"/>
          <w:sz w:val="28"/>
          <w:szCs w:val="28"/>
          <w:highlight w:val="none"/>
        </w:rPr>
      </w:pPr>
    </w:p>
    <w:p>
      <w:pPr>
        <w:snapToGrid w:val="0"/>
        <w:spacing w:line="360" w:lineRule="auto"/>
        <w:rPr>
          <w:rFonts w:ascii="宋体" w:hAnsi="宋体"/>
          <w:sz w:val="28"/>
          <w:szCs w:val="28"/>
          <w:highlight w:val="none"/>
        </w:rPr>
      </w:pPr>
      <w:r>
        <w:rPr>
          <w:rFonts w:hint="eastAsia" w:ascii="宋体" w:hAnsi="宋体"/>
          <w:sz w:val="28"/>
          <w:szCs w:val="28"/>
          <w:highlight w:val="none"/>
        </w:rPr>
        <w:t>致：福建省东南电化股份有限公司</w:t>
      </w:r>
    </w:p>
    <w:p>
      <w:pPr>
        <w:snapToGrid w:val="0"/>
        <w:spacing w:line="360" w:lineRule="auto"/>
        <w:rPr>
          <w:rFonts w:ascii="宋体" w:hAnsi="宋体"/>
          <w:sz w:val="28"/>
          <w:szCs w:val="28"/>
          <w:highlight w:val="none"/>
        </w:rPr>
      </w:pPr>
      <w:r>
        <w:rPr>
          <w:rFonts w:hint="eastAsia" w:ascii="宋体" w:hAnsi="宋体"/>
          <w:sz w:val="28"/>
          <w:szCs w:val="28"/>
          <w:highlight w:val="none"/>
        </w:rPr>
        <w:t>本授权书声明:注册于      (公司住所)的                     （公司名称)的法定代表人        (法定代表人姓名)代表本公司授权        （代理人的姓名）为公司的合法代理人，就福建省东南电化股份有限公司员工接送车辆运输服务项目比选过程及</w:t>
      </w:r>
      <w:r>
        <w:rPr>
          <w:rFonts w:hint="eastAsia" w:ascii="宋体" w:hAnsi="宋体" w:cs="黑体"/>
          <w:bCs/>
          <w:sz w:val="28"/>
          <w:szCs w:val="28"/>
          <w:highlight w:val="none"/>
        </w:rPr>
        <w:t>合</w:t>
      </w:r>
      <w:r>
        <w:rPr>
          <w:rFonts w:hint="eastAsia" w:ascii="宋体" w:hAnsi="宋体"/>
          <w:sz w:val="28"/>
          <w:szCs w:val="28"/>
          <w:highlight w:val="none"/>
        </w:rPr>
        <w:t>同的签订，以本公司名义处理一切与之有关的事务。</w:t>
      </w:r>
    </w:p>
    <w:p>
      <w:pPr>
        <w:snapToGrid w:val="0"/>
        <w:spacing w:line="360" w:lineRule="auto"/>
        <w:rPr>
          <w:rFonts w:ascii="宋体" w:hAnsi="宋体"/>
          <w:sz w:val="28"/>
          <w:szCs w:val="28"/>
          <w:highlight w:val="none"/>
        </w:rPr>
      </w:pPr>
    </w:p>
    <w:p>
      <w:pPr>
        <w:snapToGrid w:val="0"/>
        <w:spacing w:line="360" w:lineRule="auto"/>
        <w:rPr>
          <w:rFonts w:ascii="宋体" w:hAnsi="宋体"/>
          <w:sz w:val="28"/>
          <w:szCs w:val="28"/>
          <w:highlight w:val="none"/>
        </w:rPr>
      </w:pPr>
      <w:r>
        <w:rPr>
          <w:rFonts w:hint="eastAsia" w:ascii="宋体" w:hAnsi="宋体"/>
          <w:sz w:val="28"/>
          <w:szCs w:val="28"/>
          <w:highlight w:val="none"/>
        </w:rPr>
        <w:t>本授权书于    年    月    日签字生效，特此声明。</w:t>
      </w:r>
    </w:p>
    <w:p>
      <w:pPr>
        <w:snapToGrid w:val="0"/>
        <w:spacing w:line="360" w:lineRule="auto"/>
        <w:rPr>
          <w:rFonts w:ascii="宋体" w:hAnsi="宋体"/>
          <w:sz w:val="28"/>
          <w:szCs w:val="28"/>
          <w:highlight w:val="none"/>
        </w:rPr>
      </w:pP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意向参选方（盖章）：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法定代表人（签字或盖章）：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法定代表人身份证号码：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代理人姓名：        性别：    年龄：    职务：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身份证号码：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联系方式：  </w:t>
      </w:r>
    </w:p>
    <w:p>
      <w:pPr>
        <w:snapToGrid w:val="0"/>
        <w:spacing w:line="360" w:lineRule="auto"/>
        <w:rPr>
          <w:rFonts w:ascii="宋体" w:hAnsi="宋体"/>
          <w:sz w:val="28"/>
          <w:szCs w:val="28"/>
          <w:highlight w:val="none"/>
        </w:rPr>
      </w:pPr>
    </w:p>
    <w:p>
      <w:pPr>
        <w:snapToGrid w:val="0"/>
        <w:spacing w:line="360" w:lineRule="auto"/>
        <w:rPr>
          <w:rFonts w:ascii="宋体" w:hAnsi="宋体"/>
          <w:sz w:val="28"/>
          <w:szCs w:val="28"/>
          <w:highlight w:val="none"/>
        </w:rPr>
      </w:pPr>
    </w:p>
    <w:p>
      <w:pPr>
        <w:jc w:val="left"/>
        <w:rPr>
          <w:rFonts w:ascii="宋体" w:hAnsi="宋体" w:cs="宋体"/>
          <w:color w:val="000000"/>
          <w:sz w:val="32"/>
          <w:szCs w:val="32"/>
          <w:highlight w:val="none"/>
        </w:rPr>
      </w:pPr>
    </w:p>
    <w:p>
      <w:pPr>
        <w:snapToGrid w:val="0"/>
        <w:spacing w:line="360" w:lineRule="auto"/>
        <w:rPr>
          <w:rFonts w:ascii="宋体" w:hAnsi="宋体" w:cs="宋体"/>
          <w:sz w:val="28"/>
          <w:szCs w:val="28"/>
          <w:highlight w:val="none"/>
        </w:rPr>
      </w:pPr>
    </w:p>
    <w:p>
      <w:pPr>
        <w:snapToGrid w:val="0"/>
        <w:spacing w:line="360" w:lineRule="auto"/>
        <w:rPr>
          <w:rFonts w:ascii="宋体" w:hAnsi="宋体" w:cs="宋体"/>
          <w:sz w:val="28"/>
          <w:szCs w:val="28"/>
          <w:highlight w:val="none"/>
        </w:rPr>
      </w:pPr>
    </w:p>
    <w:p>
      <w:pPr>
        <w:snapToGrid w:val="0"/>
        <w:spacing w:line="360" w:lineRule="auto"/>
        <w:rPr>
          <w:rFonts w:ascii="宋体" w:hAnsi="宋体" w:cs="宋体"/>
          <w:sz w:val="28"/>
          <w:szCs w:val="28"/>
          <w:highlight w:val="none"/>
        </w:rPr>
      </w:pPr>
    </w:p>
    <w:p>
      <w:pPr>
        <w:jc w:val="left"/>
        <w:rPr>
          <w:rFonts w:ascii="宋体"/>
          <w:color w:val="000000"/>
          <w:sz w:val="32"/>
          <w:szCs w:val="32"/>
          <w:highlight w:val="none"/>
        </w:rPr>
      </w:pPr>
    </w:p>
    <w:p>
      <w:pPr>
        <w:snapToGrid w:val="0"/>
        <w:spacing w:line="360" w:lineRule="auto"/>
        <w:jc w:val="left"/>
        <w:rPr>
          <w:rFonts w:ascii="宋体" w:hAnsi="宋体" w:cs="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四</w:t>
      </w:r>
      <w:r>
        <w:rPr>
          <w:rFonts w:hint="eastAsia" w:ascii="宋体" w:hAnsi="宋体" w:cs="宋体"/>
          <w:sz w:val="32"/>
          <w:szCs w:val="32"/>
          <w:highlight w:val="none"/>
        </w:rPr>
        <w:t>：</w:t>
      </w:r>
      <w:r>
        <w:rPr>
          <w:rFonts w:ascii="宋体" w:hAnsi="宋体" w:cs="宋体"/>
          <w:sz w:val="32"/>
          <w:szCs w:val="32"/>
          <w:highlight w:val="none"/>
        </w:rPr>
        <w:t xml:space="preserve"> </w:t>
      </w:r>
    </w:p>
    <w:p>
      <w:pPr>
        <w:snapToGrid w:val="0"/>
        <w:spacing w:line="360" w:lineRule="auto"/>
        <w:jc w:val="center"/>
        <w:rPr>
          <w:rFonts w:ascii="宋体" w:hAnsi="宋体"/>
          <w:b/>
          <w:sz w:val="44"/>
          <w:szCs w:val="44"/>
          <w:highlight w:val="none"/>
        </w:rPr>
      </w:pPr>
      <w:r>
        <w:rPr>
          <w:rFonts w:hint="eastAsia" w:ascii="宋体" w:hAnsi="宋体"/>
          <w:b/>
          <w:sz w:val="44"/>
          <w:szCs w:val="44"/>
          <w:highlight w:val="none"/>
        </w:rPr>
        <w:t>承诺函</w:t>
      </w:r>
    </w:p>
    <w:p>
      <w:pPr>
        <w:snapToGrid w:val="0"/>
        <w:spacing w:line="360" w:lineRule="auto"/>
        <w:rPr>
          <w:rFonts w:ascii="宋体" w:hAnsi="宋体"/>
          <w:sz w:val="28"/>
          <w:szCs w:val="28"/>
          <w:highlight w:val="none"/>
        </w:rPr>
      </w:pPr>
      <w:r>
        <w:rPr>
          <w:rFonts w:hint="eastAsia" w:ascii="宋体" w:hAnsi="宋体"/>
          <w:sz w:val="28"/>
          <w:szCs w:val="28"/>
          <w:highlight w:val="none"/>
        </w:rPr>
        <w:t>致：福建省东南电化股份有限公司</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我方为对福建省东南电化股份有限公司员工接送车辆运输服务项目比选文件表示完全响应，遵照公告的要求，特此确认并承诺：</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1.我方确认，我方已仔细阅读并研究了贵方的公告及其附件，我方完全熟悉其中的要求、条款和条件，并充分了解比选情况。</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2.我方确认：我方完全同意比选文件制定的交易规则。接受比选文件中所制定的评分标准。</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3.我方承诺：我方为投标所提供的材料均为真实、合法、完整。</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4.我方保证：我方确认，我方完全接受比选文件及附件合同的全部条款。</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特此承诺。</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意向参选方（盖章）：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法定代表人或委托代理人（签字）：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地  址：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联系人：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电  话：                                 </w:t>
      </w:r>
    </w:p>
    <w:p>
      <w:pPr>
        <w:snapToGrid w:val="0"/>
        <w:spacing w:line="360" w:lineRule="auto"/>
        <w:rPr>
          <w:rFonts w:ascii="宋体" w:hAnsi="宋体"/>
          <w:sz w:val="28"/>
          <w:szCs w:val="28"/>
          <w:highlight w:val="none"/>
        </w:rPr>
      </w:pPr>
      <w:r>
        <w:rPr>
          <w:rFonts w:hint="eastAsia" w:ascii="宋体" w:hAnsi="宋体"/>
          <w:sz w:val="28"/>
          <w:szCs w:val="28"/>
          <w:highlight w:val="none"/>
        </w:rPr>
        <w:t xml:space="preserve">                                            年    月    日</w:t>
      </w:r>
    </w:p>
    <w:p>
      <w:pPr>
        <w:snapToGrid w:val="0"/>
        <w:spacing w:line="360" w:lineRule="auto"/>
        <w:rPr>
          <w:rFonts w:ascii="宋体" w:hAnsi="宋体"/>
          <w:sz w:val="28"/>
          <w:szCs w:val="28"/>
          <w:highlight w:val="none"/>
        </w:rPr>
      </w:pPr>
    </w:p>
    <w:p>
      <w:pPr>
        <w:snapToGrid w:val="0"/>
        <w:spacing w:line="360" w:lineRule="auto"/>
        <w:rPr>
          <w:rFonts w:ascii="宋体" w:hAnsi="宋体"/>
          <w:sz w:val="28"/>
          <w:szCs w:val="28"/>
          <w:highlight w:val="none"/>
        </w:rPr>
      </w:pPr>
    </w:p>
    <w:p>
      <w:pPr>
        <w:snapToGrid w:val="0"/>
        <w:spacing w:line="360" w:lineRule="auto"/>
        <w:rPr>
          <w:rFonts w:ascii="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swiss"/>
    <w:pitch w:val="default"/>
    <w:sig w:usb0="00000000" w:usb1="00000000" w:usb2="00000010" w:usb3="00000000" w:csb0="00040000" w:csb1="00000000"/>
  </w:font>
  <w:font w:name="Courier New">
    <w:panose1 w:val="02070309020205020404"/>
    <w:charset w:val="00"/>
    <w:family w:val="swiss"/>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黑体">
    <w:panose1 w:val="02010609060101010101"/>
    <w:charset w:val="86"/>
    <w:family w:val="decorative"/>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decorative"/>
    <w:pitch w:val="default"/>
    <w:sig w:usb0="E0002AFF" w:usb1="C0007843" w:usb2="00000009" w:usb3="00000000" w:csb0="400001FF" w:csb1="FFFF0000"/>
  </w:font>
  <w:font w:name="Calibri Light">
    <w:altName w:val="Times New Roman"/>
    <w:panose1 w:val="00000000000000000000"/>
    <w:charset w:val="00"/>
    <w:family w:val="modern"/>
    <w:pitch w:val="default"/>
    <w:sig w:usb0="00000000" w:usb1="00000000" w:usb2="00000000" w:usb3="00000000" w:csb0="00000000" w:csb1="00000000"/>
  </w:font>
  <w:font w:name="Arial">
    <w:panose1 w:val="020B0604020202020204"/>
    <w:charset w:val="00"/>
    <w:family w:val="roman"/>
    <w:pitch w:val="default"/>
    <w:sig w:usb0="E0002AFF" w:usb1="C0007843" w:usb2="00000009" w:usb3="00000000" w:csb0="400001FF" w:csb1="FFFF0000"/>
  </w:font>
  <w:font w:name="Calibri Light">
    <w:altName w:val="Times New Roman"/>
    <w:panose1 w:val="00000000000000000000"/>
    <w:charset w:val="00"/>
    <w:family w:val="swiss"/>
    <w:pitch w:val="default"/>
    <w:sig w:usb0="00000000" w:usb1="00000000" w:usb2="00000000" w:usb3="00000000" w:csb0="00000000" w:csb1="00000000"/>
  </w:font>
  <w:font w:name="Arial">
    <w:panose1 w:val="020B0604020202020204"/>
    <w:charset w:val="00"/>
    <w:family w:val="modern"/>
    <w:pitch w:val="default"/>
    <w:sig w:usb0="E0002AFF" w:usb1="C0007843" w:usb2="00000009" w:usb3="00000000" w:csb0="400001FF" w:csb1="FFFF0000"/>
  </w:font>
  <w:font w:name="Calibri Light">
    <w:altName w:val="Times New Roman"/>
    <w:panose1 w:val="00000000000000000000"/>
    <w:charset w:val="00"/>
    <w:family w:val="decorative"/>
    <w:pitch w:val="default"/>
    <w:sig w:usb0="00000000" w:usb1="00000000" w:usb2="00000000" w:usb3="00000000" w:csb0="00000000"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Arial Narrow">
    <w:altName w:val="Arial"/>
    <w:panose1 w:val="020B0606020202030204"/>
    <w:charset w:val="00"/>
    <w:family w:val="modern"/>
    <w:pitch w:val="default"/>
    <w:sig w:usb0="00000000" w:usb1="00000000" w:usb2="00000000" w:usb3="00000000" w:csb0="2000009F" w:csb1="DFD7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Arial Narrow">
    <w:altName w:val="Arial"/>
    <w:panose1 w:val="020B0606020202030204"/>
    <w:charset w:val="00"/>
    <w:family w:val="decorative"/>
    <w:pitch w:val="default"/>
    <w:sig w:usb0="00000000" w:usb1="00000000" w:usb2="00000000" w:usb3="00000000" w:csb0="2000009F" w:csb1="DFD70000"/>
  </w:font>
  <w:font w:name="Tahoma">
    <w:panose1 w:val="020B0604030504040204"/>
    <w:charset w:val="00"/>
    <w:family w:val="decorative"/>
    <w:pitch w:val="default"/>
    <w:sig w:usb0="E1002EFF" w:usb1="C000605B" w:usb2="00000029" w:usb3="00000000" w:csb0="200101FF" w:csb1="20280000"/>
  </w:font>
  <w:font w:name="楷体_GB2312">
    <w:altName w:val="楷体"/>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10006FF" w:usb1="4000205B" w:usb2="00000010" w:usb3="00000000" w:csb0="2000019F" w:csb1="00000000"/>
  </w:font>
  <w:font w:name="Arial Narrow">
    <w:altName w:val="Arial"/>
    <w:panose1 w:val="020B0606020202030204"/>
    <w:charset w:val="00"/>
    <w:family w:val="roman"/>
    <w:pitch w:val="default"/>
    <w:sig w:usb0="00000000" w:usb1="00000000" w:usb2="00000000" w:usb3="00000000" w:csb0="2000009F" w:csb1="DFD70000"/>
  </w:font>
  <w:font w:name="Tahoma">
    <w:panose1 w:val="020B0604030504040204"/>
    <w:charset w:val="00"/>
    <w:family w:val="roman"/>
    <w:pitch w:val="default"/>
    <w:sig w:usb0="E1002EFF" w:usb1="C000605B" w:usb2="00000029" w:usb3="00000000" w:csb0="200101FF" w:csb1="2028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framePr w:wrap="around" w:vAnchor="text" w:hAnchor="margin" w:xAlign="center" w:y="2"/>
      <w:rPr>
        <w:rStyle w:val="9"/>
      </w:rPr>
    </w:pPr>
    <w:r>
      <w:fldChar w:fldCharType="begin"/>
    </w:r>
    <w:r>
      <w:rPr>
        <w:rStyle w:val="9"/>
      </w:rPr>
      <w:instrText xml:space="preserve">PAGE  </w:instrText>
    </w:r>
    <w:r>
      <w:fldChar w:fldCharType="separate"/>
    </w:r>
    <w:r>
      <w:rPr>
        <w:rStyle w:val="9"/>
      </w:rPr>
      <w:t>21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BC24943"/>
    <w:rsid w:val="1B29785E"/>
    <w:rsid w:val="1CB65224"/>
    <w:rsid w:val="1CBB16AC"/>
    <w:rsid w:val="1F9259C0"/>
    <w:rsid w:val="21D21BDF"/>
    <w:rsid w:val="26A540B6"/>
    <w:rsid w:val="31360377"/>
    <w:rsid w:val="31C033D3"/>
    <w:rsid w:val="375C4740"/>
    <w:rsid w:val="39286C80"/>
    <w:rsid w:val="3C3916A0"/>
    <w:rsid w:val="47A21DC0"/>
    <w:rsid w:val="4CD67406"/>
    <w:rsid w:val="4E4D4E5A"/>
    <w:rsid w:val="57920FA3"/>
    <w:rsid w:val="58175C7F"/>
    <w:rsid w:val="5C9E26AE"/>
    <w:rsid w:val="6C724E84"/>
    <w:rsid w:val="6E34701A"/>
    <w:rsid w:val="71AC1F2B"/>
    <w:rsid w:val="785A1E9D"/>
    <w:rsid w:val="7B117A8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styleId="2">
    <w:name w:val="heading 1"/>
    <w:basedOn w:val="1"/>
    <w:next w:val="1"/>
    <w:link w:val="18"/>
    <w:qFormat/>
    <w:uiPriority w:val="99"/>
    <w:pPr>
      <w:keepNext/>
      <w:keepLines/>
      <w:adjustRightInd/>
      <w:spacing w:before="340" w:after="330" w:line="578" w:lineRule="auto"/>
      <w:textAlignment w:val="auto"/>
      <w:outlineLvl w:val="0"/>
    </w:pPr>
    <w:rPr>
      <w:b/>
      <w:bCs/>
      <w:kern w:val="44"/>
      <w:sz w:val="44"/>
      <w:szCs w:val="44"/>
    </w:rPr>
  </w:style>
  <w:style w:type="character" w:default="1" w:styleId="8">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2"/>
      <w:sz w:val="21"/>
      <w:szCs w:val="21"/>
    </w:rPr>
  </w:style>
  <w:style w:type="paragraph" w:styleId="4">
    <w:name w:val="Plain Text"/>
    <w:basedOn w:val="1"/>
    <w:link w:val="20"/>
    <w:qFormat/>
    <w:uiPriority w:val="99"/>
    <w:rPr>
      <w:rFonts w:ascii="宋体" w:hAnsi="Courier New" w:cs="宋体"/>
      <w:kern w:val="2"/>
      <w:sz w:val="21"/>
      <w:szCs w:val="21"/>
    </w:rPr>
  </w:style>
  <w:style w:type="paragraph" w:styleId="5">
    <w:name w:val="Balloon Text"/>
    <w:basedOn w:val="1"/>
    <w:link w:val="23"/>
    <w:semiHidden/>
    <w:qFormat/>
    <w:uiPriority w:val="99"/>
    <w:pPr>
      <w:spacing w:line="240" w:lineRule="auto"/>
    </w:pPr>
    <w:rPr>
      <w:sz w:val="18"/>
      <w:szCs w:val="18"/>
    </w:rPr>
  </w:style>
  <w:style w:type="paragraph" w:styleId="6">
    <w:name w:val="footer"/>
    <w:basedOn w:val="1"/>
    <w:link w:val="22"/>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page number"/>
    <w:basedOn w:val="8"/>
    <w:unhideWhenUsed/>
    <w:qFormat/>
    <w:uiPriority w:val="99"/>
  </w:style>
  <w:style w:type="character" w:styleId="10">
    <w:name w:val="FollowedHyperlink"/>
    <w:basedOn w:val="8"/>
    <w:unhideWhenUsed/>
    <w:qFormat/>
    <w:uiPriority w:val="99"/>
    <w:rPr>
      <w:color w:val="296FBE"/>
      <w:u w:val="none"/>
    </w:rPr>
  </w:style>
  <w:style w:type="character" w:styleId="11">
    <w:name w:val="HTML Definition"/>
    <w:basedOn w:val="8"/>
    <w:unhideWhenUsed/>
    <w:qFormat/>
    <w:uiPriority w:val="99"/>
  </w:style>
  <w:style w:type="character" w:styleId="12">
    <w:name w:val="HTML Variable"/>
    <w:basedOn w:val="8"/>
    <w:unhideWhenUsed/>
    <w:qFormat/>
    <w:uiPriority w:val="99"/>
  </w:style>
  <w:style w:type="character" w:styleId="13">
    <w:name w:val="Hyperlink"/>
    <w:basedOn w:val="8"/>
    <w:unhideWhenUsed/>
    <w:qFormat/>
    <w:uiPriority w:val="99"/>
    <w:rPr>
      <w:color w:val="296FBE"/>
      <w:u w:val="none"/>
    </w:rPr>
  </w:style>
  <w:style w:type="character" w:styleId="14">
    <w:name w:val="HTML Code"/>
    <w:basedOn w:val="8"/>
    <w:unhideWhenUsed/>
    <w:qFormat/>
    <w:uiPriority w:val="99"/>
    <w:rPr>
      <w:rFonts w:ascii="微软雅黑" w:hAnsi="微软雅黑" w:eastAsia="微软雅黑" w:cs="微软雅黑"/>
      <w:sz w:val="20"/>
    </w:rPr>
  </w:style>
  <w:style w:type="character" w:styleId="15">
    <w:name w:val="HTML Cite"/>
    <w:basedOn w:val="8"/>
    <w:unhideWhenUsed/>
    <w:qFormat/>
    <w:uiPriority w:val="99"/>
  </w:style>
  <w:style w:type="table" w:styleId="17">
    <w:name w:val="Table Grid"/>
    <w:basedOn w:val="16"/>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标题 1 Char"/>
    <w:basedOn w:val="8"/>
    <w:link w:val="2"/>
    <w:qFormat/>
    <w:locked/>
    <w:uiPriority w:val="99"/>
    <w:rPr>
      <w:rFonts w:ascii="Times New Roman" w:hAnsi="Times New Roman" w:eastAsia="宋体" w:cs="Times New Roman"/>
      <w:b/>
      <w:bCs/>
      <w:kern w:val="44"/>
      <w:sz w:val="44"/>
      <w:szCs w:val="44"/>
    </w:rPr>
  </w:style>
  <w:style w:type="paragraph" w:customStyle="1" w:styleId="19">
    <w:name w:val="正文文本缩进1"/>
    <w:basedOn w:val="1"/>
    <w:qFormat/>
    <w:uiPriority w:val="99"/>
    <w:pPr>
      <w:ind w:firstLine="630"/>
    </w:pPr>
    <w:rPr>
      <w:rFonts w:eastAsia="仿宋_GB2312"/>
      <w:sz w:val="24"/>
      <w:szCs w:val="24"/>
    </w:rPr>
  </w:style>
  <w:style w:type="character" w:customStyle="1" w:styleId="20">
    <w:name w:val="纯文本 Char"/>
    <w:basedOn w:val="8"/>
    <w:link w:val="4"/>
    <w:qFormat/>
    <w:locked/>
    <w:uiPriority w:val="99"/>
    <w:rPr>
      <w:rFonts w:ascii="宋体" w:hAnsi="Courier New" w:eastAsia="宋体" w:cs="宋体"/>
      <w:sz w:val="20"/>
      <w:szCs w:val="20"/>
    </w:rPr>
  </w:style>
  <w:style w:type="character" w:customStyle="1" w:styleId="21">
    <w:name w:val="页眉 Char"/>
    <w:basedOn w:val="8"/>
    <w:link w:val="7"/>
    <w:qFormat/>
    <w:locked/>
    <w:uiPriority w:val="99"/>
    <w:rPr>
      <w:rFonts w:ascii="Times New Roman" w:hAnsi="Times New Roman" w:eastAsia="宋体" w:cs="Times New Roman"/>
      <w:kern w:val="0"/>
      <w:sz w:val="18"/>
      <w:szCs w:val="18"/>
    </w:rPr>
  </w:style>
  <w:style w:type="character" w:customStyle="1" w:styleId="22">
    <w:name w:val="页脚 Char"/>
    <w:basedOn w:val="8"/>
    <w:link w:val="6"/>
    <w:qFormat/>
    <w:locked/>
    <w:uiPriority w:val="99"/>
    <w:rPr>
      <w:rFonts w:ascii="Times New Roman" w:hAnsi="Times New Roman" w:eastAsia="宋体" w:cs="Times New Roman"/>
      <w:kern w:val="0"/>
      <w:sz w:val="18"/>
      <w:szCs w:val="18"/>
    </w:rPr>
  </w:style>
  <w:style w:type="character" w:customStyle="1" w:styleId="23">
    <w:name w:val="批注框文本 Char"/>
    <w:basedOn w:val="8"/>
    <w:link w:val="5"/>
    <w:semiHidden/>
    <w:qFormat/>
    <w:locked/>
    <w:uiPriority w:val="99"/>
    <w:rPr>
      <w:rFonts w:ascii="Times New Roman" w:hAnsi="Times New Roman" w:eastAsia="宋体" w:cs="Times New Roman"/>
      <w:kern w:val="0"/>
      <w:sz w:val="18"/>
      <w:szCs w:val="18"/>
    </w:rPr>
  </w:style>
  <w:style w:type="character" w:customStyle="1" w:styleId="24">
    <w:name w:val="cy"/>
    <w:basedOn w:val="8"/>
    <w:qFormat/>
    <w:uiPriority w:val="0"/>
  </w:style>
  <w:style w:type="character" w:customStyle="1" w:styleId="25">
    <w:name w:val="xdrichtextbox"/>
    <w:basedOn w:val="8"/>
    <w:qFormat/>
    <w:uiPriority w:val="0"/>
    <w:rPr>
      <w:color w:val="auto"/>
      <w:sz w:val="18"/>
      <w:szCs w:val="18"/>
      <w:u w:val="none"/>
      <w:bdr w:val="single" w:color="DCDCDC" w:sz="8" w:space="0"/>
      <w:shd w:val="clear" w:fill="auto"/>
    </w:rPr>
  </w:style>
  <w:style w:type="character" w:customStyle="1" w:styleId="26">
    <w:name w:val="drapbtn"/>
    <w:basedOn w:val="8"/>
    <w:qFormat/>
    <w:uiPriority w:val="0"/>
  </w:style>
  <w:style w:type="character" w:customStyle="1" w:styleId="27">
    <w:name w:val="w32"/>
    <w:basedOn w:val="8"/>
    <w:qFormat/>
    <w:uiPriority w:val="0"/>
  </w:style>
  <w:style w:type="character" w:customStyle="1" w:styleId="28">
    <w:name w:val="design_class"/>
    <w:basedOn w:val="8"/>
    <w:qFormat/>
    <w:uiPriority w:val="0"/>
  </w:style>
  <w:style w:type="character" w:customStyle="1" w:styleId="29">
    <w:name w:val="cdropright"/>
    <w:basedOn w:val="8"/>
    <w:qFormat/>
    <w:uiPriority w:val="0"/>
  </w:style>
  <w:style w:type="character" w:customStyle="1" w:styleId="30">
    <w:name w:val="browse_class&gt;input"/>
    <w:basedOn w:val="8"/>
    <w:qFormat/>
    <w:uiPriority w:val="0"/>
    <w:rPr>
      <w:shd w:val="clear" w:fill="F8F8F8"/>
    </w:rPr>
  </w:style>
  <w:style w:type="character" w:customStyle="1" w:styleId="31">
    <w:name w:val="biggerthanmax"/>
    <w:basedOn w:val="8"/>
    <w:qFormat/>
    <w:uiPriority w:val="0"/>
    <w:rPr>
      <w:shd w:val="clear" w:fill="FFFF00"/>
    </w:rPr>
  </w:style>
  <w:style w:type="character" w:customStyle="1" w:styleId="32">
    <w:name w:val="browse_class&gt;span"/>
    <w:basedOn w:val="8"/>
    <w:qFormat/>
    <w:uiPriority w:val="0"/>
    <w:rPr>
      <w:shd w:val="clear" w:fill="F8F8F8"/>
    </w:rPr>
  </w:style>
  <w:style w:type="character" w:customStyle="1" w:styleId="33">
    <w:name w:val="hilite6"/>
    <w:basedOn w:val="8"/>
    <w:qFormat/>
    <w:uiPriority w:val="0"/>
    <w:rPr>
      <w:color w:val="FFFFFF"/>
      <w:shd w:val="clear" w:fill="666677"/>
    </w:rPr>
  </w:style>
  <w:style w:type="character" w:customStyle="1" w:styleId="34">
    <w:name w:val="cdropleft"/>
    <w:basedOn w:val="8"/>
    <w:qFormat/>
    <w:uiPriority w:val="0"/>
  </w:style>
  <w:style w:type="character" w:customStyle="1" w:styleId="35">
    <w:name w:val="active6"/>
    <w:basedOn w:val="8"/>
    <w:qFormat/>
    <w:uiPriority w:val="0"/>
    <w:rPr>
      <w:color w:val="00FF00"/>
      <w:shd w:val="clear" w:fill="111111"/>
    </w:rPr>
  </w:style>
  <w:style w:type="character" w:customStyle="1" w:styleId="36">
    <w:name w:val="button"/>
    <w:basedOn w:val="8"/>
    <w:qFormat/>
    <w:uiPriority w:val="0"/>
  </w:style>
  <w:style w:type="character" w:customStyle="1" w:styleId="37">
    <w:name w:val="tmpztreemove_arrow"/>
    <w:basedOn w:val="8"/>
    <w:qFormat/>
    <w:uiPriority w:val="0"/>
  </w:style>
  <w:style w:type="character" w:customStyle="1" w:styleId="38">
    <w:name w:val="browse_class&gt;label"/>
    <w:basedOn w:val="8"/>
    <w:qFormat/>
    <w:uiPriority w:val="0"/>
    <w:rPr>
      <w:shd w:val="clear" w:fill="F8F8F8"/>
    </w:rPr>
  </w:style>
  <w:style w:type="character" w:customStyle="1" w:styleId="39">
    <w:name w:val="pagechatarealistclose_box"/>
    <w:basedOn w:val="8"/>
    <w:qFormat/>
    <w:uiPriority w:val="0"/>
  </w:style>
  <w:style w:type="character" w:customStyle="1" w:styleId="40">
    <w:name w:val="pagechatarealistclose_box1"/>
    <w:basedOn w:val="8"/>
    <w:qFormat/>
    <w:uiPriority w:val="0"/>
  </w:style>
  <w:style w:type="character" w:customStyle="1" w:styleId="41">
    <w:name w:val="ico1652"/>
    <w:basedOn w:val="8"/>
    <w:qFormat/>
    <w:uiPriority w:val="0"/>
  </w:style>
  <w:style w:type="character" w:customStyle="1" w:styleId="42">
    <w:name w:val="ico1653"/>
    <w:basedOn w:val="8"/>
    <w:qFormat/>
    <w:uiPriority w:val="0"/>
  </w:style>
  <w:style w:type="character" w:customStyle="1" w:styleId="43">
    <w:name w:val="token-input-delete-token"/>
    <w:basedOn w:val="8"/>
    <w:qFormat/>
    <w:uiPriority w:val="0"/>
    <w:rPr>
      <w:color w:val="FFFFFF"/>
    </w:rPr>
  </w:style>
  <w:style w:type="character" w:customStyle="1" w:styleId="44">
    <w:name w:val="edit_class"/>
    <w:basedOn w:val="8"/>
    <w:qFormat/>
    <w:uiPriority w:val="0"/>
  </w:style>
  <w:style w:type="character" w:customStyle="1" w:styleId="45">
    <w:name w:val="ico1654"/>
    <w:basedOn w:val="8"/>
    <w:qFormat/>
    <w:uiPriority w:val="0"/>
  </w:style>
  <w:style w:type="character" w:customStyle="1" w:styleId="46">
    <w:name w:val="button2"/>
    <w:basedOn w:val="8"/>
    <w:qFormat/>
    <w:uiPriority w:val="0"/>
  </w:style>
  <w:style w:type="character" w:customStyle="1" w:styleId="47">
    <w:name w:val="active10"/>
    <w:basedOn w:val="8"/>
    <w:qFormat/>
    <w:uiPriority w:val="0"/>
    <w:rPr>
      <w:color w:val="00FF00"/>
      <w:shd w:val="clear" w:fill="111111"/>
    </w:rPr>
  </w:style>
  <w:style w:type="character" w:customStyle="1" w:styleId="48">
    <w:name w:val="xdrichtextbox2"/>
    <w:basedOn w:val="8"/>
    <w:qFormat/>
    <w:uiPriority w:val="0"/>
  </w:style>
  <w:style w:type="character" w:customStyle="1" w:styleId="49">
    <w:name w:val="active"/>
    <w:basedOn w:val="8"/>
    <w:qFormat/>
    <w:uiPriority w:val="0"/>
    <w:rPr>
      <w:color w:val="00FF00"/>
      <w:shd w:val="clear" w:fill="111111"/>
    </w:rPr>
  </w:style>
  <w:style w:type="character" w:customStyle="1" w:styleId="50">
    <w:name w:val="ico1655"/>
    <w:basedOn w:val="8"/>
    <w:qFormat/>
    <w:uiPriority w:val="0"/>
  </w:style>
  <w:style w:type="character" w:customStyle="1" w:styleId="51">
    <w:name w:val="hilite"/>
    <w:basedOn w:val="8"/>
    <w:qFormat/>
    <w:uiPriority w:val="0"/>
    <w:rPr>
      <w:color w:val="FFFFFF"/>
      <w:shd w:val="clear" w:fill="666677"/>
    </w:rPr>
  </w:style>
  <w:style w:type="character" w:customStyle="1" w:styleId="52">
    <w:name w:val="active12"/>
    <w:basedOn w:val="8"/>
    <w:qFormat/>
    <w:uiPriority w:val="0"/>
    <w:rPr>
      <w:color w:val="00FF00"/>
      <w:shd w:val="clear" w:fill="111111"/>
    </w:rPr>
  </w:style>
  <w:style w:type="character" w:customStyle="1" w:styleId="53">
    <w:name w:val="hilite5"/>
    <w:basedOn w:val="8"/>
    <w:qFormat/>
    <w:uiPriority w:val="0"/>
    <w:rPr>
      <w:color w:val="FFFFFF"/>
      <w:shd w:val="clear" w:fill="666677"/>
    </w:rPr>
  </w:style>
  <w:style w:type="character" w:customStyle="1" w:styleId="54">
    <w:name w:val="hilite4"/>
    <w:basedOn w:val="8"/>
    <w:qFormat/>
    <w:uiPriority w:val="0"/>
    <w:rPr>
      <w:color w:val="FFFFFF"/>
      <w:shd w:val="clear" w:fill="666677"/>
    </w:rPr>
  </w:style>
  <w:style w:type="character" w:customStyle="1" w:styleId="55">
    <w:name w:val="ico16"/>
    <w:basedOn w:val="8"/>
    <w:qFormat/>
    <w:uiPriority w:val="0"/>
  </w:style>
  <w:style w:type="character" w:customStyle="1" w:styleId="56">
    <w:name w:val="ico161"/>
    <w:basedOn w:val="8"/>
    <w:qFormat/>
    <w:uiPriority w:val="0"/>
  </w:style>
  <w:style w:type="character" w:customStyle="1" w:styleId="57">
    <w:name w:val="active8"/>
    <w:basedOn w:val="8"/>
    <w:qFormat/>
    <w:uiPriority w:val="0"/>
    <w:rPr>
      <w:color w:val="00FF00"/>
      <w:shd w:val="clear" w:fill="111111"/>
    </w:rPr>
  </w:style>
  <w:style w:type="character" w:customStyle="1" w:styleId="58">
    <w:name w:val="font11"/>
    <w:basedOn w:val="8"/>
    <w:qFormat/>
    <w:uiPriority w:val="0"/>
    <w:rPr>
      <w:rFonts w:hint="eastAsia" w:ascii="宋体" w:hAnsi="宋体" w:eastAsia="宋体" w:cs="宋体"/>
      <w:color w:val="000000"/>
      <w:sz w:val="22"/>
      <w:szCs w:val="22"/>
      <w:u w:val="none"/>
    </w:rPr>
  </w:style>
  <w:style w:type="character" w:customStyle="1" w:styleId="59">
    <w:name w:val="active1"/>
    <w:basedOn w:val="8"/>
    <w:uiPriority w:val="0"/>
    <w:rPr>
      <w:color w:val="00FF00"/>
      <w:shd w:val="clear" w:fill="111111"/>
    </w:rPr>
  </w:style>
  <w:style w:type="character" w:customStyle="1" w:styleId="60">
    <w:name w:val="active11"/>
    <w:basedOn w:val="8"/>
    <w:qFormat/>
    <w:uiPriority w:val="0"/>
    <w:rPr>
      <w:color w:val="00FF00"/>
      <w:shd w:val="clear" w:fill="111111"/>
    </w:rPr>
  </w:style>
  <w:style w:type="character" w:customStyle="1" w:styleId="61">
    <w:name w:val="active5"/>
    <w:basedOn w:val="8"/>
    <w:qFormat/>
    <w:uiPriority w:val="0"/>
    <w:rPr>
      <w:color w:val="00FF00"/>
      <w:shd w:val="clear" w:fill="11111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935</Words>
  <Characters>5333</Characters>
  <Lines>44</Lines>
  <Paragraphs>12</Paragraphs>
  <ScaleCrop>false</ScaleCrop>
  <LinksUpToDate>false</LinksUpToDate>
  <CharactersWithSpaces>6256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2016-10-27T03:48:00Z</dcterms:created>
  <dc:creator>林哲宇</dc:creator>
  <cp:lastModifiedBy>林哲宇</cp:lastModifiedBy>
  <cp:lastPrinted>2014-11-27T06:04:00Z</cp:lastPrinted>
  <dcterms:modified xsi:type="dcterms:W3CDTF">2019-02-22T01:42:55Z</dcterms:modified>
  <dc:title>福建省东南电化股份有限公司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