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福建省东南电化股份有限公司</w:t>
      </w: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月饼采购项目</w:t>
      </w:r>
    </w:p>
    <w:p>
      <w:pPr>
        <w:jc w:val="center"/>
        <w:rPr>
          <w:rFonts w:cs="黑体" w:asciiTheme="minorEastAsia" w:hAnsiTheme="minorEastAsia" w:eastAsiaTheme="minorEastAsia"/>
          <w:b/>
          <w:bCs/>
          <w:sz w:val="52"/>
          <w:szCs w:val="52"/>
        </w:rPr>
      </w:pPr>
    </w:p>
    <w:p>
      <w:pP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52"/>
          <w:szCs w:val="52"/>
        </w:rPr>
      </w:pP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二〇一八年八月</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目         录</w:t>
      </w:r>
    </w:p>
    <w:p>
      <w:pPr>
        <w:jc w:val="left"/>
        <w:rPr>
          <w:rFonts w:cs="宋体" w:asciiTheme="minorEastAsia" w:hAnsiTheme="minorEastAsia" w:eastAsiaTheme="minorEastAsia"/>
          <w:color w:val="000000"/>
          <w:sz w:val="32"/>
          <w:szCs w:val="32"/>
        </w:rPr>
      </w:pP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第一章   比选公告</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第二章   比选须知</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tabs>
          <w:tab w:val="left" w:pos="1260"/>
          <w:tab w:val="left" w:pos="1800"/>
        </w:tabs>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 xml:space="preserve"> 第八章   其它</w:t>
      </w:r>
    </w:p>
    <w:p>
      <w:pPr>
        <w:ind w:firstLine="720" w:firstLineChars="225"/>
        <w:jc w:val="left"/>
        <w:rPr>
          <w:rFonts w:cs="宋体" w:asciiTheme="minorEastAsia" w:hAnsiTheme="minorEastAsia" w:eastAsiaTheme="minorEastAsia"/>
          <w:color w:val="000000"/>
          <w:sz w:val="32"/>
          <w:szCs w:val="32"/>
        </w:rPr>
      </w:pP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ind w:firstLine="640" w:firstLineChars="200"/>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ind w:firstLine="640" w:firstLineChars="200"/>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ind w:firstLine="640" w:firstLineChars="200"/>
        <w:jc w:val="left"/>
        <w:rPr>
          <w:rFonts w:cs="宋体" w:asciiTheme="minorEastAsia" w:hAnsiTheme="minorEastAsia" w:eastAsiaTheme="minorEastAsia"/>
          <w:sz w:val="32"/>
          <w:szCs w:val="32"/>
        </w:rPr>
      </w:pPr>
      <w:r>
        <w:rPr>
          <w:rFonts w:cs="宋体" w:asciiTheme="minorEastAsia" w:hAnsiTheme="minorEastAsia" w:eastAsiaTheme="minorEastAsia"/>
          <w:sz w:val="32"/>
          <w:szCs w:val="32"/>
        </w:rPr>
        <w:t>附件四</w:t>
      </w:r>
      <w:r>
        <w:rPr>
          <w:rFonts w:hint="eastAsia" w:cs="宋体" w:asciiTheme="minorEastAsia" w:hAnsiTheme="minorEastAsia" w:eastAsiaTheme="minorEastAsia"/>
          <w:sz w:val="32"/>
          <w:szCs w:val="32"/>
        </w:rPr>
        <w:t>：</w:t>
      </w:r>
      <w:r>
        <w:rPr>
          <w:rFonts w:cs="宋体" w:asciiTheme="minorEastAsia" w:hAnsiTheme="minorEastAsia" w:eastAsiaTheme="minorEastAsia"/>
          <w:sz w:val="32"/>
          <w:szCs w:val="32"/>
        </w:rPr>
        <w:t>合同范本</w:t>
      </w: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ind w:firstLine="560" w:firstLineChars="200"/>
        <w:jc w:val="center"/>
        <w:rPr>
          <w:rFonts w:cs="宋体" w:asciiTheme="minorEastAsia" w:hAnsiTheme="minorEastAsia" w:eastAsiaTheme="minorEastAsia"/>
          <w:sz w:val="28"/>
          <w:szCs w:val="28"/>
        </w:rPr>
      </w:pPr>
    </w:p>
    <w:p>
      <w:pPr>
        <w:jc w:val="center"/>
        <w:rPr>
          <w:rFonts w:cs="宋体" w:asciiTheme="minorEastAsia" w:hAnsiTheme="minorEastAsia" w:eastAsiaTheme="minorEastAsia"/>
          <w:b/>
          <w:color w:val="000000"/>
          <w:sz w:val="32"/>
          <w:szCs w:val="32"/>
        </w:rPr>
      </w:pPr>
      <w:r>
        <w:rPr>
          <w:rFonts w:hint="eastAsia" w:cs="宋体" w:asciiTheme="minorEastAsia" w:hAnsiTheme="minorEastAsia" w:eastAsiaTheme="minorEastAsia"/>
          <w:b/>
          <w:color w:val="000000"/>
          <w:sz w:val="32"/>
          <w:szCs w:val="32"/>
        </w:rPr>
        <w:t>第一章   比选公告</w:t>
      </w:r>
    </w:p>
    <w:p>
      <w:pPr>
        <w:rPr>
          <w:rFonts w:cs="宋体" w:asciiTheme="minorEastAsia" w:hAnsiTheme="minorEastAsia" w:eastAsiaTheme="minorEastAsia"/>
          <w:b/>
          <w:color w:val="000000"/>
          <w:sz w:val="28"/>
          <w:szCs w:val="28"/>
        </w:rPr>
      </w:pPr>
      <w:r>
        <w:rPr>
          <w:rFonts w:hint="eastAsia" w:cs="宋体" w:asciiTheme="minorEastAsia" w:hAnsiTheme="minorEastAsia" w:eastAsiaTheme="minorEastAsia"/>
          <w:b/>
          <w:color w:val="000000"/>
          <w:sz w:val="28"/>
          <w:szCs w:val="28"/>
        </w:rPr>
        <w:t>1、介绍</w:t>
      </w:r>
    </w:p>
    <w:p>
      <w:pPr>
        <w:ind w:firstLine="560" w:firstLineChars="200"/>
        <w:jc w:val="left"/>
        <w:rPr>
          <w:rFonts w:cs="宋体" w:asciiTheme="minorEastAsia" w:hAnsiTheme="minorEastAsia" w:eastAsiaTheme="minorEastAsia"/>
          <w:color w:val="000000"/>
          <w:sz w:val="28"/>
          <w:szCs w:val="28"/>
        </w:rPr>
      </w:pPr>
      <w:r>
        <w:rPr>
          <w:rFonts w:hint="eastAsia" w:cs="宋体" w:asciiTheme="minorEastAsia" w:hAnsiTheme="minorEastAsia" w:eastAsiaTheme="minorEastAsia"/>
          <w:color w:val="000000"/>
          <w:sz w:val="28"/>
          <w:szCs w:val="28"/>
        </w:rPr>
        <w:t>福建省东南电化股份有限公司拟对本公司月饼采购项目进行立项比选。现对该项目进行公开比选，选定参选人。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福建省东南电化股份有限公司承诺本次自主比选不存在任何障碍，保证本公告的内容不存在任何重大遗漏、虚假陈述或严重误导，并对其内容的真实性、完整性和有效性负责。</w:t>
      </w:r>
    </w:p>
    <w:p>
      <w:pPr>
        <w:spacing w:line="460" w:lineRule="exact"/>
        <w:ind w:firstLine="560" w:firstLineChars="200"/>
        <w:rPr>
          <w:rFonts w:cs="宋体" w:asciiTheme="minorEastAsia" w:hAnsiTheme="minorEastAsia" w:eastAsiaTheme="minorEastAsia"/>
          <w:sz w:val="28"/>
          <w:szCs w:val="28"/>
        </w:rPr>
      </w:pPr>
      <w:r>
        <w:rPr>
          <w:rFonts w:hint="eastAsia" w:asciiTheme="minorEastAsia" w:hAnsiTheme="minorEastAsia" w:eastAsiaTheme="minorEastAsia"/>
          <w:sz w:val="28"/>
          <w:szCs w:val="28"/>
        </w:rPr>
        <w:t>为了“公开、公平、公正、透明”，引导参选人进行正确参选，特制定本规定文件</w:t>
      </w: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color w:val="000000"/>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tabs>
          <w:tab w:val="left" w:pos="2595"/>
          <w:tab w:val="center" w:pos="4593"/>
        </w:tabs>
        <w:spacing w:line="480" w:lineRule="exact"/>
        <w:jc w:val="center"/>
        <w:rPr>
          <w:rFonts w:asciiTheme="minorEastAsia" w:hAnsiTheme="minorEastAsia" w:eastAsiaTheme="minorEastAsia"/>
          <w:b/>
          <w:sz w:val="28"/>
          <w:szCs w:val="28"/>
        </w:rPr>
      </w:pPr>
    </w:p>
    <w:p>
      <w:pPr>
        <w:ind w:firstLine="723" w:firstLineChars="225"/>
        <w:jc w:val="center"/>
        <w:rPr>
          <w:rFonts w:cs="宋体" w:asciiTheme="minorEastAsia" w:hAnsiTheme="minorEastAsia" w:eastAsiaTheme="minorEastAsia"/>
          <w:b/>
          <w:sz w:val="32"/>
          <w:szCs w:val="32"/>
        </w:rPr>
      </w:pPr>
      <w:r>
        <w:rPr>
          <w:rFonts w:hint="eastAsia" w:cs="宋体" w:asciiTheme="minorEastAsia" w:hAnsiTheme="minorEastAsia" w:eastAsiaTheme="minorEastAsia"/>
          <w:b/>
          <w:sz w:val="32"/>
          <w:szCs w:val="32"/>
        </w:rPr>
        <w:t>第二章   比选须知</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1、比选范围</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1.1福建省东南电化股份有限公司</w:t>
      </w:r>
      <w:r>
        <w:rPr>
          <w:rFonts w:hint="eastAsia" w:cs="宋体" w:asciiTheme="minorEastAsia" w:hAnsiTheme="minorEastAsia" w:eastAsiaTheme="minorEastAsia"/>
          <w:color w:val="000000"/>
          <w:sz w:val="28"/>
          <w:szCs w:val="28"/>
        </w:rPr>
        <w:t>月饼</w:t>
      </w:r>
      <w:r>
        <w:rPr>
          <w:rFonts w:hint="eastAsia" w:asciiTheme="minorEastAsia" w:hAnsiTheme="minorEastAsia" w:eastAsiaTheme="minorEastAsia"/>
          <w:sz w:val="28"/>
          <w:szCs w:val="28"/>
        </w:rPr>
        <w:t>采购项目。</w:t>
      </w:r>
    </w:p>
    <w:tbl>
      <w:tblPr>
        <w:tblStyle w:val="9"/>
        <w:tblW w:w="70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9"/>
        <w:gridCol w:w="3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jc w:val="center"/>
        </w:trPr>
        <w:tc>
          <w:tcPr>
            <w:tcW w:w="3049" w:type="dxa"/>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名称</w:t>
            </w:r>
          </w:p>
        </w:tc>
        <w:tc>
          <w:tcPr>
            <w:tcW w:w="3971" w:type="dxa"/>
            <w:vAlign w:val="center"/>
          </w:tcPr>
          <w:p>
            <w:pPr>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3049" w:type="dxa"/>
            <w:vAlign w:val="center"/>
          </w:tcPr>
          <w:p>
            <w:pPr>
              <w:jc w:val="center"/>
              <w:rPr>
                <w:rFonts w:asciiTheme="minorEastAsia" w:hAnsiTheme="minorEastAsia" w:eastAsiaTheme="minorEastAsia"/>
                <w:sz w:val="24"/>
                <w:szCs w:val="24"/>
              </w:rPr>
            </w:pPr>
            <w:r>
              <w:rPr>
                <w:rFonts w:hint="eastAsia" w:cs="宋体" w:asciiTheme="minorEastAsia" w:hAnsiTheme="minorEastAsia" w:eastAsiaTheme="minorEastAsia"/>
                <w:color w:val="000000"/>
                <w:sz w:val="28"/>
                <w:szCs w:val="28"/>
              </w:rPr>
              <w:t>月饼</w:t>
            </w:r>
          </w:p>
        </w:tc>
        <w:tc>
          <w:tcPr>
            <w:tcW w:w="3971"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约950盒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8" w:hRule="atLeast"/>
          <w:jc w:val="center"/>
        </w:trPr>
        <w:tc>
          <w:tcPr>
            <w:tcW w:w="7020" w:type="dxa"/>
            <w:gridSpan w:val="2"/>
            <w:vAlign w:val="center"/>
          </w:tcPr>
          <w:p>
            <w:pPr>
              <w:jc w:val="both"/>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产品参数：</w:t>
            </w:r>
          </w:p>
          <w:p>
            <w:pPr>
              <w:numPr>
                <w:ilvl w:val="0"/>
                <w:numId w:val="1"/>
              </w:numPr>
              <w:jc w:val="both"/>
              <w:rPr>
                <w:rFonts w:asciiTheme="minorEastAsia" w:hAnsiTheme="minorEastAsia" w:eastAsiaTheme="minorEastAsia"/>
                <w:sz w:val="24"/>
                <w:szCs w:val="24"/>
              </w:rPr>
            </w:pPr>
            <w:r>
              <w:rPr>
                <w:rFonts w:hint="eastAsia" w:ascii="宋体" w:hAnsi="宋体" w:cs="宋体"/>
                <w:sz w:val="24"/>
                <w:szCs w:val="24"/>
              </w:rPr>
              <w:t>月饼包装：月饼纸盒简包装。</w:t>
            </w:r>
          </w:p>
          <w:p>
            <w:pPr>
              <w:numPr>
                <w:ilvl w:val="0"/>
                <w:numId w:val="1"/>
              </w:num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月饼数量：总数不少于8个。</w:t>
            </w:r>
          </w:p>
          <w:p>
            <w:pPr>
              <w:numPr>
                <w:ilvl w:val="0"/>
                <w:numId w:val="1"/>
              </w:numPr>
              <w:jc w:val="both"/>
              <w:rPr>
                <w:rFonts w:asciiTheme="minorEastAsia" w:hAnsiTheme="minorEastAsia" w:eastAsiaTheme="minorEastAsia"/>
                <w:sz w:val="24"/>
                <w:szCs w:val="24"/>
              </w:rPr>
            </w:pPr>
            <w:r>
              <w:rPr>
                <w:rFonts w:hint="eastAsia" w:asciiTheme="minorEastAsia" w:hAnsiTheme="minorEastAsia" w:eastAsiaTheme="minorEastAsia"/>
                <w:sz w:val="24"/>
                <w:szCs w:val="24"/>
              </w:rPr>
              <w:t>月饼馅料中</w:t>
            </w:r>
            <w:r>
              <w:rPr>
                <w:rFonts w:hint="eastAsia" w:ascii="宋体" w:hAnsi="宋体" w:cs="宋体"/>
                <w:sz w:val="24"/>
                <w:szCs w:val="24"/>
              </w:rPr>
              <w:t>蛋黄馅月饼不少于2个，可含蛋黄酥等品种。</w:t>
            </w:r>
          </w:p>
          <w:p>
            <w:pPr>
              <w:numPr>
                <w:ilvl w:val="0"/>
                <w:numId w:val="1"/>
              </w:numPr>
              <w:jc w:val="both"/>
              <w:rPr>
                <w:rFonts w:asciiTheme="minorEastAsia" w:hAnsiTheme="minorEastAsia" w:eastAsiaTheme="minorEastAsia"/>
                <w:sz w:val="24"/>
                <w:szCs w:val="24"/>
              </w:rPr>
            </w:pPr>
            <w:r>
              <w:rPr>
                <w:rFonts w:hint="eastAsia" w:ascii="宋体" w:hAnsi="宋体" w:cs="宋体"/>
                <w:sz w:val="24"/>
                <w:szCs w:val="24"/>
              </w:rPr>
              <w:t>每盒总净含量不少于400g。</w:t>
            </w:r>
          </w:p>
        </w:tc>
      </w:tr>
    </w:tbl>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   </w:t>
      </w:r>
      <w:r>
        <w:rPr>
          <w:rFonts w:hint="eastAsia" w:asciiTheme="minorEastAsia" w:hAnsiTheme="minorEastAsia" w:eastAsiaTheme="minorEastAsia"/>
          <w:sz w:val="28"/>
          <w:szCs w:val="28"/>
        </w:rPr>
        <w:t xml:space="preserve"> </w:t>
      </w:r>
      <w:r>
        <w:rPr>
          <w:rFonts w:hint="eastAsia" w:asciiTheme="minorEastAsia" w:hAnsiTheme="minorEastAsia" w:eastAsiaTheme="minorEastAsia"/>
          <w:sz w:val="28"/>
          <w:szCs w:val="28"/>
          <w:highlight w:val="none"/>
        </w:rPr>
        <w:t>1.2 合同限价：约100元/盒。</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2、定义和解释</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2.1 “比选人”系福建省东南电化股份有限公司，即业主方。</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2.2 “参选人”系指向比选人报名并接受邀请，领取比选文件，且已经提交或准备提交本次参选文件的法人。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2.3  “参选人代表”系指全权代表参选人参加本次投标活动并签署参选文件的人，如果参选人代表不是参选人的法定代表人，须持有《法定代表人授权书》。</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2.4 “服务”系指比选文件规定参选人为完成全部合同义务须承担的所有工作，包括：申报、运输，处理等等以及其他类似的义务。</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3、比选文件组成</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3.1 比选文件包括下列内容：    </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比选公告、比选须知、合同书格式、参选文件格式、服务需求一览表及技术规范和评标细则</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3.2 比选文件除3.1内容外，比选人在比选期间发出的书面文件和其他修改或补充函件，均是比选文件不可分割的组成部分。</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4、比选文件的澄清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5、比选文件的修改、补充</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5.2 为使参选人在准备投标文件时有合理的时间考虑比选文件的修改，比选人可酌情推迟参选截止时间和开评时间，并以书面形式通知已购买比选文件的每一参选人。</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5.3 比选文件的修改书将构成比选文件的一部分，对参选人具有约束作用。</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6、参选人资格</w:t>
      </w:r>
    </w:p>
    <w:p>
      <w:pPr>
        <w:pStyle w:val="10"/>
        <w:ind w:firstLine="0"/>
        <w:rPr>
          <w:rFonts w:cs="宋体" w:asciiTheme="minorEastAsia" w:hAnsiTheme="minorEastAsia" w:eastAsiaTheme="minorEastAsia"/>
          <w:color w:val="21201E"/>
          <w:sz w:val="28"/>
          <w:szCs w:val="28"/>
        </w:rPr>
      </w:pPr>
      <w:r>
        <w:rPr>
          <w:rFonts w:hint="eastAsia" w:asciiTheme="minorEastAsia" w:hAnsiTheme="minorEastAsia" w:eastAsiaTheme="minorEastAsia"/>
          <w:sz w:val="28"/>
          <w:szCs w:val="28"/>
        </w:rPr>
        <w:t xml:space="preserve">    6.1</w:t>
      </w:r>
      <w:r>
        <w:rPr>
          <w:rFonts w:hint="eastAsia" w:cs="宋体" w:asciiTheme="minorEastAsia" w:hAnsiTheme="minorEastAsia" w:eastAsiaTheme="minorEastAsia"/>
          <w:color w:val="21201E"/>
          <w:sz w:val="28"/>
          <w:szCs w:val="28"/>
        </w:rPr>
        <w:t>本次要求参选人具有独立法人资格且具备产品销售相关资质。具有《食品生产许可证》和《食品经营许可证》。具有三年及以上生产销售经验。</w:t>
      </w:r>
    </w:p>
    <w:p>
      <w:pPr>
        <w:widowControl/>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6.2本次比选邀请接受联合体参选。</w:t>
      </w:r>
    </w:p>
    <w:p>
      <w:pPr>
        <w:spacing w:line="460" w:lineRule="exact"/>
        <w:ind w:firstLine="536" w:firstLineChars="200"/>
        <w:rPr>
          <w:rFonts w:cs="宋体" w:asciiTheme="minorEastAsia" w:hAnsiTheme="minorEastAsia" w:eastAsiaTheme="minorEastAsia"/>
          <w:spacing w:val="-6"/>
          <w:sz w:val="28"/>
          <w:szCs w:val="28"/>
        </w:rPr>
      </w:pPr>
      <w:r>
        <w:rPr>
          <w:rFonts w:hint="eastAsia" w:cs="宋体" w:asciiTheme="minorEastAsia" w:hAnsiTheme="minorEastAsia" w:eastAsiaTheme="minorEastAsia"/>
          <w:spacing w:val="-6"/>
          <w:sz w:val="28"/>
          <w:szCs w:val="28"/>
        </w:rPr>
        <w:t>6.3其他</w:t>
      </w:r>
      <w:r>
        <w:rPr>
          <w:rFonts w:hint="eastAsia" w:cs="宋体" w:asciiTheme="minorEastAsia" w:hAnsiTheme="minorEastAsia" w:eastAsiaTheme="minorEastAsia"/>
          <w:sz w:val="28"/>
          <w:szCs w:val="28"/>
        </w:rPr>
        <w:t>资格</w:t>
      </w:r>
      <w:r>
        <w:rPr>
          <w:rFonts w:hint="eastAsia" w:cs="宋体" w:asciiTheme="minorEastAsia" w:hAnsiTheme="minorEastAsia" w:eastAsiaTheme="minorEastAsia"/>
          <w:spacing w:val="-6"/>
          <w:sz w:val="28"/>
          <w:szCs w:val="28"/>
        </w:rPr>
        <w:t>要求详见招标文件。</w:t>
      </w:r>
    </w:p>
    <w:p>
      <w:pPr>
        <w:jc w:val="left"/>
        <w:rPr>
          <w:rFonts w:asciiTheme="minorEastAsia" w:hAnsiTheme="minorEastAsia" w:eastAsiaTheme="minorEastAsia"/>
          <w:b/>
          <w:sz w:val="28"/>
          <w:szCs w:val="28"/>
        </w:rPr>
      </w:pPr>
      <w:r>
        <w:rPr>
          <w:rFonts w:hint="eastAsia" w:asciiTheme="minorEastAsia" w:hAnsiTheme="minorEastAsia" w:eastAsiaTheme="minorEastAsia"/>
          <w:b/>
          <w:sz w:val="28"/>
          <w:szCs w:val="28"/>
        </w:rPr>
        <w:t>7、比选文件的递交</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highlight w:val="none"/>
        </w:rPr>
        <w:t>7.1比选文件递交的截止时间：2018年</w:t>
      </w:r>
      <w:r>
        <w:rPr>
          <w:rFonts w:hint="eastAsia" w:asciiTheme="minorEastAsia" w:hAnsiTheme="minorEastAsia" w:eastAsiaTheme="minorEastAsia"/>
          <w:sz w:val="28"/>
          <w:szCs w:val="28"/>
          <w:highlight w:val="none"/>
          <w:lang w:val="en-US" w:eastAsia="zh-CN"/>
        </w:rPr>
        <w:t>8</w:t>
      </w:r>
      <w:r>
        <w:rPr>
          <w:rFonts w:hint="eastAsia" w:asciiTheme="minorEastAsia" w:hAnsiTheme="minorEastAsia" w:eastAsiaTheme="minorEastAsia"/>
          <w:sz w:val="28"/>
          <w:szCs w:val="28"/>
          <w:highlight w:val="none"/>
        </w:rPr>
        <w:t>月</w:t>
      </w:r>
      <w:r>
        <w:rPr>
          <w:rFonts w:hint="eastAsia" w:asciiTheme="minorEastAsia" w:hAnsiTheme="minorEastAsia" w:eastAsiaTheme="minorEastAsia"/>
          <w:sz w:val="28"/>
          <w:szCs w:val="28"/>
          <w:highlight w:val="none"/>
          <w:lang w:val="en-US" w:eastAsia="zh-CN"/>
        </w:rPr>
        <w:t>29</w:t>
      </w:r>
      <w:r>
        <w:rPr>
          <w:rFonts w:hint="eastAsia" w:asciiTheme="minorEastAsia" w:hAnsiTheme="minorEastAsia" w:eastAsiaTheme="minorEastAsia"/>
          <w:sz w:val="28"/>
          <w:szCs w:val="28"/>
          <w:highlight w:val="none"/>
        </w:rPr>
        <w:t>日</w:t>
      </w:r>
      <w:r>
        <w:rPr>
          <w:rFonts w:hint="eastAsia" w:asciiTheme="minorEastAsia" w:hAnsiTheme="minorEastAsia" w:eastAsiaTheme="minorEastAsia"/>
          <w:sz w:val="28"/>
          <w:szCs w:val="28"/>
          <w:highlight w:val="none"/>
          <w:lang w:val="en-US" w:eastAsia="zh-CN"/>
        </w:rPr>
        <w:t>16</w:t>
      </w:r>
      <w:r>
        <w:rPr>
          <w:rFonts w:hint="eastAsia" w:asciiTheme="minorEastAsia" w:hAnsiTheme="minorEastAsia" w:eastAsiaTheme="minorEastAsia"/>
          <w:sz w:val="28"/>
          <w:szCs w:val="28"/>
          <w:highlight w:val="none"/>
        </w:rPr>
        <w:t>时00分</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rPr>
        <w:t>7.2</w:t>
      </w:r>
      <w:r>
        <w:rPr>
          <w:rFonts w:hint="eastAsia" w:ascii="宋体" w:hAnsi="宋体"/>
          <w:sz w:val="28"/>
          <w:szCs w:val="28"/>
        </w:rPr>
        <w:t>提交投标文件的地点为：福建省东南电化公司商务室（福建省福清市江阴工业集中区内），联系人：陈智敏、联系电话：0591-86552258。</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7.3逾期送达的或未送达指定地点或投标文件密封不符合规定要求的投标文件，比选人不予受理。</w:t>
      </w:r>
    </w:p>
    <w:p>
      <w:pPr>
        <w:ind w:firstLine="560" w:firstLineChars="200"/>
        <w:jc w:val="left"/>
        <w:rPr>
          <w:rFonts w:asciiTheme="minorEastAsia" w:hAnsiTheme="minorEastAsia" w:eastAsiaTheme="minorEastAsia"/>
          <w:sz w:val="28"/>
          <w:szCs w:val="28"/>
        </w:rPr>
      </w:pPr>
    </w:p>
    <w:p>
      <w:pPr>
        <w:rPr>
          <w:rFonts w:asciiTheme="minorEastAsia" w:hAnsiTheme="minorEastAsia" w:eastAsiaTheme="minorEastAsia"/>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第三章   参选文件的编制</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1、参选文件的组成：</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①</w:t>
      </w:r>
      <w:r>
        <w:rPr>
          <w:rFonts w:hint="eastAsia" w:asciiTheme="minorEastAsia" w:hAnsiTheme="minorEastAsia" w:eastAsiaTheme="minorEastAsia"/>
          <w:sz w:val="28"/>
          <w:szCs w:val="28"/>
        </w:rPr>
        <w:t>有良好经营业绩的证明。其中包括以往承包业绩的合同、营业收入证明等，其他可以证明承包单位具有良好运营业绩的相关材料；</w:t>
      </w:r>
      <w:r>
        <w:rPr>
          <w:rFonts w:asciiTheme="minorEastAsia" w:hAnsiTheme="minorEastAsia" w:eastAsiaTheme="minorEastAsia"/>
          <w:color w:val="000000"/>
          <w:sz w:val="28"/>
          <w:szCs w:val="28"/>
        </w:rPr>
        <w:t>凡弄虚作假的，一经查实，</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有权取消其中</w:t>
      </w:r>
      <w:r>
        <w:rPr>
          <w:rFonts w:hint="eastAsia" w:asciiTheme="minorEastAsia" w:hAnsiTheme="minorEastAsia" w:eastAsiaTheme="minorEastAsia"/>
          <w:color w:val="000000"/>
          <w:sz w:val="28"/>
          <w:szCs w:val="28"/>
        </w:rPr>
        <w:t>选</w:t>
      </w:r>
      <w:r>
        <w:rPr>
          <w:rFonts w:asciiTheme="minorEastAsia" w:hAnsiTheme="minorEastAsia" w:eastAsiaTheme="minorEastAsia"/>
          <w:color w:val="000000"/>
          <w:sz w:val="28"/>
          <w:szCs w:val="28"/>
        </w:rPr>
        <w:t>资格。</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②</w:t>
      </w:r>
      <w:r>
        <w:rPr>
          <w:rFonts w:hint="eastAsia" w:asciiTheme="minorEastAsia" w:hAnsiTheme="minorEastAsia" w:eastAsiaTheme="minorEastAsia"/>
          <w:sz w:val="28"/>
          <w:szCs w:val="28"/>
        </w:rPr>
        <w:t>参选单位企业概况（当前主要经营品种及经营状况、经营历史简介，经营能力介绍，）、营业执照、组织机构代码证、税务登记证</w:t>
      </w:r>
      <w:r>
        <w:rPr>
          <w:rFonts w:asciiTheme="minorEastAsia" w:hAnsiTheme="minorEastAsia" w:eastAsiaTheme="minorEastAsia"/>
          <w:color w:val="000000"/>
          <w:sz w:val="28"/>
          <w:szCs w:val="28"/>
        </w:rPr>
        <w:t>（经年检或年审合格的）</w:t>
      </w:r>
      <w:r>
        <w:rPr>
          <w:rFonts w:hint="eastAsia" w:asciiTheme="minorEastAsia" w:hAnsiTheme="minorEastAsia" w:eastAsiaTheme="minorEastAsia"/>
          <w:color w:val="000000"/>
          <w:sz w:val="28"/>
          <w:szCs w:val="28"/>
        </w:rPr>
        <w:t>、《食品生产许可证》和《食品经营许可证》</w:t>
      </w:r>
      <w:r>
        <w:rPr>
          <w:rFonts w:hint="eastAsia" w:asciiTheme="minorEastAsia" w:hAnsiTheme="minorEastAsia" w:eastAsiaTheme="minorEastAsia"/>
          <w:sz w:val="28"/>
          <w:szCs w:val="28"/>
        </w:rPr>
        <w:t>等。</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sz w:val="28"/>
          <w:szCs w:val="28"/>
        </w:rPr>
        <w:t>③参选单位出具业务联系人的授权</w:t>
      </w:r>
      <w:r>
        <w:rPr>
          <w:rFonts w:hint="eastAsia" w:asciiTheme="minorEastAsia" w:hAnsiTheme="minorEastAsia" w:eastAsiaTheme="minorEastAsia"/>
          <w:color w:val="000000"/>
          <w:sz w:val="28"/>
          <w:szCs w:val="28"/>
        </w:rPr>
        <w:t>代表</w:t>
      </w:r>
      <w:r>
        <w:rPr>
          <w:rFonts w:hint="eastAsia" w:asciiTheme="minorEastAsia" w:hAnsiTheme="minorEastAsia" w:eastAsiaTheme="minorEastAsia"/>
          <w:sz w:val="28"/>
          <w:szCs w:val="28"/>
        </w:rPr>
        <w:t>证明，业务联系人或被授权代表变更时应取得相应的具有</w:t>
      </w:r>
      <w:r>
        <w:rPr>
          <w:rFonts w:hint="eastAsia" w:asciiTheme="minorEastAsia" w:hAnsiTheme="minorEastAsia" w:eastAsiaTheme="minorEastAsia"/>
          <w:color w:val="000000"/>
          <w:sz w:val="28"/>
          <w:szCs w:val="28"/>
        </w:rPr>
        <w:t>法律</w:t>
      </w:r>
      <w:r>
        <w:rPr>
          <w:rFonts w:hint="eastAsia" w:asciiTheme="minorEastAsia" w:hAnsiTheme="minorEastAsia" w:eastAsiaTheme="minorEastAsia"/>
          <w:sz w:val="28"/>
          <w:szCs w:val="28"/>
        </w:rPr>
        <w:t>效力的证明材料。</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④提供参选报价表。报价单参照附件二格式进行报价。如私自修改报价格式按废标处理。</w:t>
      </w:r>
    </w:p>
    <w:p>
      <w:pPr>
        <w:spacing w:line="360" w:lineRule="auto"/>
        <w:ind w:firstLine="560" w:firstLineChars="200"/>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t>⑤</w:t>
      </w:r>
      <w:r>
        <w:rPr>
          <w:rFonts w:hint="eastAsia" w:asciiTheme="minorEastAsia" w:hAnsiTheme="minorEastAsia" w:eastAsiaTheme="minorEastAsia"/>
          <w:color w:val="000000"/>
          <w:sz w:val="28"/>
          <w:szCs w:val="28"/>
        </w:rPr>
        <w:t>以上①至</w:t>
      </w:r>
      <w:r>
        <w:rPr>
          <w:rFonts w:hint="eastAsia" w:asciiTheme="minorEastAsia" w:hAnsiTheme="minorEastAsia" w:eastAsiaTheme="minorEastAsia"/>
          <w:sz w:val="28"/>
          <w:szCs w:val="28"/>
        </w:rPr>
        <w:t>③项内容合并密封并加盖公章；</w:t>
      </w:r>
      <w:r>
        <w:rPr>
          <w:rFonts w:hint="eastAsia" w:asciiTheme="minorEastAsia" w:hAnsiTheme="minorEastAsia" w:eastAsiaTheme="minorEastAsia"/>
          <w:color w:val="000000"/>
          <w:sz w:val="28"/>
          <w:szCs w:val="28"/>
        </w:rPr>
        <w:t>④项内容单独密封并加盖公章；在密封封面上要有明确的注明表示密封内的项号。</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⑥提供一份月饼样品。</w:t>
      </w:r>
    </w:p>
    <w:p>
      <w:pPr>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2、参选书格式</w:t>
      </w:r>
    </w:p>
    <w:p>
      <w:pPr>
        <w:spacing w:line="360" w:lineRule="auto"/>
        <w:ind w:firstLine="548" w:firstLineChars="196"/>
        <w:rPr>
          <w:rFonts w:asciiTheme="minorEastAsia" w:hAnsiTheme="minorEastAsia" w:eastAsiaTheme="minorEastAsia"/>
          <w:sz w:val="28"/>
          <w:szCs w:val="28"/>
        </w:rPr>
      </w:pPr>
      <w:r>
        <w:rPr>
          <w:rFonts w:hint="eastAsia" w:asciiTheme="minorEastAsia" w:hAnsiTheme="minorEastAsia" w:eastAsiaTheme="minorEastAsia"/>
          <w:sz w:val="28"/>
          <w:szCs w:val="28"/>
        </w:rPr>
        <w:t>参选人应按规定制作参选文件并需加盖公司章，按规定填写报价表并需加盖公司章，法定代表人或委托代表人签字。</w:t>
      </w:r>
    </w:p>
    <w:p>
      <w:pPr>
        <w:snapToGrid w:val="0"/>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3、参选报价</w:t>
      </w:r>
    </w:p>
    <w:p>
      <w:pPr>
        <w:snapToGrid w:val="0"/>
        <w:spacing w:line="360" w:lineRule="auto"/>
        <w:ind w:firstLine="557" w:firstLineChars="199"/>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参选</w:t>
      </w:r>
      <w:r>
        <w:rPr>
          <w:rFonts w:hint="eastAsia" w:asciiTheme="minorEastAsia" w:hAnsiTheme="minorEastAsia" w:eastAsiaTheme="minorEastAsia"/>
          <w:sz w:val="28"/>
          <w:szCs w:val="28"/>
        </w:rPr>
        <w:t>人须对参选报价负责，报价为含税价。</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报价应包括</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文件所确定的</w:t>
      </w:r>
      <w:r>
        <w:rPr>
          <w:rFonts w:hint="eastAsia" w:asciiTheme="minorEastAsia" w:hAnsiTheme="minorEastAsia" w:eastAsiaTheme="minorEastAsia"/>
          <w:color w:val="000000"/>
          <w:sz w:val="28"/>
          <w:szCs w:val="28"/>
        </w:rPr>
        <w:t>项目</w:t>
      </w:r>
      <w:r>
        <w:rPr>
          <w:rFonts w:asciiTheme="minorEastAsia" w:hAnsiTheme="minorEastAsia" w:eastAsiaTheme="minorEastAsia"/>
          <w:color w:val="000000"/>
          <w:sz w:val="28"/>
          <w:szCs w:val="28"/>
        </w:rPr>
        <w:t>范围内的全部内容，以及为完成上述内容所必须的</w:t>
      </w:r>
      <w:r>
        <w:rPr>
          <w:rFonts w:hint="eastAsia" w:asciiTheme="minorEastAsia" w:hAnsiTheme="minorEastAsia" w:eastAsiaTheme="minorEastAsia"/>
          <w:color w:val="000000"/>
          <w:sz w:val="28"/>
          <w:szCs w:val="28"/>
        </w:rPr>
        <w:t>运输、包装</w:t>
      </w:r>
      <w:r>
        <w:rPr>
          <w:rFonts w:asciiTheme="minorEastAsia" w:hAnsiTheme="minorEastAsia" w:eastAsiaTheme="minorEastAsia"/>
          <w:color w:val="000000"/>
          <w:sz w:val="28"/>
          <w:szCs w:val="28"/>
        </w:rPr>
        <w:t>及所需的全部费用</w:t>
      </w:r>
      <w:r>
        <w:rPr>
          <w:rFonts w:hint="eastAsia" w:asciiTheme="minorEastAsia" w:hAnsiTheme="minorEastAsia" w:eastAsiaTheme="minorEastAsia"/>
          <w:color w:val="000000"/>
          <w:sz w:val="28"/>
          <w:szCs w:val="28"/>
        </w:rPr>
        <w:t>。</w:t>
      </w:r>
      <w:r>
        <w:rPr>
          <w:rFonts w:hint="eastAsia" w:asciiTheme="minorEastAsia" w:hAnsiTheme="minorEastAsia" w:eastAsiaTheme="minorEastAsia"/>
          <w:sz w:val="28"/>
          <w:szCs w:val="28"/>
        </w:rPr>
        <w:t>参选人须按照比选人提供的报价函填写，加盖参选人印章，字迹清晰，否则视为无效。</w:t>
      </w:r>
    </w:p>
    <w:p>
      <w:pPr>
        <w:snapToGrid w:val="0"/>
        <w:spacing w:line="360" w:lineRule="auto"/>
        <w:rPr>
          <w:rFonts w:asciiTheme="minorEastAsia" w:hAnsiTheme="minorEastAsia" w:eastAsiaTheme="minorEastAsia"/>
          <w:b/>
          <w:sz w:val="28"/>
          <w:szCs w:val="28"/>
        </w:rPr>
      </w:pPr>
      <w:r>
        <w:rPr>
          <w:rFonts w:hint="eastAsia" w:asciiTheme="minorEastAsia" w:hAnsiTheme="minorEastAsia" w:eastAsiaTheme="minorEastAsia"/>
          <w:b/>
          <w:sz w:val="28"/>
          <w:szCs w:val="28"/>
        </w:rPr>
        <w:t>4、特别说明</w:t>
      </w:r>
    </w:p>
    <w:p>
      <w:pPr>
        <w:widowControl/>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4.1参选人需承担所有与比选有关的费用，比选人在任何情况</w:t>
      </w:r>
    </w:p>
    <w:p>
      <w:pPr>
        <w:widowControl/>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不负担上述费用。</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4.2</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收到</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文件后，如有疑问需要澄清，请以书面</w:t>
      </w:r>
      <w:r>
        <w:rPr>
          <w:rFonts w:hint="eastAsia" w:asciiTheme="minorEastAsia" w:hAnsiTheme="minorEastAsia" w:eastAsiaTheme="minorEastAsia"/>
          <w:color w:val="000000"/>
          <w:sz w:val="28"/>
          <w:szCs w:val="28"/>
        </w:rPr>
        <w:t>、传真、电子邮件等形式</w:t>
      </w:r>
      <w:r>
        <w:rPr>
          <w:rFonts w:asciiTheme="minorEastAsia" w:hAnsiTheme="minorEastAsia" w:eastAsiaTheme="minorEastAsia"/>
          <w:color w:val="000000"/>
          <w:sz w:val="28"/>
          <w:szCs w:val="28"/>
        </w:rPr>
        <w:t>在规定时间内报</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汇总。</w:t>
      </w:r>
    </w:p>
    <w:p>
      <w:pPr>
        <w:widowControl/>
        <w:tabs>
          <w:tab w:val="left" w:pos="3825"/>
        </w:tabs>
        <w:snapToGrid w:val="0"/>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bCs/>
          <w:sz w:val="28"/>
          <w:szCs w:val="28"/>
        </w:rPr>
        <w:t>4.3</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人提供的</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文件所做出的推论、解释和结论，</w:t>
      </w:r>
      <w:r>
        <w:rPr>
          <w:rFonts w:hint="eastAsia" w:asciiTheme="minorEastAsia" w:hAnsiTheme="minorEastAsia" w:eastAsiaTheme="minorEastAsia"/>
          <w:color w:val="000000"/>
          <w:sz w:val="28"/>
          <w:szCs w:val="28"/>
        </w:rPr>
        <w:t>比选人</w:t>
      </w:r>
      <w:r>
        <w:rPr>
          <w:rFonts w:asciiTheme="minorEastAsia" w:hAnsiTheme="minorEastAsia" w:eastAsiaTheme="minorEastAsia"/>
          <w:color w:val="000000"/>
          <w:sz w:val="28"/>
          <w:szCs w:val="28"/>
        </w:rPr>
        <w:t>概不负责。</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人由于对</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文件的任何推论和误解以及</w:t>
      </w:r>
      <w:r>
        <w:rPr>
          <w:rFonts w:hint="eastAsia" w:asciiTheme="minorEastAsia" w:hAnsiTheme="minorEastAsia" w:eastAsiaTheme="minorEastAsia"/>
          <w:color w:val="000000"/>
          <w:sz w:val="28"/>
          <w:szCs w:val="28"/>
        </w:rPr>
        <w:t>比选</w:t>
      </w:r>
      <w:r>
        <w:rPr>
          <w:rFonts w:asciiTheme="minorEastAsia" w:hAnsiTheme="minorEastAsia" w:eastAsiaTheme="minorEastAsia"/>
          <w:color w:val="000000"/>
          <w:sz w:val="28"/>
          <w:szCs w:val="28"/>
        </w:rPr>
        <w:t>对有关问题的口头解释所造成的后果，均由</w:t>
      </w:r>
      <w:r>
        <w:rPr>
          <w:rFonts w:hint="eastAsia" w:asciiTheme="minorEastAsia" w:hAnsiTheme="minorEastAsia" w:eastAsiaTheme="minorEastAsia"/>
          <w:color w:val="000000"/>
          <w:sz w:val="28"/>
          <w:szCs w:val="28"/>
        </w:rPr>
        <w:t>参选</w:t>
      </w:r>
      <w:r>
        <w:rPr>
          <w:rFonts w:asciiTheme="minorEastAsia" w:hAnsiTheme="minorEastAsia" w:eastAsiaTheme="minorEastAsia"/>
          <w:color w:val="000000"/>
          <w:sz w:val="28"/>
          <w:szCs w:val="28"/>
        </w:rPr>
        <w:t>人负责。</w:t>
      </w:r>
    </w:p>
    <w:p>
      <w:pPr>
        <w:jc w:val="center"/>
        <w:rPr>
          <w:rFonts w:cs="宋体" w:asciiTheme="minorEastAsia" w:hAnsiTheme="minorEastAsia" w:eastAsiaTheme="minorEastAsia"/>
          <w:color w:val="000000"/>
          <w:sz w:val="32"/>
          <w:szCs w:val="32"/>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第四章   评比规则</w:t>
      </w:r>
    </w:p>
    <w:p>
      <w:pPr>
        <w:spacing w:line="510" w:lineRule="exact"/>
        <w:rPr>
          <w:rFonts w:hint="eastAsia" w:asciiTheme="minorEastAsia" w:hAnsiTheme="minorEastAsia" w:eastAsiaTheme="minorEastAsia"/>
          <w:b/>
          <w:sz w:val="28"/>
          <w:szCs w:val="28"/>
          <w:highlight w:val="none"/>
        </w:rPr>
      </w:pPr>
      <w:r>
        <w:rPr>
          <w:rFonts w:hint="eastAsia" w:asciiTheme="minorEastAsia" w:hAnsiTheme="minorEastAsia" w:eastAsiaTheme="minorEastAsia"/>
          <w:b/>
          <w:sz w:val="28"/>
          <w:szCs w:val="28"/>
          <w:highlight w:val="none"/>
        </w:rPr>
        <w:t>1、评分规则：</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1.评标委员会将对通过资格及实质响应性审查的各合格参选人，根据以下标准和方法进行评分。</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1.1评分将首先按商务技术部分和报价部分分别进行，然后计算出各合格参选人的综合得分，并按各合格参选人的综合得分从高到低依次进行排序，第1名为第一中选候选人，依次类推。若存在评标综合得分并列的参选人，则其中报价低的将被排序在前；若报价得分再相同的，则其中商务技术部分得分高的参选人将被排序在前；若技术部分得分再相同,则由评标委员会采用记名投票方式确定中选候选人,得票最多者优先。</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1.2各部分评分分值分布如下：</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商务部分评分       满分80分</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报价部分评分       满分20分</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注:①商务部分评分的最终得分为各个评委评分的算术平均值，并四舍五入取小数点后2位数。②评委评分取小数点后1位数。</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综合得分＝商务部分评分+报价部分评分</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t>各部分（商务部分、报价部分）评分办法和标准如下</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2.1商务部分得分：</w:t>
      </w:r>
    </w:p>
    <w:tbl>
      <w:tblPr>
        <w:tblStyle w:val="8"/>
        <w:tblW w:w="7871" w:type="dxa"/>
        <w:tblInd w:w="0" w:type="dxa"/>
        <w:tblLayout w:type="fixed"/>
        <w:tblCellMar>
          <w:top w:w="0" w:type="dxa"/>
          <w:left w:w="108" w:type="dxa"/>
          <w:bottom w:w="0" w:type="dxa"/>
          <w:right w:w="108" w:type="dxa"/>
        </w:tblCellMar>
      </w:tblPr>
      <w:tblGrid>
        <w:gridCol w:w="504"/>
        <w:gridCol w:w="1015"/>
        <w:gridCol w:w="5703"/>
        <w:gridCol w:w="649"/>
      </w:tblGrid>
      <w:tr>
        <w:tblPrEx>
          <w:tblLayout w:type="fixed"/>
          <w:tblCellMar>
            <w:top w:w="0" w:type="dxa"/>
            <w:left w:w="108" w:type="dxa"/>
            <w:bottom w:w="0" w:type="dxa"/>
            <w:right w:w="108" w:type="dxa"/>
          </w:tblCellMar>
        </w:tblPrEx>
        <w:trPr>
          <w:trHeight w:val="270" w:hRule="atLeast"/>
        </w:trPr>
        <w:tc>
          <w:tcPr>
            <w:tcW w:w="504"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序号</w:t>
            </w:r>
          </w:p>
        </w:tc>
        <w:tc>
          <w:tcPr>
            <w:tcW w:w="1015"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项目</w:t>
            </w:r>
          </w:p>
        </w:tc>
        <w:tc>
          <w:tcPr>
            <w:tcW w:w="5703"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评分细则</w:t>
            </w:r>
          </w:p>
        </w:tc>
        <w:tc>
          <w:tcPr>
            <w:tcW w:w="649" w:type="dxa"/>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分值</w:t>
            </w:r>
          </w:p>
        </w:tc>
      </w:tr>
      <w:tr>
        <w:tblPrEx>
          <w:tblLayout w:type="fixed"/>
          <w:tblCellMar>
            <w:top w:w="0" w:type="dxa"/>
            <w:left w:w="108" w:type="dxa"/>
            <w:bottom w:w="0" w:type="dxa"/>
            <w:right w:w="108" w:type="dxa"/>
          </w:tblCellMar>
        </w:tblPrEx>
        <w:trPr>
          <w:trHeight w:val="720" w:hRule="atLeast"/>
        </w:trPr>
        <w:tc>
          <w:tcPr>
            <w:tcW w:w="50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1</w:t>
            </w:r>
          </w:p>
        </w:tc>
        <w:tc>
          <w:tcPr>
            <w:tcW w:w="1015"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rPr>
            </w:pPr>
            <w:r>
              <w:rPr>
                <w:rFonts w:hint="eastAsia" w:ascii="宋体" w:hAnsi="宋体" w:cs="宋体"/>
              </w:rPr>
              <w:t>样品水平</w:t>
            </w:r>
          </w:p>
        </w:tc>
        <w:tc>
          <w:tcPr>
            <w:tcW w:w="570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rPr>
            </w:pPr>
            <w:r>
              <w:rPr>
                <w:rFonts w:hint="eastAsia" w:ascii="宋体" w:hAnsi="宋体" w:cs="宋体"/>
              </w:rPr>
              <w:t>根据提供的样品进行评比，配料构成、口感、块数、形状、卫生、包装等几方面考察评判。优60-50分、良49-40分、中39-20分、差19-0分。</w:t>
            </w:r>
          </w:p>
        </w:tc>
        <w:tc>
          <w:tcPr>
            <w:tcW w:w="64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rPr>
            </w:pPr>
            <w:r>
              <w:rPr>
                <w:rFonts w:hint="eastAsia" w:ascii="宋体" w:hAnsi="宋体" w:cs="宋体"/>
              </w:rPr>
              <w:t>60</w:t>
            </w:r>
          </w:p>
        </w:tc>
      </w:tr>
      <w:tr>
        <w:tblPrEx>
          <w:tblLayout w:type="fixed"/>
          <w:tblCellMar>
            <w:top w:w="0" w:type="dxa"/>
            <w:left w:w="108" w:type="dxa"/>
            <w:bottom w:w="0" w:type="dxa"/>
            <w:right w:w="108" w:type="dxa"/>
          </w:tblCellMar>
        </w:tblPrEx>
        <w:trPr>
          <w:trHeight w:val="720" w:hRule="atLeast"/>
        </w:trPr>
        <w:tc>
          <w:tcPr>
            <w:tcW w:w="50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2</w:t>
            </w:r>
          </w:p>
        </w:tc>
        <w:tc>
          <w:tcPr>
            <w:tcW w:w="1015"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rPr>
            </w:pPr>
            <w:r>
              <w:rPr>
                <w:rFonts w:hint="eastAsia" w:ascii="宋体" w:hAnsi="宋体" w:cs="宋体"/>
              </w:rPr>
              <w:t>投标人业绩</w:t>
            </w:r>
          </w:p>
        </w:tc>
        <w:tc>
          <w:tcPr>
            <w:tcW w:w="5703"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left"/>
              <w:textAlignment w:val="auto"/>
              <w:rPr>
                <w:rFonts w:ascii="宋体" w:hAnsi="宋体" w:cs="宋体"/>
              </w:rPr>
            </w:pPr>
            <w:r>
              <w:rPr>
                <w:rFonts w:hint="eastAsia" w:ascii="宋体" w:hAnsi="宋体" w:cs="宋体"/>
              </w:rPr>
              <w:t>投标人近三年来参加招投标同类产品的业绩情况。</w:t>
            </w:r>
          </w:p>
        </w:tc>
        <w:tc>
          <w:tcPr>
            <w:tcW w:w="64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rPr>
            </w:pPr>
            <w:r>
              <w:rPr>
                <w:rFonts w:hint="eastAsia" w:ascii="宋体" w:hAnsi="宋体" w:cs="宋体"/>
              </w:rPr>
              <w:t>20</w:t>
            </w:r>
          </w:p>
        </w:tc>
      </w:tr>
      <w:tr>
        <w:tblPrEx>
          <w:tblLayout w:type="fixed"/>
          <w:tblCellMar>
            <w:top w:w="0" w:type="dxa"/>
            <w:left w:w="108" w:type="dxa"/>
            <w:bottom w:w="0" w:type="dxa"/>
            <w:right w:w="108" w:type="dxa"/>
          </w:tblCellMar>
        </w:tblPrEx>
        <w:trPr>
          <w:trHeight w:val="270" w:hRule="atLeast"/>
        </w:trPr>
        <w:tc>
          <w:tcPr>
            <w:tcW w:w="504"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　</w:t>
            </w:r>
          </w:p>
        </w:tc>
        <w:tc>
          <w:tcPr>
            <w:tcW w:w="6718" w:type="dxa"/>
            <w:gridSpan w:val="2"/>
            <w:tcBorders>
              <w:top w:val="single" w:color="auto" w:sz="4" w:space="0"/>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合计</w:t>
            </w:r>
          </w:p>
        </w:tc>
        <w:tc>
          <w:tcPr>
            <w:tcW w:w="649" w:type="dxa"/>
            <w:tcBorders>
              <w:top w:val="nil"/>
              <w:left w:val="nil"/>
              <w:bottom w:val="single" w:color="auto" w:sz="4" w:space="0"/>
              <w:right w:val="single" w:color="auto" w:sz="4" w:space="0"/>
            </w:tcBorders>
            <w:shd w:val="clear" w:color="auto" w:fill="auto"/>
            <w:vAlign w:val="center"/>
          </w:tcPr>
          <w:p>
            <w:pPr>
              <w:widowControl/>
              <w:adjustRightInd/>
              <w:spacing w:line="240" w:lineRule="auto"/>
              <w:jc w:val="center"/>
              <w:textAlignment w:val="auto"/>
              <w:rPr>
                <w:rFonts w:ascii="宋体" w:hAnsi="宋体" w:cs="宋体"/>
                <w:color w:val="000000"/>
              </w:rPr>
            </w:pPr>
            <w:r>
              <w:rPr>
                <w:rFonts w:hint="eastAsia" w:ascii="宋体" w:hAnsi="宋体" w:cs="宋体"/>
                <w:color w:val="000000"/>
              </w:rPr>
              <w:t>80</w:t>
            </w:r>
          </w:p>
        </w:tc>
      </w:tr>
    </w:tbl>
    <w:p>
      <w:pPr>
        <w:spacing w:line="51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注：对合同付款方式提出偏离，则直接判定为废标。</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报价部分得分：</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评标委员会将按下列方法计算合格参选人的报价部分得分，计算分数时四舍五入取小数点后2位数：</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PF=( F低/ Fn)×20</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注：①PF为参选价格得分。</w:t>
      </w:r>
    </w:p>
    <w:p>
      <w:pPr>
        <w:spacing w:line="510" w:lineRule="exac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②F低为评标基准价,即进入报价部分评分的各合格参选人中最低的报价。</w:t>
      </w:r>
    </w:p>
    <w:p>
      <w:pPr>
        <w:spacing w:line="510" w:lineRule="exact"/>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rPr>
        <w:t>③Fn为进入报价部分评分的各合格参选人的报价。</w:t>
      </w:r>
    </w:p>
    <w:p>
      <w:pPr>
        <w:spacing w:line="360" w:lineRule="auto"/>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2、以下情况作废标处理：</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2.1对比选文件提出的实质性要求和条件，参选文件未能在实质上响应的。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2.2参选文件存在重大偏差的。</w:t>
      </w:r>
    </w:p>
    <w:p>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2.3未按规定格式要求编制参选文件的。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2.4参选人未通过质询和综合管理能力测试的。</w:t>
      </w:r>
    </w:p>
    <w:p>
      <w:pPr>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2.5违反规定影响开选评选工作或采取其他方式对比选人施加影响的。、</w:t>
      </w:r>
    </w:p>
    <w:p>
      <w:pPr>
        <w:spacing w:line="360" w:lineRule="auto"/>
        <w:ind w:firstLine="560" w:firstLineChars="200"/>
        <w:rPr>
          <w:rFonts w:asciiTheme="minorEastAsia" w:hAnsiTheme="minorEastAsia" w:eastAsiaTheme="minorEastAsia"/>
          <w:color w:val="000000"/>
          <w:sz w:val="28"/>
          <w:szCs w:val="28"/>
        </w:rPr>
      </w:pP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第五章   参选人选定</w:t>
      </w:r>
    </w:p>
    <w:p>
      <w:pPr>
        <w:widowControl/>
        <w:spacing w:line="500" w:lineRule="exact"/>
        <w:ind w:firstLine="536" w:firstLineChars="200"/>
        <w:jc w:val="left"/>
        <w:rPr>
          <w:rFonts w:asciiTheme="minorEastAsia" w:hAnsiTheme="minorEastAsia" w:eastAsiaTheme="minorEastAsia"/>
          <w:sz w:val="28"/>
          <w:szCs w:val="28"/>
        </w:rPr>
      </w:pPr>
      <w:r>
        <w:rPr>
          <w:rFonts w:hint="eastAsia" w:asciiTheme="minorEastAsia" w:hAnsiTheme="minorEastAsia" w:eastAsiaTheme="minorEastAsia"/>
          <w:spacing w:val="-6"/>
          <w:sz w:val="28"/>
          <w:szCs w:val="28"/>
        </w:rPr>
        <w:t>1、</w:t>
      </w:r>
      <w:r>
        <w:rPr>
          <w:rFonts w:hint="eastAsia" w:asciiTheme="minorEastAsia" w:hAnsiTheme="minorEastAsia" w:eastAsiaTheme="minorEastAsia"/>
          <w:sz w:val="28"/>
          <w:szCs w:val="28"/>
        </w:rPr>
        <w:t>比选人将在投标截至日期后另行组织比选会，参选人选定工作在比选人有关部门监督下，由比选人依法组建的招投标小组负责。</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2、 比选人会根据报价为主，其他综合资质条件为辅选定中选人。</w:t>
      </w:r>
    </w:p>
    <w:p>
      <w:pPr>
        <w:widowControl/>
        <w:spacing w:line="500" w:lineRule="exact"/>
        <w:ind w:firstLine="536" w:firstLineChars="200"/>
        <w:jc w:val="left"/>
        <w:rPr>
          <w:rFonts w:asciiTheme="minorEastAsia" w:hAnsiTheme="minorEastAsia" w:eastAsiaTheme="minorEastAsia"/>
          <w:spacing w:val="-6"/>
          <w:sz w:val="28"/>
          <w:szCs w:val="28"/>
        </w:rPr>
      </w:pPr>
      <w:r>
        <w:rPr>
          <w:rFonts w:hint="eastAsia" w:asciiTheme="minorEastAsia" w:hAnsiTheme="minorEastAsia" w:eastAsiaTheme="minorEastAsia"/>
          <w:spacing w:val="-6"/>
          <w:sz w:val="28"/>
          <w:szCs w:val="28"/>
        </w:rPr>
        <w:t>3、参选</w:t>
      </w:r>
      <w:r>
        <w:rPr>
          <w:rFonts w:asciiTheme="minorEastAsia" w:hAnsiTheme="minorEastAsia" w:eastAsiaTheme="minorEastAsia"/>
          <w:spacing w:val="-6"/>
          <w:sz w:val="28"/>
          <w:szCs w:val="28"/>
        </w:rPr>
        <w:t>人</w:t>
      </w:r>
      <w:r>
        <w:rPr>
          <w:rFonts w:hint="eastAsia" w:asciiTheme="minorEastAsia" w:hAnsiTheme="minorEastAsia" w:eastAsiaTheme="minorEastAsia"/>
          <w:spacing w:val="-6"/>
          <w:sz w:val="28"/>
          <w:szCs w:val="28"/>
        </w:rPr>
        <w:t>串标、</w:t>
      </w:r>
      <w:r>
        <w:rPr>
          <w:rFonts w:asciiTheme="minorEastAsia" w:hAnsiTheme="minorEastAsia" w:eastAsiaTheme="minorEastAsia"/>
          <w:spacing w:val="-6"/>
          <w:sz w:val="28"/>
          <w:szCs w:val="28"/>
        </w:rPr>
        <w:t>相互勾结故意压低标价以排挤竞争对手的公平竞争的，其竞买无效。 </w:t>
      </w:r>
    </w:p>
    <w:p>
      <w:pPr>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第六章   合同授予</w:t>
      </w:r>
    </w:p>
    <w:p>
      <w:pPr>
        <w:snapToGrid w:val="0"/>
        <w:spacing w:line="360" w:lineRule="auto"/>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1、比选人将把合同授予中选人；在授予前，仍需进行资格审查。 </w:t>
      </w:r>
    </w:p>
    <w:p>
      <w:pPr>
        <w:snapToGrid w:val="0"/>
        <w:spacing w:line="360" w:lineRule="auto"/>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    2、中选人确定后，比选将通知中选人，并将中选结果口头或电话通知所有未中选的参选人。</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3、中选通知对比选人和参选人具有法律效力。中选单位需在比选人通知中选后10个工作日内与比选人签订合同。</w:t>
      </w:r>
      <w:r>
        <w:rPr>
          <w:rFonts w:hint="eastAsia" w:asciiTheme="minorEastAsia" w:hAnsiTheme="minorEastAsia" w:eastAsiaTheme="minorEastAsia"/>
          <w:sz w:val="28"/>
          <w:szCs w:val="28"/>
        </w:rPr>
        <w:t>若因中选单位原因未在规定的时间和地点与比选人签署合同，比选人</w:t>
      </w:r>
      <w:r>
        <w:rPr>
          <w:rFonts w:asciiTheme="minorEastAsia" w:hAnsiTheme="minorEastAsia" w:eastAsiaTheme="minorEastAsia"/>
          <w:sz w:val="28"/>
          <w:szCs w:val="28"/>
        </w:rPr>
        <w:t>有权单方取消</w:t>
      </w:r>
      <w:r>
        <w:rPr>
          <w:rFonts w:hint="eastAsia" w:asciiTheme="minorEastAsia" w:hAnsiTheme="minorEastAsia" w:eastAsiaTheme="minorEastAsia"/>
          <w:sz w:val="28"/>
          <w:szCs w:val="28"/>
        </w:rPr>
        <w:t>中选单位的</w:t>
      </w:r>
      <w:r>
        <w:rPr>
          <w:rFonts w:asciiTheme="minorEastAsia" w:hAnsiTheme="minorEastAsia" w:eastAsiaTheme="minorEastAsia"/>
          <w:sz w:val="28"/>
          <w:szCs w:val="28"/>
        </w:rPr>
        <w:t>资格</w:t>
      </w:r>
      <w:r>
        <w:rPr>
          <w:rFonts w:hint="eastAsia" w:asciiTheme="minorEastAsia" w:hAnsiTheme="minorEastAsia" w:eastAsiaTheme="minorEastAsia"/>
          <w:sz w:val="28"/>
          <w:szCs w:val="28"/>
        </w:rPr>
        <w:t>。</w:t>
      </w:r>
      <w:r>
        <w:rPr>
          <w:rFonts w:asciiTheme="minorEastAsia" w:hAnsiTheme="minorEastAsia" w:eastAsiaTheme="minorEastAsia"/>
          <w:sz w:val="28"/>
          <w:szCs w:val="28"/>
        </w:rPr>
        <w:t>同时</w:t>
      </w:r>
      <w:r>
        <w:rPr>
          <w:rFonts w:hint="eastAsia" w:asciiTheme="minorEastAsia" w:hAnsiTheme="minorEastAsia" w:eastAsiaTheme="minorEastAsia"/>
          <w:sz w:val="28"/>
          <w:szCs w:val="28"/>
        </w:rPr>
        <w:t>，由此给比选人造成的损失，比选人有权追究中选单位的全部责任。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5、比选文件与合同附件作为签定合同的条款，比选文件合同条款中没有规定的内容，比选人、参选人认为有必要进行补充，可另行商定解决。 </w:t>
      </w:r>
    </w:p>
    <w:p>
      <w:pPr>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第七章   中选后相关履约要求</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1、服从比选的管理规定，不得影响甲方的生产运行，由此给比选人造成的损失，比选有权追究中选单位的全部责任。</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2、中选人必须严格执行《月饼采购项目》的自主比选规定。</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3、中选人需遵守甲方的各项管理规章制度。如触犯相关条例者则按福建省东南电化股份有限公司相应处罚条款进行处罚。</w:t>
      </w:r>
    </w:p>
    <w:p>
      <w:pPr>
        <w:snapToGrid w:val="0"/>
        <w:spacing w:line="360" w:lineRule="auto"/>
        <w:ind w:firstLine="560" w:firstLineChars="200"/>
        <w:rPr>
          <w:rFonts w:asciiTheme="minorEastAsia" w:hAnsiTheme="minorEastAsia" w:eastAsiaTheme="minorEastAsia"/>
          <w:b/>
          <w:sz w:val="28"/>
          <w:szCs w:val="28"/>
        </w:rPr>
      </w:pPr>
      <w:r>
        <w:rPr>
          <w:rFonts w:hint="eastAsia" w:asciiTheme="minorEastAsia" w:hAnsiTheme="minorEastAsia" w:eastAsiaTheme="minorEastAsia"/>
          <w:sz w:val="28"/>
          <w:szCs w:val="28"/>
        </w:rPr>
        <w:t>4、严禁中选单位任何形式的业务转包、分包，一经发现甲方将取消乙方的合同资格。</w:t>
      </w:r>
    </w:p>
    <w:p>
      <w:pPr>
        <w:tabs>
          <w:tab w:val="left" w:pos="1260"/>
          <w:tab w:val="left" w:pos="1800"/>
        </w:tabs>
        <w:ind w:firstLine="720" w:firstLineChars="225"/>
        <w:jc w:val="left"/>
        <w:rPr>
          <w:rFonts w:cs="宋体" w:asciiTheme="minorEastAsia" w:hAnsiTheme="minorEastAsia" w:eastAsiaTheme="minorEastAsia"/>
          <w:color w:val="000000"/>
          <w:sz w:val="32"/>
          <w:szCs w:val="32"/>
        </w:rPr>
      </w:pPr>
    </w:p>
    <w:p>
      <w:pPr>
        <w:tabs>
          <w:tab w:val="left" w:pos="1260"/>
          <w:tab w:val="left" w:pos="1800"/>
        </w:tabs>
        <w:jc w:val="cente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第八章   其它</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1、参选人的参选文件无论其是否中选，均不退回。</w:t>
      </w:r>
    </w:p>
    <w:p>
      <w:pPr>
        <w:snapToGrid w:val="0"/>
        <w:spacing w:line="360" w:lineRule="auto"/>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、比选人郑重承诺：参选人所提交的参选文件及相关资料不向第三方泄露。</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3、本比选文件的解释权归福建省东南电化股份有限公司。</w:t>
      </w:r>
    </w:p>
    <w:p>
      <w:pPr>
        <w:spacing w:line="360" w:lineRule="auto"/>
        <w:ind w:firstLine="560" w:firstLineChars="200"/>
        <w:rPr>
          <w:rFonts w:asciiTheme="minorEastAsia" w:hAnsiTheme="minorEastAsia" w:eastAsiaTheme="minorEastAsia"/>
          <w:color w:val="000000"/>
          <w:sz w:val="28"/>
          <w:szCs w:val="28"/>
          <w:highlight w:val="none"/>
        </w:rPr>
      </w:pPr>
      <w:r>
        <w:rPr>
          <w:rFonts w:hint="eastAsia" w:asciiTheme="minorEastAsia" w:hAnsiTheme="minorEastAsia" w:eastAsiaTheme="minorEastAsia"/>
          <w:color w:val="000000"/>
          <w:sz w:val="28"/>
          <w:szCs w:val="28"/>
          <w:highlight w:val="none"/>
        </w:rPr>
        <w:t>4、</w:t>
      </w:r>
      <w:r>
        <w:rPr>
          <w:rFonts w:hint="eastAsia" w:asciiTheme="minorEastAsia" w:hAnsiTheme="minorEastAsia" w:eastAsiaTheme="minorEastAsia"/>
          <w:sz w:val="28"/>
          <w:szCs w:val="28"/>
          <w:highlight w:val="none"/>
        </w:rPr>
        <w:t>比选</w:t>
      </w:r>
      <w:r>
        <w:rPr>
          <w:rFonts w:hint="eastAsia" w:asciiTheme="minorEastAsia" w:hAnsiTheme="minorEastAsia" w:eastAsiaTheme="minorEastAsia"/>
          <w:color w:val="000000"/>
          <w:sz w:val="28"/>
          <w:szCs w:val="28"/>
          <w:highlight w:val="none"/>
        </w:rPr>
        <w:t>联系人：</w:t>
      </w:r>
      <w:r>
        <w:rPr>
          <w:rFonts w:hint="eastAsia" w:asciiTheme="minorEastAsia" w:hAnsiTheme="minorEastAsia" w:eastAsiaTheme="minorEastAsia"/>
          <w:color w:val="000000"/>
          <w:sz w:val="28"/>
          <w:szCs w:val="28"/>
          <w:highlight w:val="none"/>
          <w:lang w:val="en-US" w:eastAsia="zh-CN"/>
        </w:rPr>
        <w:t>陈女士</w:t>
      </w:r>
    </w:p>
    <w:p>
      <w:pPr>
        <w:spacing w:line="360" w:lineRule="auto"/>
        <w:ind w:firstLine="560" w:firstLineChars="200"/>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5、联系电话：</w:t>
      </w:r>
      <w:r>
        <w:rPr>
          <w:rFonts w:hint="eastAsia" w:asciiTheme="minorEastAsia" w:hAnsiTheme="minorEastAsia" w:eastAsiaTheme="minorEastAsia"/>
          <w:sz w:val="28"/>
          <w:szCs w:val="28"/>
          <w:highlight w:val="none"/>
          <w:lang w:val="en-US" w:eastAsia="zh-CN"/>
        </w:rPr>
        <w:t>18120880696</w:t>
      </w:r>
    </w:p>
    <w:p>
      <w:pPr>
        <w:ind w:firstLine="720" w:firstLineChars="225"/>
        <w:jc w:val="left"/>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p>
    <w:p>
      <w:pPr>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附件一：参选报价表</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贵公司月饼采购项目自主比选文件我公司已阅知并完全同意，承诺此次报价真实、有效。同时承诺，中选后认真履行中标义务，提供优质服务。现将本公司有关报价及说明如下：</w:t>
      </w:r>
    </w:p>
    <w:tbl>
      <w:tblPr>
        <w:tblStyle w:val="9"/>
        <w:tblW w:w="67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0"/>
        <w:gridCol w:w="315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17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名称</w:t>
            </w:r>
          </w:p>
        </w:tc>
        <w:tc>
          <w:tcPr>
            <w:tcW w:w="315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品牌</w:t>
            </w:r>
          </w:p>
        </w:tc>
        <w:tc>
          <w:tcPr>
            <w:tcW w:w="1440" w:type="dxa"/>
            <w:vAlign w:val="center"/>
          </w:tcPr>
          <w:p>
            <w:pPr>
              <w:snapToGrid w:val="0"/>
              <w:spacing w:line="360" w:lineRule="auto"/>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jc w:val="center"/>
        </w:trPr>
        <w:tc>
          <w:tcPr>
            <w:tcW w:w="2170" w:type="dxa"/>
            <w:vAlign w:val="center"/>
          </w:tcPr>
          <w:p>
            <w:pPr>
              <w:snapToGrid w:val="0"/>
              <w:spacing w:line="360" w:lineRule="auto"/>
              <w:jc w:val="center"/>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highlight w:val="none"/>
              </w:rPr>
              <w:t>月饼</w:t>
            </w:r>
          </w:p>
        </w:tc>
        <w:tc>
          <w:tcPr>
            <w:tcW w:w="3150" w:type="dxa"/>
            <w:vAlign w:val="center"/>
          </w:tcPr>
          <w:p>
            <w:pPr>
              <w:snapToGrid w:val="0"/>
              <w:spacing w:line="360" w:lineRule="auto"/>
              <w:jc w:val="center"/>
              <w:rPr>
                <w:rFonts w:asciiTheme="minorEastAsia" w:hAnsiTheme="minorEastAsia" w:eastAsiaTheme="minorEastAsia"/>
                <w:sz w:val="28"/>
                <w:szCs w:val="28"/>
                <w:highlight w:val="yellow"/>
              </w:rPr>
            </w:pPr>
          </w:p>
        </w:tc>
        <w:tc>
          <w:tcPr>
            <w:tcW w:w="1440" w:type="dxa"/>
            <w:vAlign w:val="center"/>
          </w:tcPr>
          <w:p>
            <w:pPr>
              <w:snapToGrid w:val="0"/>
              <w:spacing w:line="360" w:lineRule="auto"/>
              <w:jc w:val="center"/>
              <w:rPr>
                <w:rFonts w:asciiTheme="minorEastAsia" w:hAnsiTheme="minorEastAsia" w:eastAsiaTheme="minorEastAsia"/>
                <w:sz w:val="28"/>
                <w:szCs w:val="28"/>
                <w:highlight w:val="yellow"/>
              </w:rPr>
            </w:pPr>
            <w:r>
              <w:rPr>
                <w:rFonts w:hint="eastAsia" w:asciiTheme="minorEastAsia" w:hAnsiTheme="minorEastAsia" w:eastAsiaTheme="minorEastAsia"/>
                <w:sz w:val="24"/>
                <w:szCs w:val="24"/>
              </w:rPr>
              <w:t>约950盒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9" w:hRule="atLeast"/>
          <w:jc w:val="center"/>
        </w:trPr>
        <w:tc>
          <w:tcPr>
            <w:tcW w:w="6760" w:type="dxa"/>
            <w:gridSpan w:val="3"/>
            <w:vAlign w:val="center"/>
          </w:tcPr>
          <w:p>
            <w:pPr>
              <w:jc w:val="both"/>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产品参数：</w:t>
            </w:r>
          </w:p>
          <w:p>
            <w:pPr>
              <w:numPr>
                <w:ilvl w:val="0"/>
                <w:numId w:val="0"/>
              </w:numPr>
              <w:jc w:val="both"/>
              <w:rPr>
                <w:rFonts w:asciiTheme="minorEastAsia" w:hAnsiTheme="minorEastAsia" w:eastAsiaTheme="minorEastAsia"/>
                <w:sz w:val="24"/>
                <w:szCs w:val="24"/>
              </w:rPr>
            </w:pPr>
            <w:r>
              <w:rPr>
                <w:rFonts w:hint="eastAsia" w:ascii="宋体" w:hAnsi="宋体" w:cs="宋体"/>
                <w:sz w:val="24"/>
                <w:szCs w:val="24"/>
                <w:lang w:val="en-US" w:eastAsia="zh-CN"/>
              </w:rPr>
              <w:t>1、</w:t>
            </w:r>
            <w:r>
              <w:rPr>
                <w:rFonts w:hint="eastAsia" w:ascii="宋体" w:hAnsi="宋体" w:cs="宋体"/>
                <w:sz w:val="24"/>
                <w:szCs w:val="24"/>
              </w:rPr>
              <w:t>月饼包装：月饼纸盒简包装。</w:t>
            </w:r>
          </w:p>
          <w:p>
            <w:pPr>
              <w:numPr>
                <w:ilvl w:val="0"/>
                <w:numId w:val="0"/>
              </w:numPr>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月饼数量：总数不少于8个。</w:t>
            </w:r>
          </w:p>
          <w:p>
            <w:pPr>
              <w:numPr>
                <w:ilvl w:val="0"/>
                <w:numId w:val="0"/>
              </w:numPr>
              <w:jc w:val="both"/>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月饼馅料中</w:t>
            </w:r>
            <w:r>
              <w:rPr>
                <w:rFonts w:hint="eastAsia" w:ascii="宋体" w:hAnsi="宋体" w:cs="宋体"/>
                <w:sz w:val="24"/>
                <w:szCs w:val="24"/>
              </w:rPr>
              <w:t>蛋黄馅月饼不少于2个，可含蛋黄酥等品种。</w:t>
            </w:r>
          </w:p>
          <w:p>
            <w:pPr>
              <w:snapToGrid w:val="0"/>
              <w:spacing w:line="360" w:lineRule="auto"/>
              <w:jc w:val="left"/>
              <w:rPr>
                <w:rFonts w:asciiTheme="minorEastAsia" w:hAnsiTheme="minorEastAsia" w:eastAsiaTheme="minorEastAsia"/>
                <w:sz w:val="28"/>
                <w:szCs w:val="28"/>
              </w:rPr>
            </w:pPr>
            <w:r>
              <w:rPr>
                <w:rFonts w:hint="eastAsia" w:ascii="宋体" w:hAnsi="宋体" w:cs="宋体"/>
                <w:sz w:val="24"/>
                <w:szCs w:val="24"/>
                <w:lang w:val="en-US" w:eastAsia="zh-CN"/>
              </w:rPr>
              <w:t>4、</w:t>
            </w:r>
            <w:r>
              <w:rPr>
                <w:rFonts w:hint="eastAsia" w:ascii="宋体" w:hAnsi="宋体" w:cs="宋体"/>
                <w:sz w:val="24"/>
                <w:szCs w:val="24"/>
              </w:rPr>
              <w:t>每盒总净含量不少于400g。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4" w:hRule="atLeast"/>
          <w:jc w:val="center"/>
        </w:trPr>
        <w:tc>
          <w:tcPr>
            <w:tcW w:w="6760" w:type="dxa"/>
            <w:gridSpan w:val="3"/>
            <w:vAlign w:val="center"/>
          </w:tcPr>
          <w:p>
            <w:pPr>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报价：</w:t>
            </w:r>
            <w:r>
              <w:rPr>
                <w:rFonts w:hint="eastAsia" w:asciiTheme="minorEastAsia" w:hAnsiTheme="minorEastAsia" w:eastAsiaTheme="minorEastAsia"/>
                <w:sz w:val="28"/>
                <w:szCs w:val="28"/>
                <w:highlight w:val="none"/>
              </w:rPr>
              <w:t>元/盒</w:t>
            </w:r>
          </w:p>
        </w:tc>
      </w:tr>
    </w:tbl>
    <w:p>
      <w:pPr>
        <w:snapToGrid w:val="0"/>
        <w:spacing w:line="360" w:lineRule="auto"/>
        <w:ind w:firstLine="840" w:firstLineChars="300"/>
        <w:rPr>
          <w:rFonts w:asciiTheme="minorEastAsia" w:hAnsiTheme="minorEastAsia" w:eastAsiaTheme="minorEastAsia"/>
          <w:sz w:val="28"/>
          <w:szCs w:val="28"/>
        </w:rPr>
      </w:pPr>
      <w:r>
        <w:rPr>
          <w:rFonts w:hint="eastAsia" w:asciiTheme="minorEastAsia" w:hAnsiTheme="minorEastAsia" w:eastAsiaTheme="minorEastAsia"/>
          <w:sz w:val="28"/>
          <w:szCs w:val="28"/>
        </w:rPr>
        <w:t>以上报价含</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%增值税（开具增值税专用发票）、人工费、运费等所有费用。</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比选单位（签章）：</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联系人：</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联系电话：</w:t>
      </w:r>
    </w:p>
    <w:p>
      <w:pPr>
        <w:snapToGrid w:val="0"/>
        <w:spacing w:line="360" w:lineRule="auto"/>
        <w:ind w:right="560"/>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年   月    日 </w:t>
      </w: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p>
    <w:p>
      <w:pPr>
        <w:jc w:val="left"/>
        <w:rPr>
          <w:rFonts w:cs="宋体" w:asciiTheme="minorEastAsia" w:hAnsiTheme="minorEastAsia" w:eastAsiaTheme="minorEastAsia"/>
          <w:color w:val="000000"/>
          <w:sz w:val="32"/>
          <w:szCs w:val="32"/>
        </w:rPr>
      </w:pPr>
      <w:r>
        <w:rPr>
          <w:rFonts w:hint="eastAsia" w:cs="宋体" w:asciiTheme="minorEastAsia" w:hAnsiTheme="minorEastAsia" w:eastAsiaTheme="minorEastAsia"/>
          <w:color w:val="000000"/>
          <w:sz w:val="32"/>
          <w:szCs w:val="32"/>
        </w:rPr>
        <w:t>附件二：法人授权书</w:t>
      </w:r>
    </w:p>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法定代表人授权委托书</w:t>
      </w:r>
    </w:p>
    <w:p>
      <w:pPr>
        <w:snapToGrid w:val="0"/>
        <w:spacing w:line="360" w:lineRule="auto"/>
        <w:jc w:val="center"/>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本授权书声明:注册于      (公司住所)的                     （公司名称)的法定代表人        (法定代表人姓名)代表本公司授权        （代理人的姓名）为公司的合法代理人，就福建省东南电化股份有限公司月饼采购项目自主比选的意向比选方申请登记、比选竞价、合同的签订，以本公司名义处理一切与之有关的事务。</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本授权书于    年    月    日签字生效，特此声明。</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法定代表人（签字）：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代理人姓名：            性别：      年龄：      职务：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身份证号码：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联系方式：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p>
    <w:p>
      <w:pPr>
        <w:snapToGrid w:val="0"/>
        <w:spacing w:line="360" w:lineRule="auto"/>
        <w:jc w:val="left"/>
        <w:rPr>
          <w:rFonts w:cs="宋体" w:asciiTheme="minorEastAsia" w:hAnsiTheme="minorEastAsia" w:eastAsiaTheme="minorEastAsia"/>
          <w:sz w:val="32"/>
          <w:szCs w:val="32"/>
        </w:rPr>
      </w:pPr>
      <w:r>
        <w:rPr>
          <w:rFonts w:hint="eastAsia" w:cs="宋体" w:asciiTheme="minorEastAsia" w:hAnsiTheme="minorEastAsia" w:eastAsiaTheme="minorEastAsia"/>
          <w:sz w:val="32"/>
          <w:szCs w:val="32"/>
        </w:rPr>
        <w:t>附件三：承诺函</w:t>
      </w:r>
    </w:p>
    <w:p>
      <w:pPr>
        <w:snapToGrid w:val="0"/>
        <w:spacing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承诺函</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致：福建省东南电化股份有限公司</w:t>
      </w:r>
    </w:p>
    <w:p>
      <w:pPr>
        <w:snapToGrid w:val="0"/>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我方为对福建省东南电化股份股份有限公司月饼采购项目自主比选公告表示完全响应，遵照公告的要求，特此确认并承诺：</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1、我方确认，我方已仔细阅读并研究了贵方的公告及其附件，我方完全熟悉其中的要求、条款和条件，并充分了解标的情况。</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2、我方确认，我方完全同意公告制定的交易规则。</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3、我方承诺，我方为比选所提供的材料均为真实、合法、完整。</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4、我方承诺：接受中选后福建省东南电化股份有限公司对我方合同授予前的资格审查工作。</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5、我方保证：我方确认，完全接受比选文件全部条款。自收到该项目中标通知次日起7个工作日内，我方将与东南电化签订洗地机采购合同。否则，自动视为放弃该中选权力。</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特此承诺。</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意向比选方（盖章）：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法定代表人或委托代理人（签字）：          </w:t>
      </w:r>
    </w:p>
    <w:p>
      <w:pPr>
        <w:snapToGrid w:val="0"/>
        <w:spacing w:line="360" w:lineRule="auto"/>
        <w:rPr>
          <w:rFonts w:asciiTheme="minorEastAsia" w:hAnsiTheme="minorEastAsia" w:eastAsiaTheme="minorEastAsia"/>
          <w:sz w:val="28"/>
          <w:szCs w:val="28"/>
        </w:rPr>
      </w:pP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地  址：                                 联系人：                                 </w:t>
      </w:r>
    </w:p>
    <w:p>
      <w:pPr>
        <w:snapToGrid w:val="0"/>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电  话：                                 年    月    日</w:t>
      </w:r>
    </w:p>
    <w:p>
      <w:pPr>
        <w:widowControl/>
        <w:adjustRightInd/>
        <w:spacing w:line="240" w:lineRule="auto"/>
        <w:jc w:val="left"/>
        <w:textAlignment w:val="auto"/>
        <w:rPr>
          <w:rFonts w:asciiTheme="minorEastAsia" w:hAnsiTheme="minorEastAsia" w:eastAsiaTheme="minorEastAsia"/>
          <w:sz w:val="28"/>
          <w:szCs w:val="28"/>
        </w:rPr>
      </w:pPr>
      <w:r>
        <w:rPr>
          <w:rFonts w:asciiTheme="minorEastAsia" w:hAnsiTheme="minorEastAsia" w:eastAsiaTheme="minorEastAsia"/>
          <w:sz w:val="28"/>
          <w:szCs w:val="28"/>
        </w:rPr>
        <w:br w:type="page"/>
      </w:r>
    </w:p>
    <w:p>
      <w:pPr>
        <w:spacing w:line="120" w:lineRule="auto"/>
        <w:jc w:val="left"/>
        <w:rPr>
          <w:sz w:val="32"/>
          <w:szCs w:val="32"/>
        </w:rPr>
      </w:pPr>
      <w:r>
        <w:rPr>
          <w:rFonts w:hint="eastAsia"/>
          <w:sz w:val="32"/>
          <w:szCs w:val="32"/>
        </w:rPr>
        <w:t>附件四：合同范本</w:t>
      </w:r>
    </w:p>
    <w:p>
      <w:pPr>
        <w:spacing w:line="120" w:lineRule="auto"/>
        <w:jc w:val="center"/>
        <w:rPr>
          <w:b/>
          <w:sz w:val="28"/>
          <w:szCs w:val="28"/>
        </w:rPr>
      </w:pPr>
      <w:r>
        <w:rPr>
          <w:rFonts w:hint="eastAsia"/>
          <w:b/>
          <w:sz w:val="28"/>
          <w:szCs w:val="28"/>
        </w:rPr>
        <w:t>月饼采购合同</w:t>
      </w:r>
    </w:p>
    <w:p>
      <w:pPr>
        <w:spacing w:line="120" w:lineRule="auto"/>
        <w:ind w:firstLine="360" w:firstLineChars="150"/>
        <w:rPr>
          <w:sz w:val="24"/>
          <w:szCs w:val="24"/>
        </w:rPr>
      </w:pPr>
      <w:r>
        <w:rPr>
          <w:sz w:val="24"/>
        </w:rPr>
        <w:t xml:space="preserve"> </w:t>
      </w:r>
      <w:r>
        <w:rPr>
          <w:rFonts w:hint="eastAsia"/>
          <w:sz w:val="24"/>
        </w:rPr>
        <w:t>合同编号：</w:t>
      </w:r>
      <w:r>
        <w:rPr>
          <w:sz w:val="24"/>
        </w:rPr>
        <w:t xml:space="preserve"> </w:t>
      </w:r>
    </w:p>
    <w:p>
      <w:pPr>
        <w:spacing w:line="120" w:lineRule="auto"/>
        <w:ind w:firstLine="480" w:firstLineChars="200"/>
        <w:rPr>
          <w:sz w:val="24"/>
        </w:rPr>
      </w:pPr>
      <w:r>
        <w:rPr>
          <w:rFonts w:hint="eastAsia"/>
          <w:sz w:val="24"/>
        </w:rPr>
        <w:t>甲方：</w:t>
      </w:r>
      <w:r>
        <w:rPr>
          <w:sz w:val="24"/>
        </w:rPr>
        <w:t xml:space="preserve">                                           </w:t>
      </w:r>
      <w:r>
        <w:rPr>
          <w:rFonts w:hint="eastAsia"/>
          <w:sz w:val="24"/>
        </w:rPr>
        <w:t>签订地点：</w:t>
      </w:r>
      <w:r>
        <w:rPr>
          <w:sz w:val="24"/>
        </w:rPr>
        <w:t xml:space="preserve"> </w:t>
      </w:r>
    </w:p>
    <w:p>
      <w:pPr>
        <w:spacing w:line="120" w:lineRule="auto"/>
        <w:ind w:firstLine="480" w:firstLineChars="200"/>
        <w:rPr>
          <w:sz w:val="24"/>
        </w:rPr>
      </w:pPr>
      <w:r>
        <w:rPr>
          <w:rFonts w:hint="eastAsia"/>
          <w:sz w:val="24"/>
        </w:rPr>
        <w:t>乙方：</w:t>
      </w:r>
      <w:r>
        <w:rPr>
          <w:sz w:val="24"/>
        </w:rPr>
        <w:t xml:space="preserve">                                           </w:t>
      </w:r>
      <w:r>
        <w:rPr>
          <w:rFonts w:hint="eastAsia"/>
          <w:sz w:val="24"/>
        </w:rPr>
        <w:t>签订日期：</w:t>
      </w:r>
      <w:r>
        <w:rPr>
          <w:sz w:val="24"/>
        </w:rPr>
        <w:t xml:space="preserve"> </w:t>
      </w:r>
    </w:p>
    <w:p>
      <w:pPr>
        <w:spacing w:line="120" w:lineRule="auto"/>
        <w:ind w:firstLine="480" w:firstLineChars="200"/>
        <w:rPr>
          <w:sz w:val="24"/>
        </w:rPr>
      </w:pPr>
    </w:p>
    <w:p>
      <w:pPr>
        <w:spacing w:line="120" w:lineRule="auto"/>
        <w:ind w:firstLine="480" w:firstLineChars="20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pPr>
        <w:numPr>
          <w:ilvl w:val="0"/>
          <w:numId w:val="2"/>
        </w:numPr>
        <w:spacing w:line="120" w:lineRule="auto"/>
        <w:rPr>
          <w:sz w:val="24"/>
        </w:rPr>
      </w:pPr>
      <w:r>
        <w:rPr>
          <w:rFonts w:hint="eastAsia"/>
          <w:sz w:val="24"/>
        </w:rPr>
        <w:t>合同标的和合同价格</w:t>
      </w:r>
    </w:p>
    <w:tbl>
      <w:tblPr>
        <w:tblStyle w:val="9"/>
        <w:tblW w:w="76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3551"/>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名称</w:t>
            </w:r>
          </w:p>
        </w:tc>
        <w:tc>
          <w:tcPr>
            <w:tcW w:w="3551" w:type="dxa"/>
            <w:vAlign w:val="center"/>
          </w:tcPr>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品牌</w:t>
            </w:r>
          </w:p>
        </w:tc>
        <w:tc>
          <w:tcPr>
            <w:tcW w:w="1623" w:type="dxa"/>
            <w:vAlign w:val="center"/>
          </w:tcPr>
          <w:p>
            <w:pPr>
              <w:snapToGrid w:val="0"/>
              <w:spacing w:line="360" w:lineRule="auto"/>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2446" w:type="dxa"/>
            <w:vAlign w:val="center"/>
          </w:tcPr>
          <w:p>
            <w:pPr>
              <w:snapToGrid w:val="0"/>
              <w:spacing w:line="360" w:lineRule="auto"/>
              <w:jc w:val="center"/>
              <w:rPr>
                <w:rFonts w:asciiTheme="minorEastAsia" w:hAnsiTheme="minorEastAsia" w:eastAsiaTheme="minorEastAsia"/>
                <w:sz w:val="28"/>
                <w:szCs w:val="28"/>
              </w:rPr>
            </w:pPr>
            <w:r>
              <w:rPr>
                <w:rFonts w:hint="eastAsia"/>
                <w:b/>
                <w:sz w:val="28"/>
                <w:szCs w:val="28"/>
                <w:highlight w:val="none"/>
              </w:rPr>
              <w:t>月饼</w:t>
            </w:r>
          </w:p>
        </w:tc>
        <w:tc>
          <w:tcPr>
            <w:tcW w:w="3551" w:type="dxa"/>
            <w:vAlign w:val="center"/>
          </w:tcPr>
          <w:p>
            <w:pPr>
              <w:snapToGrid w:val="0"/>
              <w:spacing w:line="360" w:lineRule="auto"/>
              <w:jc w:val="center"/>
              <w:rPr>
                <w:rFonts w:asciiTheme="minorEastAsia" w:hAnsiTheme="minorEastAsia" w:eastAsiaTheme="minorEastAsia"/>
                <w:sz w:val="28"/>
                <w:szCs w:val="28"/>
              </w:rPr>
            </w:pPr>
          </w:p>
        </w:tc>
        <w:tc>
          <w:tcPr>
            <w:tcW w:w="1623" w:type="dxa"/>
            <w:vAlign w:val="center"/>
          </w:tcPr>
          <w:p>
            <w:pPr>
              <w:snapToGrid w:val="0"/>
              <w:spacing w:line="360" w:lineRule="auto"/>
              <w:jc w:val="center"/>
              <w:rPr>
                <w:rFonts w:asciiTheme="minorEastAsia" w:hAnsiTheme="minorEastAsia" w:eastAsia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35" w:hRule="atLeast"/>
          <w:jc w:val="center"/>
        </w:trPr>
        <w:tc>
          <w:tcPr>
            <w:tcW w:w="7620" w:type="dxa"/>
            <w:gridSpan w:val="3"/>
            <w:vAlign w:val="center"/>
          </w:tcPr>
          <w:p>
            <w:pPr>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rPr>
              <w:t>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7620" w:type="dxa"/>
            <w:gridSpan w:val="3"/>
            <w:vAlign w:val="center"/>
          </w:tcPr>
          <w:p>
            <w:pPr>
              <w:snapToGrid w:val="0"/>
              <w:spacing w:line="360" w:lineRule="auto"/>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合同价</w:t>
            </w:r>
            <w:r>
              <w:rPr>
                <w:rFonts w:hint="eastAsia" w:asciiTheme="minorEastAsia" w:hAnsiTheme="minorEastAsia" w:eastAsiaTheme="minorEastAsia"/>
                <w:sz w:val="28"/>
                <w:szCs w:val="28"/>
              </w:rPr>
              <w:t>：</w:t>
            </w:r>
          </w:p>
        </w:tc>
      </w:tr>
    </w:tbl>
    <w:p>
      <w:pPr>
        <w:spacing w:line="360" w:lineRule="auto"/>
        <w:ind w:firstLine="480" w:firstLineChars="200"/>
        <w:rPr>
          <w:sz w:val="24"/>
        </w:rPr>
      </w:pPr>
      <w:r>
        <w:rPr>
          <w:rFonts w:hint="eastAsia"/>
          <w:sz w:val="24"/>
        </w:rPr>
        <w:t>上述金额为含</w:t>
      </w:r>
      <w:r>
        <w:rPr>
          <w:rFonts w:hint="eastAsia"/>
          <w:sz w:val="24"/>
          <w:u w:val="single"/>
        </w:rPr>
        <w:t xml:space="preserve">   </w:t>
      </w:r>
      <w:r>
        <w:rPr>
          <w:sz w:val="24"/>
        </w:rPr>
        <w:t>%增值</w:t>
      </w:r>
      <w:r>
        <w:rPr>
          <w:rFonts w:hint="eastAsia"/>
          <w:sz w:val="24"/>
        </w:rPr>
        <w:t>税价格，包含了乙方提供本合同约定的产品及相应服务（如有）的全部价格，除非另有约定，甲方不再承担其他费用。</w:t>
      </w:r>
    </w:p>
    <w:p>
      <w:pPr>
        <w:spacing w:line="360" w:lineRule="auto"/>
        <w:rPr>
          <w:sz w:val="24"/>
        </w:rPr>
      </w:pPr>
      <w:r>
        <w:rPr>
          <w:sz w:val="24"/>
        </w:rPr>
        <w:t>2</w:t>
      </w:r>
      <w:r>
        <w:rPr>
          <w:rFonts w:hint="eastAsia"/>
          <w:sz w:val="24"/>
        </w:rPr>
        <w:t>、交货：</w:t>
      </w:r>
      <w:r>
        <w:rPr>
          <w:sz w:val="24"/>
          <w:u w:val="single"/>
        </w:rPr>
        <w:t xml:space="preserve"> </w:t>
      </w:r>
    </w:p>
    <w:p>
      <w:pPr>
        <w:spacing w:line="360" w:lineRule="auto"/>
        <w:ind w:firstLine="360" w:firstLineChars="15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pPr>
        <w:spacing w:line="360" w:lineRule="auto"/>
        <w:ind w:firstLine="480" w:firstLineChars="200"/>
        <w:rPr>
          <w:sz w:val="24"/>
          <w:highlight w:val="none"/>
          <w:u w:val="single"/>
        </w:rPr>
      </w:pPr>
      <w:r>
        <w:rPr>
          <w:sz w:val="24"/>
        </w:rPr>
        <w:t>2.2</w:t>
      </w:r>
      <w:r>
        <w:rPr>
          <w:rFonts w:hint="eastAsia"/>
          <w:sz w:val="24"/>
        </w:rPr>
        <w:t>交货地点：运送到</w:t>
      </w:r>
      <w:r>
        <w:rPr>
          <w:sz w:val="24"/>
          <w:u w:val="single"/>
        </w:rPr>
        <w:t xml:space="preserve"> </w:t>
      </w:r>
      <w:r>
        <w:rPr>
          <w:rFonts w:hint="eastAsia"/>
          <w:sz w:val="24"/>
          <w:highlight w:val="none"/>
          <w:u w:val="single"/>
        </w:rPr>
        <w:t>福建省东南电化公司公寓职工之家一楼  （福清新厝）  （以甲方提供的送货清单和地址明细为准）</w:t>
      </w:r>
    </w:p>
    <w:p>
      <w:pPr>
        <w:spacing w:line="360" w:lineRule="auto"/>
        <w:ind w:firstLine="480" w:firstLineChars="200"/>
        <w:rPr>
          <w:sz w:val="24"/>
        </w:rPr>
      </w:pPr>
      <w:r>
        <w:rPr>
          <w:sz w:val="24"/>
          <w:highlight w:val="none"/>
        </w:rPr>
        <w:t>2.3</w:t>
      </w:r>
      <w:r>
        <w:rPr>
          <w:rFonts w:hint="eastAsia"/>
          <w:sz w:val="24"/>
          <w:highlight w:val="none"/>
        </w:rPr>
        <w:t>交货时间：</w:t>
      </w:r>
      <w:r>
        <w:rPr>
          <w:sz w:val="24"/>
          <w:highlight w:val="none"/>
          <w:u w:val="single"/>
        </w:rPr>
        <w:t xml:space="preserve">  </w:t>
      </w:r>
      <w:r>
        <w:rPr>
          <w:rFonts w:hint="eastAsia"/>
          <w:sz w:val="24"/>
          <w:highlight w:val="none"/>
          <w:u w:val="single"/>
          <w:lang w:val="en-US" w:eastAsia="zh-CN"/>
        </w:rPr>
        <w:t>2018年9月17日前到货并验收合格</w:t>
      </w:r>
      <w:r>
        <w:rPr>
          <w:sz w:val="24"/>
          <w:highlight w:val="none"/>
          <w:u w:val="single"/>
        </w:rPr>
        <w:t xml:space="preserve">  </w:t>
      </w:r>
      <w:r>
        <w:rPr>
          <w:sz w:val="24"/>
          <w:u w:val="single"/>
        </w:rPr>
        <w:t xml:space="preserve">     </w:t>
      </w:r>
    </w:p>
    <w:p>
      <w:pPr>
        <w:spacing w:line="360" w:lineRule="auto"/>
        <w:ind w:firstLine="480" w:firstLineChars="20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pPr>
        <w:spacing w:line="360" w:lineRule="auto"/>
        <w:rPr>
          <w:sz w:val="24"/>
        </w:rPr>
      </w:pPr>
      <w:r>
        <w:rPr>
          <w:sz w:val="24"/>
        </w:rPr>
        <w:t>3</w:t>
      </w:r>
      <w:r>
        <w:rPr>
          <w:rFonts w:hint="eastAsia"/>
          <w:sz w:val="24"/>
        </w:rPr>
        <w:t>、付款方式与条件</w:t>
      </w:r>
    </w:p>
    <w:p>
      <w:pPr>
        <w:spacing w:line="360" w:lineRule="auto"/>
        <w:ind w:firstLine="480" w:firstLineChars="200"/>
        <w:rPr>
          <w:sz w:val="24"/>
        </w:rPr>
      </w:pPr>
      <w:r>
        <w:rPr>
          <w:sz w:val="24"/>
        </w:rPr>
        <w:t>3.1</w:t>
      </w:r>
      <w:r>
        <w:rPr>
          <w:rFonts w:hint="eastAsia"/>
          <w:sz w:val="24"/>
        </w:rPr>
        <w:t>乙方交付的产品按合同约定标准经甲方验收合格后，乙方根据甲方要求提交全额增值税专用发票（税率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w:t>
      </w:r>
      <w:r>
        <w:rPr>
          <w:rFonts w:hint="eastAsia"/>
          <w:sz w:val="24"/>
          <w:lang w:eastAsia="zh-CN"/>
        </w:rPr>
        <w:t>，</w:t>
      </w:r>
      <w:r>
        <w:rPr>
          <w:rFonts w:hint="eastAsia"/>
          <w:sz w:val="24"/>
        </w:rPr>
        <w:t>甲方</w:t>
      </w:r>
      <w:r>
        <w:rPr>
          <w:rFonts w:hint="eastAsia"/>
          <w:sz w:val="24"/>
          <w:lang w:val="en-US" w:eastAsia="zh-CN"/>
        </w:rPr>
        <w:t>在15个工作日内</w:t>
      </w:r>
      <w:r>
        <w:rPr>
          <w:rFonts w:hint="eastAsia"/>
          <w:sz w:val="24"/>
        </w:rPr>
        <w:t>向乙方支付合同价总额。</w:t>
      </w:r>
      <w:bookmarkStart w:id="0" w:name="_GoBack"/>
      <w:bookmarkEnd w:id="0"/>
    </w:p>
    <w:p>
      <w:pPr>
        <w:spacing w:line="360" w:lineRule="auto"/>
        <w:rPr>
          <w:sz w:val="24"/>
        </w:rPr>
      </w:pPr>
      <w:r>
        <w:rPr>
          <w:sz w:val="24"/>
        </w:rPr>
        <w:t>4</w:t>
      </w:r>
      <w:r>
        <w:rPr>
          <w:rFonts w:hint="eastAsia"/>
          <w:sz w:val="24"/>
        </w:rPr>
        <w:t>、质量要求标准</w:t>
      </w:r>
    </w:p>
    <w:p>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参数必须与官方网站中所列设的参数一致，如产品不符合本合同中约定的要求，甲方有权拒绝接受。</w:t>
      </w:r>
    </w:p>
    <w:p>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pPr>
        <w:spacing w:line="360" w:lineRule="auto"/>
        <w:rPr>
          <w:sz w:val="24"/>
        </w:rPr>
      </w:pPr>
      <w:r>
        <w:rPr>
          <w:sz w:val="24"/>
        </w:rPr>
        <w:t xml:space="preserve">    4.4</w:t>
      </w:r>
      <w:r>
        <w:rPr>
          <w:rFonts w:hint="eastAsia"/>
          <w:sz w:val="24"/>
        </w:rPr>
        <w:t>乙方不按本合同约定交付产品所产生的任何费用由乙方自己承担。</w:t>
      </w:r>
    </w:p>
    <w:p>
      <w:pPr>
        <w:spacing w:line="360" w:lineRule="auto"/>
        <w:rPr>
          <w:sz w:val="24"/>
        </w:rPr>
      </w:pPr>
      <w:r>
        <w:rPr>
          <w:rFonts w:hint="eastAsia"/>
          <w:sz w:val="24"/>
          <w:lang w:val="en-US" w:eastAsia="zh-CN"/>
        </w:rPr>
        <w:t>5</w:t>
      </w:r>
      <w:r>
        <w:rPr>
          <w:rFonts w:hint="eastAsia"/>
          <w:sz w:val="24"/>
        </w:rPr>
        <w:t>、验收</w:t>
      </w:r>
    </w:p>
    <w:p>
      <w:pPr>
        <w:spacing w:line="360" w:lineRule="auto"/>
        <w:rPr>
          <w:sz w:val="24"/>
        </w:rPr>
      </w:pPr>
      <w:r>
        <w:rPr>
          <w:sz w:val="24"/>
        </w:rPr>
        <w:t xml:space="preserve">    </w:t>
      </w:r>
      <w:r>
        <w:rPr>
          <w:rFonts w:hint="eastAsia"/>
          <w:sz w:val="24"/>
          <w:lang w:val="en-US" w:eastAsia="zh-CN"/>
        </w:rPr>
        <w:t>5</w:t>
      </w:r>
      <w:r>
        <w:rPr>
          <w:sz w:val="24"/>
        </w:rPr>
        <w:t>.1</w:t>
      </w:r>
      <w:r>
        <w:rPr>
          <w:rFonts w:hint="eastAsia"/>
          <w:sz w:val="24"/>
        </w:rPr>
        <w:t>货物的货到验收包括：型号、规格、数量、外观质量、及货物包装是否完好。</w:t>
      </w:r>
    </w:p>
    <w:p>
      <w:pPr>
        <w:spacing w:line="360" w:lineRule="auto"/>
        <w:rPr>
          <w:sz w:val="24"/>
        </w:rPr>
      </w:pPr>
      <w:r>
        <w:rPr>
          <w:sz w:val="24"/>
        </w:rPr>
        <w:t xml:space="preserve">    </w:t>
      </w:r>
      <w:r>
        <w:rPr>
          <w:rFonts w:hint="eastAsia"/>
          <w:sz w:val="24"/>
          <w:lang w:val="en-US" w:eastAsia="zh-CN"/>
        </w:rPr>
        <w:t>5</w:t>
      </w:r>
      <w:r>
        <w:rPr>
          <w:sz w:val="24"/>
        </w:rPr>
        <w:t>.2</w:t>
      </w:r>
      <w:r>
        <w:rPr>
          <w:rFonts w:hint="eastAsia"/>
          <w:sz w:val="24"/>
        </w:rPr>
        <w:t>乙方对一次开箱不合格（产品有质量</w:t>
      </w:r>
      <w:r>
        <w:rPr>
          <w:rFonts w:hint="eastAsia"/>
          <w:sz w:val="24"/>
          <w:lang w:val="en-US" w:eastAsia="zh-CN"/>
        </w:rPr>
        <w:t>问题</w:t>
      </w:r>
      <w:r>
        <w:rPr>
          <w:rFonts w:hint="eastAsia"/>
          <w:sz w:val="24"/>
        </w:rPr>
        <w:t>）的产品予以换新，承担一切与之有关的费用。</w:t>
      </w:r>
    </w:p>
    <w:p>
      <w:pPr>
        <w:spacing w:line="360" w:lineRule="auto"/>
        <w:ind w:firstLine="480" w:firstLineChars="200"/>
        <w:rPr>
          <w:sz w:val="24"/>
        </w:rPr>
      </w:pPr>
      <w:r>
        <w:rPr>
          <w:rFonts w:hint="eastAsia"/>
          <w:sz w:val="24"/>
          <w:lang w:val="en-US" w:eastAsia="zh-CN"/>
        </w:rPr>
        <w:t>5</w:t>
      </w:r>
      <w:r>
        <w:rPr>
          <w:sz w:val="24"/>
        </w:rPr>
        <w:t>.</w:t>
      </w:r>
      <w:r>
        <w:rPr>
          <w:rFonts w:hint="eastAsia"/>
          <w:sz w:val="24"/>
          <w:lang w:val="en-US" w:eastAsia="zh-CN"/>
        </w:rPr>
        <w:t>3</w:t>
      </w:r>
      <w:r>
        <w:rPr>
          <w:sz w:val="24"/>
        </w:rPr>
        <w:t xml:space="preserve"> </w:t>
      </w:r>
      <w:r>
        <w:rPr>
          <w:rFonts w:hint="eastAsia"/>
          <w:sz w:val="24"/>
        </w:rPr>
        <w:t>但无论采取何种验收方式，均不免除乙方按照本合同约定应承担的质量保证责任。</w:t>
      </w:r>
    </w:p>
    <w:p>
      <w:pPr>
        <w:spacing w:line="360" w:lineRule="auto"/>
        <w:rPr>
          <w:sz w:val="24"/>
        </w:rPr>
      </w:pPr>
      <w:r>
        <w:rPr>
          <w:rFonts w:hint="eastAsia"/>
          <w:sz w:val="24"/>
          <w:lang w:val="en-US" w:eastAsia="zh-CN"/>
        </w:rPr>
        <w:t>6</w:t>
      </w:r>
      <w:r>
        <w:rPr>
          <w:rFonts w:hint="eastAsia"/>
          <w:sz w:val="24"/>
        </w:rPr>
        <w:t>、质量保证</w:t>
      </w:r>
    </w:p>
    <w:p>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pPr>
        <w:spacing w:line="360" w:lineRule="auto"/>
        <w:rPr>
          <w:sz w:val="24"/>
        </w:rPr>
      </w:pPr>
      <w:r>
        <w:rPr>
          <w:rFonts w:hint="eastAsia"/>
          <w:sz w:val="24"/>
          <w:lang w:val="en-US" w:eastAsia="zh-CN"/>
        </w:rPr>
        <w:t>7</w:t>
      </w:r>
      <w:r>
        <w:rPr>
          <w:rFonts w:hint="eastAsia"/>
          <w:sz w:val="24"/>
        </w:rPr>
        <w:t>、违约责任</w:t>
      </w:r>
    </w:p>
    <w:p>
      <w:pPr>
        <w:spacing w:line="360" w:lineRule="auto"/>
        <w:rPr>
          <w:sz w:val="24"/>
        </w:rPr>
      </w:pPr>
      <w:r>
        <w:rPr>
          <w:sz w:val="24"/>
        </w:rPr>
        <w:t xml:space="preserve">   </w:t>
      </w:r>
      <w:r>
        <w:rPr>
          <w:rFonts w:hint="eastAsia"/>
          <w:sz w:val="24"/>
          <w:lang w:val="en-US" w:eastAsia="zh-CN"/>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pPr>
        <w:spacing w:line="360" w:lineRule="auto"/>
        <w:rPr>
          <w:sz w:val="24"/>
        </w:rPr>
      </w:pPr>
      <w:r>
        <w:rPr>
          <w:sz w:val="24"/>
        </w:rPr>
        <w:t xml:space="preserve">   </w:t>
      </w:r>
      <w:r>
        <w:rPr>
          <w:rFonts w:hint="eastAsia"/>
          <w:sz w:val="24"/>
          <w:lang w:val="en-US" w:eastAsia="zh-CN"/>
        </w:rPr>
        <w:t>7.</w:t>
      </w:r>
      <w:r>
        <w:rPr>
          <w:sz w:val="24"/>
        </w:rPr>
        <w:t xml:space="preserve">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pPr>
        <w:spacing w:line="360" w:lineRule="auto"/>
        <w:rPr>
          <w:sz w:val="24"/>
        </w:rPr>
      </w:pPr>
      <w:r>
        <w:rPr>
          <w:sz w:val="24"/>
        </w:rPr>
        <w:t xml:space="preserve">   </w:t>
      </w:r>
      <w:r>
        <w:rPr>
          <w:rFonts w:hint="eastAsia"/>
          <w:sz w:val="24"/>
          <w:lang w:val="en-US" w:eastAsia="zh-CN"/>
        </w:rPr>
        <w:t>7</w:t>
      </w:r>
      <w:r>
        <w:rPr>
          <w:sz w:val="24"/>
        </w:rPr>
        <w:t xml:space="preserve">.3 </w:t>
      </w:r>
      <w:r>
        <w:rPr>
          <w:rFonts w:hint="eastAsia"/>
          <w:sz w:val="24"/>
        </w:rPr>
        <w:t>甲方无故逾期付款的，按照银行同期贷款利率标准支付利息。</w:t>
      </w:r>
    </w:p>
    <w:p>
      <w:pPr>
        <w:spacing w:line="360" w:lineRule="auto"/>
        <w:ind w:firstLine="360" w:firstLineChars="150"/>
        <w:rPr>
          <w:sz w:val="24"/>
        </w:rPr>
      </w:pPr>
      <w:r>
        <w:rPr>
          <w:rFonts w:hint="eastAsia"/>
          <w:sz w:val="24"/>
          <w:lang w:val="en-US" w:eastAsia="zh-CN"/>
        </w:rPr>
        <w:t>7</w:t>
      </w:r>
      <w:r>
        <w:rPr>
          <w:sz w:val="24"/>
        </w:rPr>
        <w:t xml:space="preserve">.4 </w:t>
      </w:r>
      <w:r>
        <w:rPr>
          <w:rFonts w:hint="eastAsia"/>
          <w:sz w:val="24"/>
        </w:rPr>
        <w:t>一方的违约行为给对方造成的损失超过本合同约定的违约金数额的，超出部分，违约方应予以赔偿。</w:t>
      </w:r>
    </w:p>
    <w:p>
      <w:pPr>
        <w:spacing w:line="360" w:lineRule="auto"/>
        <w:ind w:firstLine="480" w:firstLineChars="200"/>
        <w:rPr>
          <w:sz w:val="24"/>
        </w:rPr>
      </w:pPr>
      <w:r>
        <w:rPr>
          <w:rFonts w:hint="eastAsia"/>
          <w:sz w:val="24"/>
          <w:lang w:val="en-US" w:eastAsia="zh-CN"/>
        </w:rPr>
        <w:t>8</w:t>
      </w:r>
      <w:r>
        <w:rPr>
          <w:rFonts w:hint="eastAsia"/>
          <w:sz w:val="24"/>
        </w:rPr>
        <w:t>、通知</w:t>
      </w:r>
    </w:p>
    <w:p>
      <w:pPr>
        <w:spacing w:line="360" w:lineRule="auto"/>
        <w:ind w:firstLine="480" w:firstLineChars="20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rPr>
      </w:pPr>
      <w:r>
        <w:rPr>
          <w:sz w:val="24"/>
        </w:rPr>
        <w:t>10</w:t>
      </w:r>
      <w:r>
        <w:rPr>
          <w:rFonts w:hint="eastAsia"/>
          <w:sz w:val="24"/>
        </w:rPr>
        <w:t>、本合同一式四份，经双方签订后生效，甲方执三份、乙方执一份，具有同等效力。</w:t>
      </w:r>
    </w:p>
    <w:p>
      <w:pPr>
        <w:spacing w:line="360" w:lineRule="auto"/>
        <w:rPr>
          <w:sz w:val="24"/>
        </w:rPr>
      </w:pPr>
      <w:r>
        <w:rPr>
          <w:rFonts w:hint="eastAsia"/>
          <w:sz w:val="24"/>
        </w:rPr>
        <w:t>甲方：</w:t>
      </w:r>
      <w:r>
        <w:rPr>
          <w:sz w:val="24"/>
        </w:rPr>
        <w:t xml:space="preserve">                                         </w:t>
      </w:r>
      <w:r>
        <w:rPr>
          <w:rFonts w:hint="eastAsia"/>
          <w:sz w:val="24"/>
        </w:rPr>
        <w:t>乙方：</w:t>
      </w:r>
    </w:p>
    <w:p>
      <w:pPr>
        <w:spacing w:line="360" w:lineRule="auto"/>
        <w:rPr>
          <w:sz w:val="24"/>
        </w:rPr>
      </w:pPr>
      <w:r>
        <w:rPr>
          <w:rFonts w:hint="eastAsia"/>
          <w:sz w:val="24"/>
        </w:rPr>
        <w:t>联系地址：</w:t>
      </w:r>
      <w:r>
        <w:rPr>
          <w:sz w:val="24"/>
        </w:rPr>
        <w:t xml:space="preserve">                                     </w:t>
      </w:r>
      <w:r>
        <w:rPr>
          <w:rFonts w:hint="eastAsia"/>
          <w:sz w:val="24"/>
        </w:rPr>
        <w:t>联系地址：</w:t>
      </w:r>
    </w:p>
    <w:p>
      <w:pPr>
        <w:spacing w:line="360" w:lineRule="auto"/>
        <w:rPr>
          <w:sz w:val="24"/>
        </w:rPr>
      </w:pPr>
      <w:r>
        <w:rPr>
          <w:rFonts w:hint="eastAsia"/>
          <w:sz w:val="24"/>
        </w:rPr>
        <w:t>邮编：</w:t>
      </w:r>
      <w:r>
        <w:rPr>
          <w:sz w:val="24"/>
        </w:rPr>
        <w:t xml:space="preserve">                                         </w:t>
      </w:r>
      <w:r>
        <w:rPr>
          <w:rFonts w:hint="eastAsia"/>
          <w:sz w:val="24"/>
        </w:rPr>
        <w:t>邮编：</w:t>
      </w:r>
    </w:p>
    <w:p>
      <w:pPr>
        <w:spacing w:line="360" w:lineRule="auto"/>
        <w:rPr>
          <w:sz w:val="24"/>
        </w:rPr>
      </w:pPr>
      <w:r>
        <w:rPr>
          <w:rFonts w:hint="eastAsia"/>
          <w:sz w:val="24"/>
        </w:rPr>
        <w:t>传真：</w:t>
      </w:r>
      <w:r>
        <w:rPr>
          <w:sz w:val="24"/>
        </w:rPr>
        <w:t xml:space="preserve">                                         </w:t>
      </w:r>
      <w:r>
        <w:rPr>
          <w:rFonts w:hint="eastAsia"/>
          <w:sz w:val="24"/>
        </w:rPr>
        <w:t>传真：</w:t>
      </w:r>
    </w:p>
    <w:p>
      <w:pPr>
        <w:spacing w:line="360" w:lineRule="auto"/>
        <w:rPr>
          <w:sz w:val="24"/>
        </w:rPr>
      </w:pPr>
      <w:r>
        <w:rPr>
          <w:rFonts w:hint="eastAsia"/>
          <w:sz w:val="24"/>
        </w:rPr>
        <w:t>电子邮箱：</w:t>
      </w:r>
      <w:r>
        <w:rPr>
          <w:sz w:val="24"/>
        </w:rPr>
        <w:t xml:space="preserve">                                     </w:t>
      </w:r>
      <w:r>
        <w:rPr>
          <w:rFonts w:hint="eastAsia"/>
          <w:sz w:val="24"/>
        </w:rPr>
        <w:t>电子邮箱：</w:t>
      </w:r>
    </w:p>
    <w:p>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pPr>
        <w:spacing w:line="360" w:lineRule="auto"/>
        <w:rPr>
          <w:sz w:val="24"/>
        </w:rPr>
      </w:pPr>
      <w:r>
        <w:rPr>
          <w:rFonts w:hint="eastAsia"/>
          <w:sz w:val="24"/>
        </w:rPr>
        <w:t>电话：</w:t>
      </w:r>
      <w:r>
        <w:rPr>
          <w:sz w:val="24"/>
        </w:rPr>
        <w:t xml:space="preserve">                                         </w:t>
      </w:r>
      <w:r>
        <w:rPr>
          <w:rFonts w:hint="eastAsia"/>
          <w:sz w:val="24"/>
        </w:rPr>
        <w:t>电话：</w:t>
      </w:r>
    </w:p>
    <w:p>
      <w:pPr>
        <w:spacing w:line="360" w:lineRule="auto"/>
        <w:rPr>
          <w:sz w:val="24"/>
        </w:rPr>
      </w:pPr>
      <w:r>
        <w:rPr>
          <w:rFonts w:hint="eastAsia"/>
          <w:sz w:val="24"/>
        </w:rPr>
        <w:t>开户银行：</w:t>
      </w:r>
      <w:r>
        <w:rPr>
          <w:sz w:val="24"/>
        </w:rPr>
        <w:t xml:space="preserve">                                     </w:t>
      </w:r>
      <w:r>
        <w:rPr>
          <w:rFonts w:hint="eastAsia"/>
          <w:sz w:val="24"/>
        </w:rPr>
        <w:t>开户银行：</w:t>
      </w:r>
    </w:p>
    <w:p>
      <w:pPr>
        <w:spacing w:line="360" w:lineRule="auto"/>
        <w:rPr>
          <w:sz w:val="24"/>
        </w:rPr>
      </w:pPr>
      <w:r>
        <w:rPr>
          <w:rFonts w:hint="eastAsia"/>
          <w:sz w:val="24"/>
        </w:rPr>
        <w:t>账号：</w:t>
      </w:r>
      <w:r>
        <w:rPr>
          <w:sz w:val="24"/>
        </w:rPr>
        <w:t xml:space="preserve">                                         </w:t>
      </w:r>
      <w:r>
        <w:rPr>
          <w:rFonts w:hint="eastAsia"/>
          <w:sz w:val="24"/>
        </w:rPr>
        <w:t>账号：</w:t>
      </w:r>
    </w:p>
    <w:p>
      <w:pPr>
        <w:snapToGrid w:val="0"/>
        <w:spacing w:line="360" w:lineRule="auto"/>
        <w:rPr>
          <w:rFonts w:cs="宋体" w:asciiTheme="minorEastAsia" w:hAnsiTheme="minorEastAsia" w:eastAsiaTheme="minorEastAsia"/>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128DD"/>
    <w:multiLevelType w:val="singleLevel"/>
    <w:tmpl w:val="22F128DD"/>
    <w:lvl w:ilvl="0" w:tentative="0">
      <w:start w:val="1"/>
      <w:numFmt w:val="decimal"/>
      <w:suff w:val="nothing"/>
      <w:lvlText w:val="%1、"/>
      <w:lvlJc w:val="left"/>
    </w:lvl>
  </w:abstractNum>
  <w:abstractNum w:abstractNumId="1">
    <w:nsid w:val="58B663E3"/>
    <w:multiLevelType w:val="singleLevel"/>
    <w:tmpl w:val="58B663E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100AA"/>
    <w:rsid w:val="00324D81"/>
    <w:rsid w:val="003470E5"/>
    <w:rsid w:val="003644D1"/>
    <w:rsid w:val="003E46A5"/>
    <w:rsid w:val="00412899"/>
    <w:rsid w:val="00503348"/>
    <w:rsid w:val="00527FA6"/>
    <w:rsid w:val="006000D3"/>
    <w:rsid w:val="00645CDE"/>
    <w:rsid w:val="00740542"/>
    <w:rsid w:val="0075628A"/>
    <w:rsid w:val="007900A4"/>
    <w:rsid w:val="00883337"/>
    <w:rsid w:val="008A44B3"/>
    <w:rsid w:val="009057CC"/>
    <w:rsid w:val="00911251"/>
    <w:rsid w:val="00975D31"/>
    <w:rsid w:val="009B29EE"/>
    <w:rsid w:val="009C338E"/>
    <w:rsid w:val="009C3FE9"/>
    <w:rsid w:val="009D04DA"/>
    <w:rsid w:val="009D68F4"/>
    <w:rsid w:val="009E5019"/>
    <w:rsid w:val="009F72A5"/>
    <w:rsid w:val="00A2652C"/>
    <w:rsid w:val="00A31CFA"/>
    <w:rsid w:val="00A36E75"/>
    <w:rsid w:val="00A406B1"/>
    <w:rsid w:val="00A81E00"/>
    <w:rsid w:val="00A9754C"/>
    <w:rsid w:val="00AA03A0"/>
    <w:rsid w:val="00AE3CC2"/>
    <w:rsid w:val="00B57F7A"/>
    <w:rsid w:val="00B801EF"/>
    <w:rsid w:val="00CB52D2"/>
    <w:rsid w:val="00CC213F"/>
    <w:rsid w:val="00CD5597"/>
    <w:rsid w:val="00CE5A4B"/>
    <w:rsid w:val="00D05711"/>
    <w:rsid w:val="00D27CAA"/>
    <w:rsid w:val="00D53A51"/>
    <w:rsid w:val="00D66583"/>
    <w:rsid w:val="00DA277E"/>
    <w:rsid w:val="00E1359E"/>
    <w:rsid w:val="00E32B85"/>
    <w:rsid w:val="00E4135E"/>
    <w:rsid w:val="00E65523"/>
    <w:rsid w:val="00F66B5F"/>
    <w:rsid w:val="00F67168"/>
    <w:rsid w:val="090C6809"/>
    <w:rsid w:val="0B290B23"/>
    <w:rsid w:val="0DC37A5D"/>
    <w:rsid w:val="120B49D8"/>
    <w:rsid w:val="12333AA4"/>
    <w:rsid w:val="168814C0"/>
    <w:rsid w:val="1F232CF7"/>
    <w:rsid w:val="2482312E"/>
    <w:rsid w:val="335C0074"/>
    <w:rsid w:val="35303458"/>
    <w:rsid w:val="35DF1CA0"/>
    <w:rsid w:val="3A114894"/>
    <w:rsid w:val="42CD7427"/>
    <w:rsid w:val="4EEF574D"/>
    <w:rsid w:val="50F23166"/>
    <w:rsid w:val="511E48DE"/>
    <w:rsid w:val="534E3B2D"/>
    <w:rsid w:val="553A77AF"/>
    <w:rsid w:val="5B631AE0"/>
    <w:rsid w:val="5F8D2393"/>
    <w:rsid w:val="607F7E67"/>
    <w:rsid w:val="628C1C3F"/>
    <w:rsid w:val="65FD0E03"/>
    <w:rsid w:val="686563A5"/>
    <w:rsid w:val="69A768D6"/>
    <w:rsid w:val="6EED49CF"/>
    <w:rsid w:val="6F7F64EC"/>
    <w:rsid w:val="6FCC7288"/>
    <w:rsid w:val="702B2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1"/>
    <w:basedOn w:val="1"/>
    <w:next w:val="1"/>
    <w:link w:val="12"/>
    <w:qFormat/>
    <w:uiPriority w:val="0"/>
    <w:pPr>
      <w:keepNext/>
      <w:keepLines/>
      <w:adjustRightInd/>
      <w:spacing w:before="340" w:after="330" w:line="578" w:lineRule="auto"/>
      <w:textAlignment w:val="auto"/>
      <w:outlineLvl w:val="0"/>
    </w:pPr>
    <w:rPr>
      <w:b/>
      <w:bCs/>
      <w:kern w:val="44"/>
      <w:sz w:val="44"/>
      <w:szCs w:val="44"/>
      <w:lang w:val="zh-CN"/>
    </w:rPr>
  </w:style>
  <w:style w:type="character" w:default="1" w:styleId="5">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firstLineChars="200"/>
    </w:pPr>
    <w:rPr>
      <w:kern w:val="2"/>
      <w:sz w:val="21"/>
      <w:szCs w:val="24"/>
    </w:rPr>
  </w:style>
  <w:style w:type="paragraph" w:styleId="4">
    <w:name w:val="Plain Text"/>
    <w:basedOn w:val="1"/>
    <w:link w:val="11"/>
    <w:qFormat/>
    <w:uiPriority w:val="0"/>
    <w:rPr>
      <w:rFonts w:ascii="宋体" w:hAnsi="Courier New"/>
      <w:kern w:val="2"/>
      <w:sz w:val="21"/>
    </w:rPr>
  </w:style>
  <w:style w:type="character" w:styleId="6">
    <w:name w:val="FollowedHyperlink"/>
    <w:basedOn w:val="5"/>
    <w:unhideWhenUsed/>
    <w:qFormat/>
    <w:uiPriority w:val="99"/>
    <w:rPr>
      <w:color w:val="007CD2"/>
      <w:sz w:val="18"/>
      <w:szCs w:val="18"/>
      <w:u w:val="none"/>
    </w:rPr>
  </w:style>
  <w:style w:type="character" w:styleId="7">
    <w:name w:val="Hyperlink"/>
    <w:basedOn w:val="5"/>
    <w:unhideWhenUsed/>
    <w:qFormat/>
    <w:uiPriority w:val="99"/>
    <w:rPr>
      <w:color w:val="007CD2"/>
      <w:sz w:val="18"/>
      <w:szCs w:val="18"/>
      <w:u w:val="none"/>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0">
    <w:name w:val="正文文本缩进1"/>
    <w:basedOn w:val="1"/>
    <w:qFormat/>
    <w:uiPriority w:val="0"/>
    <w:pPr>
      <w:ind w:firstLine="630"/>
    </w:pPr>
    <w:rPr>
      <w:rFonts w:eastAsia="仿宋_GB2312"/>
      <w:sz w:val="24"/>
      <w:szCs w:val="24"/>
    </w:rPr>
  </w:style>
  <w:style w:type="character" w:customStyle="1" w:styleId="11">
    <w:name w:val="纯文本 Char"/>
    <w:basedOn w:val="5"/>
    <w:link w:val="4"/>
    <w:qFormat/>
    <w:uiPriority w:val="0"/>
    <w:rPr>
      <w:rFonts w:ascii="宋体" w:hAnsi="Courier New" w:eastAsia="宋体" w:cs="Times New Roman"/>
      <w:szCs w:val="20"/>
    </w:rPr>
  </w:style>
  <w:style w:type="character" w:customStyle="1" w:styleId="12">
    <w:name w:val="标题 1 Char"/>
    <w:basedOn w:val="5"/>
    <w:link w:val="2"/>
    <w:qFormat/>
    <w:uiPriority w:val="0"/>
    <w:rPr>
      <w:rFonts w:ascii="Times New Roman" w:hAnsi="Times New Roman" w:eastAsia="宋体" w:cs="Times New Roman"/>
      <w:b/>
      <w:bCs/>
      <w:kern w:val="44"/>
      <w:sz w:val="44"/>
      <w:szCs w:val="44"/>
      <w:lang w:val="zh-CN" w:eastAsia="zh-CN"/>
    </w:rPr>
  </w:style>
  <w:style w:type="character" w:customStyle="1" w:styleId="13">
    <w:name w:val="正文1"/>
    <w:basedOn w:val="5"/>
    <w:qFormat/>
    <w:uiPriority w:val="0"/>
  </w:style>
  <w:style w:type="character" w:customStyle="1" w:styleId="14">
    <w:name w:val="normal2"/>
    <w:basedOn w:val="5"/>
    <w:qFormat/>
    <w:uiPriority w:val="0"/>
  </w:style>
  <w:style w:type="character" w:customStyle="1" w:styleId="15">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1256</Words>
  <Characters>7165</Characters>
  <Lines>59</Lines>
  <Paragraphs>16</Paragraphs>
  <ScaleCrop>false</ScaleCrop>
  <LinksUpToDate>false</LinksUpToDate>
  <CharactersWithSpaces>8405</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2014-08-08T06:48:00Z</dcterms:created>
  <dc:creator>林哲宇</dc:creator>
  <cp:lastModifiedBy>2018年大修之前需签订的合同清单</cp:lastModifiedBy>
  <cp:lastPrinted>2016-02-23T07:57:00Z</cp:lastPrinted>
  <dcterms:modified xsi:type="dcterms:W3CDTF">2018-08-21T01:33:11Z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