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wrap="auto" w:vAnchor="margin" w:hAnchor="text" w:yAlign="inline"/>
        <w:widowControl/>
        <w:spacing w:line="600" w:lineRule="atLeast"/>
        <w:jc w:val="center"/>
        <w:rPr>
          <w:rFonts w:ascii="宋体" w:hAnsi="宋体" w:eastAsia="宋体" w:cs="宋体"/>
          <w:b/>
          <w:bCs/>
          <w:caps w:val="0"/>
          <w:smallCaps w:val="0"/>
          <w:color w:val="000000"/>
          <w:spacing w:val="0"/>
          <w:w w:val="100"/>
          <w:kern w:val="0"/>
          <w:position w:val="0"/>
          <w:sz w:val="30"/>
          <w:szCs w:val="30"/>
          <w:u w:val="none" w:color="545454"/>
          <w:vertAlign w:val="baseline"/>
          <w:rtl w:val="0"/>
          <w:lang w:val="zh-TW" w:eastAsia="zh-TW"/>
        </w:rPr>
      </w:pPr>
      <w:r>
        <w:rPr>
          <w:rFonts w:ascii="宋体" w:hAnsi="宋体" w:eastAsia="宋体" w:cs="宋体"/>
          <w:b/>
          <w:bCs/>
          <w:caps w:val="0"/>
          <w:smallCaps w:val="0"/>
          <w:color w:val="000000"/>
          <w:spacing w:val="0"/>
          <w:w w:val="100"/>
          <w:kern w:val="0"/>
          <w:position w:val="0"/>
          <w:sz w:val="30"/>
          <w:szCs w:val="30"/>
          <w:u w:val="none" w:color="545454"/>
          <w:vertAlign w:val="baseline"/>
          <w:rtl w:val="0"/>
          <w:lang w:val="zh-TW" w:eastAsia="zh-TW"/>
        </w:rPr>
        <w:t>甲醇（副产品）自主比选销售公告</w:t>
      </w:r>
    </w:p>
    <w:p>
      <w:pPr>
        <w:pStyle w:val="9"/>
        <w:framePr w:w="0" w:wrap="auto" w:vAnchor="margin" w:hAnchor="text" w:yAlign="inline"/>
        <w:widowControl/>
        <w:numPr>
          <w:ilvl w:val="0"/>
          <w:numId w:val="0"/>
        </w:numPr>
        <w:spacing w:before="0" w:after="0"/>
        <w:ind w:leftChars="0" w:right="0" w:rightChars="0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</w:pPr>
    </w:p>
    <w:p>
      <w:pPr>
        <w:pStyle w:val="9"/>
        <w:framePr w:w="0" w:wrap="auto" w:vAnchor="margin" w:hAnchor="text" w:yAlign="inline"/>
        <w:widowControl/>
        <w:numPr>
          <w:ilvl w:val="0"/>
          <w:numId w:val="0"/>
        </w:numPr>
        <w:spacing w:before="0" w:after="0"/>
        <w:ind w:leftChars="0" w:right="0" w:rightChars="0"/>
        <w:rPr>
          <w:lang w:val="zh-TW" w:eastAsia="zh-TW"/>
        </w:rPr>
      </w:pP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 w:eastAsia="zh-CN"/>
        </w:rPr>
        <w:t>1、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品名：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甲醇（副产品）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2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、提货地点：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福建福海创（漳州古雷港）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3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、数量：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福建福海创的</w:t>
      </w:r>
      <w:r>
        <w:rPr>
          <w:rFonts w:ascii="宋体" w:hAnsi="宋体" w:eastAsia="宋体" w:cs="宋体"/>
          <w:rtl w:val="0"/>
          <w:lang w:val="zh-CN" w:eastAsia="zh-CN"/>
        </w:rPr>
        <w:t>甲醇（副产品）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产量</w:t>
      </w:r>
      <w:r>
        <w:rPr>
          <w:rFonts w:ascii="宋体" w:hAnsi="宋体" w:eastAsia="宋体" w:cs="宋体"/>
          <w:rtl w:val="0"/>
          <w:lang w:val="zh-CN" w:eastAsia="zh-CN"/>
        </w:rPr>
        <w:t>约1000吨/月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，</w:t>
      </w:r>
      <w:r>
        <w:rPr>
          <w:rFonts w:ascii="宋体" w:hAnsi="宋体" w:eastAsia="宋体" w:cs="宋体"/>
          <w:rtl w:val="0"/>
          <w:lang w:val="zh-CN" w:eastAsia="zh-CN"/>
        </w:rPr>
        <w:t>现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面向经销商的销售模式为每月不定期进行一次或者多次的自主比选；具体数量在每批次自主比选销售文件中确定；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4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、提货方式：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需方自提（槽车运输，甲醇专用车辆）；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5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、产品特性：</w:t>
      </w:r>
      <w:r>
        <w:rPr>
          <w:rFonts w:ascii="宋体" w:hAnsi="宋体" w:eastAsia="宋体" w:cs="宋体"/>
          <w:rtl w:val="0"/>
          <w:lang w:val="zh-TW" w:eastAsia="zh-TW"/>
        </w:rPr>
        <w:t>甲醇是一种无色、透明、高度挥发、易燃液体，略有酒精气味。主要用于制造甲醛、纤维素、甲基化反应，用作防冻剂、萃取剂、橡胶加速剂，亦可作染料、树脂、人造革、火漆薄膜、玻璃纸、喷漆等的溶剂以及油漆、颜料去除剂、有机合成的中间体等，也可用作燃料、焊剂；</w:t>
      </w:r>
    </w:p>
    <w:p>
      <w:pPr>
        <w:pStyle w:val="9"/>
        <w:framePr w:w="0" w:wrap="auto" w:vAnchor="margin" w:hAnchor="text" w:yAlign="inline"/>
        <w:widowControl/>
        <w:numPr>
          <w:ilvl w:val="0"/>
          <w:numId w:val="1"/>
        </w:numPr>
        <w:bidi w:val="0"/>
        <w:spacing w:before="0" w:after="0"/>
        <w:ind w:right="0"/>
        <w:jc w:val="left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</w:pP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竞价人要求：</w:t>
      </w:r>
      <w:r>
        <w:rPr>
          <w:rFonts w:hint="eastAsia" w:ascii="宋体" w:hAnsi="宋体" w:eastAsia="宋体" w:cs="宋体"/>
          <w:b w:val="0"/>
          <w:bCs w:val="0"/>
          <w:caps w:val="0"/>
          <w:smallCaps w:val="0"/>
          <w:spacing w:val="0"/>
          <w:u w:color="545454"/>
          <w:rtl w:val="0"/>
          <w:lang w:val="zh-TW" w:eastAsia="zh-TW"/>
        </w:rPr>
        <w:t>具备经营甲醇的相关资质，包含危化品经营许可资质；遵守福化工贸（漳州）有限公司相关的销售规定；</w:t>
      </w:r>
    </w:p>
    <w:p>
      <w:pPr>
        <w:pStyle w:val="9"/>
        <w:framePr w:w="0" w:wrap="auto" w:vAnchor="margin" w:hAnchor="text" w:yAlign="inline"/>
        <w:widowControl/>
        <w:numPr>
          <w:ilvl w:val="0"/>
          <w:numId w:val="1"/>
        </w:numPr>
        <w:bidi w:val="0"/>
        <w:spacing w:before="0" w:after="0"/>
        <w:ind w:right="0"/>
        <w:jc w:val="left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</w:pP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其它说明：</w:t>
      </w:r>
      <w:r>
        <w:rPr>
          <w:rFonts w:hint="eastAsia" w:ascii="宋体" w:hAnsi="宋体" w:eastAsia="宋体" w:cs="宋体"/>
          <w:b w:val="0"/>
          <w:bCs w:val="0"/>
          <w:caps w:val="0"/>
          <w:smallCaps w:val="0"/>
          <w:spacing w:val="0"/>
          <w:u w:color="545454"/>
          <w:rtl w:val="0"/>
          <w:lang w:val="zh-TW" w:eastAsia="zh-TW"/>
        </w:rPr>
        <w:t>具体提货时间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aps w:val="0"/>
          <w:smallCaps w:val="0"/>
          <w:spacing w:val="0"/>
          <w:u w:color="545454"/>
          <w:rtl w:val="0"/>
          <w:lang w:val="zh-TW" w:eastAsia="zh-TW"/>
        </w:rPr>
        <w:t>、竞价量及其它相关要求详见每批次自主比选销售文件</w:t>
      </w:r>
      <w:r>
        <w:rPr>
          <w:rFonts w:hint="eastAsia" w:ascii="宋体" w:hAnsi="宋体" w:eastAsia="宋体" w:cs="宋体"/>
          <w:b w:val="0"/>
          <w:bCs w:val="0"/>
          <w:caps w:val="0"/>
          <w:smallCaps w:val="0"/>
          <w:spacing w:val="0"/>
          <w:u w:color="545454"/>
          <w:rtl w:val="0"/>
          <w:lang w:val="zh-TW" w:eastAsia="zh-CN"/>
        </w:rPr>
        <w:t>；</w:t>
      </w:r>
    </w:p>
    <w:p>
      <w:pPr>
        <w:pStyle w:val="9"/>
        <w:framePr w:w="0" w:wrap="auto" w:vAnchor="margin" w:hAnchor="text" w:yAlign="inline"/>
        <w:widowControl/>
        <w:numPr>
          <w:ilvl w:val="0"/>
          <w:numId w:val="1"/>
        </w:numPr>
        <w:bidi w:val="0"/>
        <w:spacing w:before="0" w:after="0"/>
        <w:ind w:right="0"/>
        <w:jc w:val="left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</w:pP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质量指标：</w:t>
      </w:r>
    </w:p>
    <w:tbl>
      <w:tblPr>
        <w:tblStyle w:val="5"/>
        <w:tblW w:w="85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29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分析项目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单位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甲醇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  <w:t>Wt%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Q-JS-03-220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醋酸甲酯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Wt%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Q-JS-03-220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醋酸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  <w:t>Wt%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Q-JS-03-220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水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  <w:t>Wt%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Q-JS-03-220</w:t>
            </w:r>
          </w:p>
        </w:tc>
        <w:tc>
          <w:tcPr>
            <w:tcW w:w="2129" w:type="dxa"/>
            <w:vAlign w:val="center"/>
          </w:tcPr>
          <w:p>
            <w:pPr>
              <w:pStyle w:val="9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0.5</w:t>
            </w:r>
          </w:p>
        </w:tc>
      </w:tr>
    </w:tbl>
    <w:p>
      <w:pPr>
        <w:pStyle w:val="9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b/>
          <w:bCs/>
          <w:caps w:val="0"/>
          <w:smallCaps w:val="0"/>
          <w:color w:val="545454"/>
          <w:spacing w:val="0"/>
          <w:u w:color="545454"/>
        </w:rPr>
      </w:pPr>
    </w:p>
    <w:p>
      <w:pPr>
        <w:pStyle w:val="9"/>
        <w:framePr w:w="0" w:wrap="auto" w:vAnchor="margin" w:hAnchor="text" w:yAlign="inline"/>
        <w:widowControl/>
        <w:spacing w:before="0" w:after="0"/>
      </w:pP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9.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联系方式：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（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1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）邮箱：有意向的客户请将企业资质等相关材料发至以下邮箱：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 xml:space="preserve">  yangjy@fjpec.com.cn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（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2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）联系电话：刘江川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  0592-5229295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br w:type="textWrapping"/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       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杨建原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  0592-5229273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66B6"/>
    <w:multiLevelType w:val="multilevel"/>
    <w:tmpl w:val="5A4C66B6"/>
    <w:lvl w:ilvl="0" w:tentative="0">
      <w:start w:val="1"/>
      <w:numFmt w:val="decimal"/>
      <w:suff w:val="nothing"/>
      <w:lvlText w:val="%1."/>
      <w:lvlJc w:val="left"/>
      <w:pPr>
        <w:ind w:left="107" w:hanging="1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07" w:hanging="1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07" w:hanging="1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07" w:hanging="1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07" w:hanging="1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07" w:hanging="1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07" w:hanging="1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07" w:hanging="1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07" w:hanging="1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364B29EF"/>
    <w:rsid w:val="4975175D"/>
    <w:rsid w:val="5FB2051D"/>
    <w:rsid w:val="6C276DC9"/>
    <w:rsid w:val="79C04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">
    <w:name w:val="Table Normal"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8">
    <w:name w:val="正文 A"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9">
    <w:name w:val="普通(网站)1"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Office_10.1.0.7023_F1E327BC-269C-435d-A152-05C5408002CA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2018-01-03T05:12:00Z</dcterms:created>
  <dc:creator>win10</dc:creator>
  <cp:lastModifiedBy>win10</cp:lastModifiedBy>
  <dcterms:modified xsi:type="dcterms:W3CDTF">2018-01-03T06:12:33Z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